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35AA3" w14:textId="1DB11586" w:rsidR="008D1CD2" w:rsidRDefault="008D1CD2" w:rsidP="008D1CD2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The standard time categories for a </w:t>
      </w:r>
      <w:r w:rsidR="00225A47">
        <w:rPr>
          <w:rFonts w:ascii="Segoe UI" w:eastAsia="Times New Roman" w:hAnsi="Segoe UI" w:cs="Segoe UI"/>
          <w:sz w:val="21"/>
          <w:szCs w:val="21"/>
        </w:rPr>
        <w:t>m</w:t>
      </w:r>
      <w:r>
        <w:rPr>
          <w:rFonts w:ascii="Segoe UI" w:eastAsia="Times New Roman" w:hAnsi="Segoe UI" w:cs="Segoe UI"/>
          <w:sz w:val="21"/>
          <w:szCs w:val="21"/>
        </w:rPr>
        <w:t>igration project should be:</w:t>
      </w:r>
    </w:p>
    <w:p w14:paraId="7BAC50A8" w14:textId="77777777" w:rsidR="008D1CD2" w:rsidRDefault="008D1CD2" w:rsidP="008D1CD2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7C52503" w14:textId="4DF89F87" w:rsidR="008D1CD2" w:rsidRPr="006D71C9" w:rsidRDefault="008D1CD2" w:rsidP="006D71C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6D71C9">
        <w:rPr>
          <w:rFonts w:ascii="Segoe UI" w:eastAsia="Times New Roman" w:hAnsi="Segoe UI" w:cs="Segoe UI"/>
          <w:sz w:val="21"/>
          <w:szCs w:val="21"/>
        </w:rPr>
        <w:t>Project Delivery (P</w:t>
      </w:r>
      <w:r w:rsidR="00AF2A2D" w:rsidRPr="006D71C9">
        <w:rPr>
          <w:rFonts w:ascii="Segoe UI" w:eastAsia="Times New Roman" w:hAnsi="Segoe UI" w:cs="Segoe UI"/>
          <w:sz w:val="21"/>
          <w:szCs w:val="21"/>
        </w:rPr>
        <w:t xml:space="preserve">roject </w:t>
      </w:r>
      <w:r w:rsidRPr="006D71C9">
        <w:rPr>
          <w:rFonts w:ascii="Segoe UI" w:eastAsia="Times New Roman" w:hAnsi="Segoe UI" w:cs="Segoe UI"/>
          <w:sz w:val="21"/>
          <w:szCs w:val="21"/>
        </w:rPr>
        <w:t>M</w:t>
      </w:r>
      <w:r w:rsidR="00AF2A2D" w:rsidRPr="006D71C9">
        <w:rPr>
          <w:rFonts w:ascii="Segoe UI" w:eastAsia="Times New Roman" w:hAnsi="Segoe UI" w:cs="Segoe UI"/>
          <w:sz w:val="21"/>
          <w:szCs w:val="21"/>
        </w:rPr>
        <w:t>anagement</w:t>
      </w:r>
      <w:r w:rsidR="000E6D62" w:rsidRPr="006D71C9">
        <w:rPr>
          <w:rFonts w:ascii="Segoe UI" w:eastAsia="Times New Roman" w:hAnsi="Segoe UI" w:cs="Segoe UI"/>
          <w:sz w:val="21"/>
          <w:szCs w:val="21"/>
        </w:rPr>
        <w:t>,</w:t>
      </w:r>
      <w:r w:rsidRPr="006D71C9">
        <w:rPr>
          <w:rFonts w:ascii="Segoe UI" w:eastAsia="Times New Roman" w:hAnsi="Segoe UI" w:cs="Segoe UI"/>
          <w:sz w:val="21"/>
          <w:szCs w:val="21"/>
        </w:rPr>
        <w:t xml:space="preserve"> Standups</w:t>
      </w:r>
      <w:r w:rsidR="000E6D62" w:rsidRPr="006D71C9">
        <w:rPr>
          <w:rFonts w:ascii="Segoe UI" w:eastAsia="Times New Roman" w:hAnsi="Segoe UI" w:cs="Segoe UI"/>
          <w:sz w:val="21"/>
          <w:szCs w:val="21"/>
        </w:rPr>
        <w:t>, Status Meetings</w:t>
      </w:r>
      <w:r w:rsidRPr="006D71C9">
        <w:rPr>
          <w:rFonts w:ascii="Segoe UI" w:eastAsia="Times New Roman" w:hAnsi="Segoe UI" w:cs="Segoe UI"/>
          <w:sz w:val="21"/>
          <w:szCs w:val="21"/>
        </w:rPr>
        <w:t>)</w:t>
      </w:r>
    </w:p>
    <w:p w14:paraId="1129D070" w14:textId="77777777" w:rsidR="008D1CD2" w:rsidRPr="006D71C9" w:rsidRDefault="008D1CD2" w:rsidP="006D71C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6D71C9">
        <w:rPr>
          <w:rFonts w:ascii="Segoe UI" w:eastAsia="Times New Roman" w:hAnsi="Segoe UI" w:cs="Segoe UI"/>
          <w:sz w:val="21"/>
          <w:szCs w:val="21"/>
        </w:rPr>
        <w:t>VDC Discovery &amp; Design</w:t>
      </w:r>
    </w:p>
    <w:p w14:paraId="0C2E2531" w14:textId="77777777" w:rsidR="008D1CD2" w:rsidRPr="006D71C9" w:rsidRDefault="008D1CD2" w:rsidP="006D71C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6D71C9">
        <w:rPr>
          <w:rFonts w:ascii="Segoe UI" w:eastAsia="Times New Roman" w:hAnsi="Segoe UI" w:cs="Segoe UI"/>
          <w:sz w:val="21"/>
          <w:szCs w:val="21"/>
        </w:rPr>
        <w:t>VDC Deployment</w:t>
      </w:r>
    </w:p>
    <w:p w14:paraId="61558DBC" w14:textId="5A4411FB" w:rsidR="008D1CD2" w:rsidRPr="006D71C9" w:rsidRDefault="008D1CD2" w:rsidP="006D71C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6D71C9">
        <w:rPr>
          <w:rFonts w:ascii="Segoe UI" w:eastAsia="Times New Roman" w:hAnsi="Segoe UI" w:cs="Segoe UI"/>
          <w:sz w:val="21"/>
          <w:szCs w:val="21"/>
        </w:rPr>
        <w:t xml:space="preserve">Migration </w:t>
      </w:r>
      <w:r w:rsidR="003A215D">
        <w:rPr>
          <w:rFonts w:ascii="Segoe UI" w:eastAsia="Times New Roman" w:hAnsi="Segoe UI" w:cs="Segoe UI"/>
          <w:sz w:val="21"/>
          <w:szCs w:val="21"/>
        </w:rPr>
        <w:t xml:space="preserve">Workload </w:t>
      </w:r>
      <w:r w:rsidRPr="006D71C9">
        <w:rPr>
          <w:rFonts w:ascii="Segoe UI" w:eastAsia="Times New Roman" w:hAnsi="Segoe UI" w:cs="Segoe UI"/>
          <w:sz w:val="21"/>
          <w:szCs w:val="21"/>
        </w:rPr>
        <w:t>Discovery</w:t>
      </w:r>
    </w:p>
    <w:p w14:paraId="2A2B4355" w14:textId="39D10AC4" w:rsidR="008D1CD2" w:rsidRPr="006D71C9" w:rsidRDefault="008D1CD2" w:rsidP="006D71C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6D71C9">
        <w:rPr>
          <w:rFonts w:ascii="Segoe UI" w:eastAsia="Times New Roman" w:hAnsi="Segoe UI" w:cs="Segoe UI"/>
          <w:sz w:val="21"/>
          <w:szCs w:val="21"/>
        </w:rPr>
        <w:t xml:space="preserve">Migration </w:t>
      </w:r>
      <w:r w:rsidR="00D91A15">
        <w:rPr>
          <w:rFonts w:ascii="Segoe UI" w:eastAsia="Times New Roman" w:hAnsi="Segoe UI" w:cs="Segoe UI"/>
          <w:sz w:val="21"/>
          <w:szCs w:val="21"/>
        </w:rPr>
        <w:t>Execution</w:t>
      </w:r>
    </w:p>
    <w:p w14:paraId="58C2EC25" w14:textId="5291FDFC" w:rsidR="008D1CD2" w:rsidRPr="006D71C9" w:rsidRDefault="008D1CD2" w:rsidP="006D71C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6D71C9">
        <w:rPr>
          <w:rFonts w:ascii="Segoe UI" w:eastAsia="Times New Roman" w:hAnsi="Segoe UI" w:cs="Segoe UI"/>
          <w:sz w:val="21"/>
          <w:szCs w:val="21"/>
        </w:rPr>
        <w:t>Out of Scope</w:t>
      </w:r>
      <w:r w:rsidR="006D71C9" w:rsidRPr="006D71C9">
        <w:rPr>
          <w:rFonts w:ascii="Segoe UI" w:eastAsia="Times New Roman" w:hAnsi="Segoe UI" w:cs="Segoe UI"/>
          <w:sz w:val="21"/>
          <w:szCs w:val="21"/>
        </w:rPr>
        <w:t xml:space="preserve"> Work</w:t>
      </w:r>
    </w:p>
    <w:p w14:paraId="45C97EBE" w14:textId="5E1022D4" w:rsidR="006D71C9" w:rsidRDefault="006D71C9" w:rsidP="008D1CD2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2C14F6C2" w14:textId="7D4A7193" w:rsidR="006D71C9" w:rsidRPr="008D1CD2" w:rsidRDefault="006D71C9" w:rsidP="008D1CD2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The migration categories are not needed in a VDC only deployment.</w:t>
      </w:r>
    </w:p>
    <w:p w14:paraId="68F5A051" w14:textId="77777777" w:rsidR="00037FED" w:rsidRDefault="00225A47"/>
    <w:sectPr w:rsidR="00037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2165FC"/>
    <w:multiLevelType w:val="hybridMultilevel"/>
    <w:tmpl w:val="93025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FD"/>
    <w:rsid w:val="000E6D62"/>
    <w:rsid w:val="00134BFD"/>
    <w:rsid w:val="00225A47"/>
    <w:rsid w:val="003605E6"/>
    <w:rsid w:val="003A215D"/>
    <w:rsid w:val="006D71C9"/>
    <w:rsid w:val="008D1CD2"/>
    <w:rsid w:val="00AF2A2D"/>
    <w:rsid w:val="00B01A17"/>
    <w:rsid w:val="00D9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0E54"/>
  <w15:chartTrackingRefBased/>
  <w15:docId w15:val="{0292333A-E70F-4000-9FB5-DE14CB63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90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616B3B-8431-4474-9068-19843ADCCD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EEC456-75DF-426A-8A4E-07D0E91411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A72C4F-F146-4814-B265-104065D419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8</cp:revision>
  <dcterms:created xsi:type="dcterms:W3CDTF">2019-06-25T13:29:00Z</dcterms:created>
  <dcterms:modified xsi:type="dcterms:W3CDTF">2020-04-03T15:51:00Z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