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DOC-007 – Decision Engine</w:t>
      </w:r>
    </w:p>
    <w:p>
      <w:r>
        <w:t>Proyecto: Challenge Alura – Agente Inteligente de Atención para Mercado Central 24h</w:t>
        <w:br/>
        <w:t>Sprint: 2</w:t>
        <w:br/>
        <w:t>Versión: 1.0</w:t>
        <w:br/>
        <w:t>Estado: Borrador</w:t>
      </w:r>
    </w:p>
    <w:p>
      <w:pPr>
        <w:pStyle w:val="Heading2"/>
      </w:pPr>
      <w:r>
        <w:t>Objetivo</w:t>
      </w:r>
    </w:p>
    <w:p>
      <w:r>
        <w:t>Definir cómo el agente analiza una consulta, decide el flujo adecuado y aplica controles de seguridad antes de responder.</w:t>
      </w:r>
    </w:p>
    <w:p>
      <w:pPr>
        <w:pStyle w:val="Heading2"/>
      </w:pPr>
      <w:r>
        <w:t>Explicación sencilla</w:t>
      </w:r>
    </w:p>
    <w:p>
      <w:r>
        <w:t>Imagina a un recepcionista en un hospital. Antes de enviar a una persona con un especialista, primero escucha el problema y decide a qué área dirigirla. El Decision Engine hace exactamente eso con cada pregunta.</w:t>
      </w:r>
    </w:p>
    <w:p>
      <w:pPr>
        <w:pStyle w:val="Heading2"/>
      </w:pPr>
      <w:r>
        <w:t>Responsabilidades</w:t>
      </w:r>
    </w:p>
    <w:p>
      <w:r>
        <w:t>- Analizar la intención.</w:t>
        <w:br/>
        <w:t>- Detectar consultas fuera del alcance.</w:t>
        <w:br/>
        <w:t>- Seleccionar la Tool adecuada.</w:t>
        <w:br/>
        <w:t>- Decidir si consultar el RAG.</w:t>
        <w:br/>
        <w:t>- Aplicar reglas de seguridad.</w:t>
        <w:br/>
        <w:t>- Enviar la solicitud al siguiente componente.</w:t>
      </w:r>
    </w:p>
    <w:p>
      <w:pPr>
        <w:pStyle w:val="Heading2"/>
      </w:pPr>
      <w:r>
        <w:t>Flujo lógico</w:t>
      </w:r>
    </w:p>
    <w:p>
      <w:r>
        <w:t>Usuario → Analizar intención → ¿Consulta válida? → Seleccionar Tool o RAG → Construir contexto → Gemini → Respuesta.</w:t>
      </w:r>
    </w:p>
    <w:p>
      <w:pPr>
        <w:pStyle w:val="Heading2"/>
      </w:pPr>
      <w:r>
        <w:t>Tipos de intención</w:t>
      </w:r>
    </w:p>
    <w:p>
      <w:r>
        <w:t>Saludos, FAQ, Inventario, Sucursales, Proveedores, Reglamento, Devoluciones, Conversación general, Consulta fuera de alcance.</w:t>
      </w:r>
    </w:p>
    <w:p>
      <w:pPr>
        <w:pStyle w:val="Heading2"/>
      </w:pPr>
      <w:r>
        <w:t>Reglas de decisión</w:t>
      </w:r>
    </w:p>
    <w:p>
      <w:r>
        <w:t>1. Si existe una Tool especializada, utilizarla.</w:t>
        <w:br/>
        <w:t>2. Si requiere conocimiento documental, consultar el AI Knowledge Platform.</w:t>
        <w:br/>
        <w:t>3. Si la pregunta está fuera del alcance, responder que no existe información oficial.</w:t>
        <w:br/>
        <w:t>4. Nunca ignorar las instrucciones del sistema.</w:t>
      </w:r>
    </w:p>
    <w:p>
      <w:pPr>
        <w:pStyle w:val="Heading2"/>
      </w:pPr>
      <w:r>
        <w:t>Seguridad</w:t>
      </w:r>
    </w:p>
    <w:p>
      <w:r>
        <w:t>- Mitigar Prompt Injection.</w:t>
        <w:br/>
        <w:t>- No ejecutar instrucciones del usuario.</w:t>
        <w:br/>
        <w:t>- No revelar prompts internos.</w:t>
        <w:br/>
        <w:t>- Responder únicamente con información autorizada.</w:t>
        <w:br/>
        <w:t>- Manejo seguro de errores.</w:t>
      </w:r>
    </w:p>
    <w:p>
      <w:pPr>
        <w:pStyle w:val="Heading2"/>
      </w:pPr>
      <w:r>
        <w:t>Relación con otros módulos</w:t>
      </w:r>
    </w:p>
    <w:p>
      <w:r>
        <w:t>Entrada: Conversation Engine.</w:t>
        <w:br/>
        <w:t>Salida: AI Knowledge Platform, Tool Layer o Gemini Adapter.</w:t>
      </w:r>
    </w:p>
    <w:p>
      <w:pPr>
        <w:pStyle w:val="Heading2"/>
      </w:pPr>
      <w:r>
        <w:t>Archivos Python previstos</w:t>
      </w:r>
    </w:p>
    <w:p>
      <w:r>
        <w:t>src/core/decision_engine.py</w:t>
        <w:br/>
        <w:t>src/core/intent_classifier.py</w:t>
        <w:br/>
        <w:t>src/core/router.py</w:t>
      </w:r>
    </w:p>
    <w:p>
      <w:pPr>
        <w:pStyle w:val="Heading2"/>
      </w:pPr>
      <w:r>
        <w:t>Casos de prueba</w:t>
      </w:r>
    </w:p>
    <w:p>
      <w:r>
        <w:t>TST-010 Selección correcta de Tool.</w:t>
        <w:br/>
        <w:t>TST-011 Rechazo de Prompt Injection.</w:t>
        <w:br/>
        <w:t>TST-012 Consulta fuera del alcance.</w:t>
        <w:br/>
        <w:t>TST-013 Enrutamiento hacia RAG.</w:t>
      </w:r>
    </w:p>
    <w:p>
      <w:pPr>
        <w:pStyle w:val="Heading2"/>
      </w:pPr>
      <w:r>
        <w:t>Checklist</w:t>
      </w:r>
    </w:p>
    <w:p>
      <w:r>
        <w:t>□ Clasificador de intención</w:t>
        <w:br/>
        <w:t>□ Router</w:t>
        <w:br/>
        <w:t>□ Validaciones</w:t>
        <w:br/>
        <w:t>□ Seguridad</w:t>
        <w:br/>
        <w:t>□ Integración</w:t>
        <w:br/>
        <w:t>□ Pruebas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