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ADR-001 – Gestión de Dependencias</w:t>
      </w:r>
    </w:p>
    <w:p>
      <w:r>
        <w:t>Proyecto: Mercado Central AI</w:t>
        <w:br/>
        <w:t>Versión: 1.1</w:t>
        <w:br/>
        <w:t>Estado: Aprobado</w:t>
      </w:r>
    </w:p>
    <w:p>
      <w:pPr>
        <w:pStyle w:val="Heading2"/>
      </w:pPr>
      <w:r>
        <w:t>1. Objetivo</w:t>
      </w:r>
    </w:p>
    <w:p>
      <w:r>
        <w:t>Documentar las decisiones de arquitectura relacionadas con las dependencias externas del proyecto, justificando su selección y estableciendo lineamientos para futuras actualizaciones.</w:t>
      </w:r>
    </w:p>
    <w:p>
      <w:pPr>
        <w:pStyle w:val="Heading2"/>
      </w:pPr>
      <w:r>
        <w:t>2. Contexto</w:t>
      </w:r>
    </w:p>
    <w:p>
      <w:r>
        <w:t>Durante la configuración del entorno se identificaron cambios importantes entre las versiones utilizadas en el material de referencia y las versiones disponibles actualmente. Fue necesario adaptar el proyecto para garantizar compatibilidad y estabilidad.</w:t>
      </w:r>
    </w:p>
    <w:p>
      <w:pPr>
        <w:pStyle w:val="Heading2"/>
      </w:pPr>
      <w:r>
        <w:t>3. Decisiones de Arquitectura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Decisión</w:t>
            </w:r>
          </w:p>
        </w:tc>
        <w:tc>
          <w:tcPr>
            <w:tcW w:type="dxa" w:w="2160"/>
          </w:tcPr>
          <w:p>
            <w:r>
              <w:t>Justificación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ADR-001</w:t>
            </w:r>
          </w:p>
        </w:tc>
        <w:tc>
          <w:tcPr>
            <w:tcW w:type="dxa" w:w="2160"/>
          </w:tcPr>
          <w:p>
            <w:r>
              <w:t>Centralizar dependencias en requirements.txt</w:t>
            </w:r>
          </w:p>
        </w:tc>
        <w:tc>
          <w:tcPr>
            <w:tcW w:type="dxa" w:w="2160"/>
          </w:tcPr>
          <w:p>
            <w:r>
              <w:t>Facilita instalaciones reproducibles</w:t>
            </w:r>
          </w:p>
        </w:tc>
        <w:tc>
          <w:tcPr>
            <w:tcW w:type="dxa" w:w="2160"/>
          </w:tcPr>
          <w:p>
            <w:r>
              <w:t>Aprobado</w:t>
            </w:r>
          </w:p>
        </w:tc>
      </w:tr>
      <w:tr>
        <w:tc>
          <w:tcPr>
            <w:tcW w:type="dxa" w:w="2160"/>
          </w:tcPr>
          <w:p>
            <w:r>
              <w:t>ADR-002</w:t>
            </w:r>
          </w:p>
        </w:tc>
        <w:tc>
          <w:tcPr>
            <w:tcW w:type="dxa" w:w="2160"/>
          </w:tcPr>
          <w:p>
            <w:r>
              <w:t>Utilizar langchain-google-genai</w:t>
            </w:r>
          </w:p>
        </w:tc>
        <w:tc>
          <w:tcPr>
            <w:tcW w:type="dxa" w:w="2160"/>
          </w:tcPr>
          <w:p>
            <w:r>
              <w:t>Es la integración recomendada con LangChain</w:t>
            </w:r>
          </w:p>
        </w:tc>
        <w:tc>
          <w:tcPr>
            <w:tcW w:type="dxa" w:w="2160"/>
          </w:tcPr>
          <w:p>
            <w:r>
              <w:t>Aprobado</w:t>
            </w:r>
          </w:p>
        </w:tc>
      </w:tr>
      <w:tr>
        <w:tc>
          <w:tcPr>
            <w:tcW w:type="dxa" w:w="2160"/>
          </w:tcPr>
          <w:p>
            <w:r>
              <w:t>ADR-003</w:t>
            </w:r>
          </w:p>
        </w:tc>
        <w:tc>
          <w:tcPr>
            <w:tcW w:type="dxa" w:w="2160"/>
          </w:tcPr>
          <w:p>
            <w:r>
              <w:t>Centralizar rutas en settings.py</w:t>
            </w:r>
          </w:p>
        </w:tc>
        <w:tc>
          <w:tcPr>
            <w:tcW w:type="dxa" w:w="2160"/>
          </w:tcPr>
          <w:p>
            <w:r>
              <w:t>Evita rutas codificadas en el código</w:t>
            </w:r>
          </w:p>
        </w:tc>
        <w:tc>
          <w:tcPr>
            <w:tcW w:type="dxa" w:w="2160"/>
          </w:tcPr>
          <w:p>
            <w:r>
              <w:t>Aprobado</w:t>
            </w:r>
          </w:p>
        </w:tc>
      </w:tr>
      <w:tr>
        <w:tc>
          <w:tcPr>
            <w:tcW w:type="dxa" w:w="2160"/>
          </w:tcPr>
          <w:p>
            <w:r>
              <w:t>ADR-004</w:t>
            </w:r>
          </w:p>
        </w:tc>
        <w:tc>
          <w:tcPr>
            <w:tcW w:type="dxa" w:w="2160"/>
          </w:tcPr>
          <w:p>
            <w:r>
              <w:t>Usar entorno virtual (.venv)</w:t>
            </w:r>
          </w:p>
        </w:tc>
        <w:tc>
          <w:tcPr>
            <w:tcW w:type="dxa" w:w="2160"/>
          </w:tcPr>
          <w:p>
            <w:r>
              <w:t>Aísla las dependencias del sistema</w:t>
            </w:r>
          </w:p>
        </w:tc>
        <w:tc>
          <w:tcPr>
            <w:tcW w:type="dxa" w:w="2160"/>
          </w:tcPr>
          <w:p>
            <w:r>
              <w:t>Aprobado</w:t>
            </w:r>
          </w:p>
        </w:tc>
      </w:tr>
      <w:tr>
        <w:tc>
          <w:tcPr>
            <w:tcW w:type="dxa" w:w="2160"/>
          </w:tcPr>
          <w:p>
            <w:r>
              <w:t>ADR-005</w:t>
            </w:r>
          </w:p>
        </w:tc>
        <w:tc>
          <w:tcPr>
            <w:tcW w:type="dxa" w:w="2160"/>
          </w:tcPr>
          <w:p>
            <w:r>
              <w:t>Ejecutar pruebas con python -m</w:t>
            </w:r>
          </w:p>
        </w:tc>
        <w:tc>
          <w:tcPr>
            <w:tcW w:type="dxa" w:w="2160"/>
          </w:tcPr>
          <w:p>
            <w:r>
              <w:t>Evita problemas de importación del paquete src</w:t>
            </w:r>
          </w:p>
        </w:tc>
        <w:tc>
          <w:tcPr>
            <w:tcW w:type="dxa" w:w="2160"/>
          </w:tcPr>
          <w:p>
            <w:r>
              <w:t>Aprobado</w:t>
            </w:r>
          </w:p>
        </w:tc>
      </w:tr>
    </w:tbl>
    <w:p>
      <w:pPr>
        <w:pStyle w:val="Heading2"/>
      </w:pPr>
      <w:r>
        <w:t>4. Dependencias validadas</w:t>
      </w:r>
    </w:p>
    <w:p>
      <w:pPr>
        <w:pStyle w:val="ListBullet"/>
      </w:pPr>
      <w:r>
        <w:t>streamlit 1.49.0</w:t>
      </w:r>
    </w:p>
    <w:p>
      <w:pPr>
        <w:pStyle w:val="ListBullet"/>
      </w:pPr>
      <w:r>
        <w:t>langchain 0.3.27</w:t>
      </w:r>
    </w:p>
    <w:p>
      <w:pPr>
        <w:pStyle w:val="ListBullet"/>
      </w:pPr>
      <w:r>
        <w:t>langchain-community 0.3.27</w:t>
      </w:r>
    </w:p>
    <w:p>
      <w:pPr>
        <w:pStyle w:val="ListBullet"/>
      </w:pPr>
      <w:r>
        <w:t>langchain-google-genai 2.1.10</w:t>
      </w:r>
    </w:p>
    <w:p>
      <w:pPr>
        <w:pStyle w:val="ListBullet"/>
      </w:pPr>
      <w:r>
        <w:t>faiss-cpu 1.12.0</w:t>
      </w:r>
    </w:p>
    <w:p>
      <w:pPr>
        <w:pStyle w:val="ListBullet"/>
      </w:pPr>
      <w:r>
        <w:t>pypdf 6.0.0</w:t>
      </w:r>
    </w:p>
    <w:p>
      <w:pPr>
        <w:pStyle w:val="ListBullet"/>
      </w:pPr>
      <w:r>
        <w:t>python-dotenv 1.1.1</w:t>
      </w:r>
    </w:p>
    <w:p>
      <w:pPr>
        <w:pStyle w:val="Heading2"/>
      </w:pPr>
      <w:r>
        <w:t>5. Riesgos Identificados</w:t>
      </w:r>
    </w:p>
    <w:p>
      <w:pPr>
        <w:pStyle w:val="ListBullet"/>
      </w:pPr>
      <w:r>
        <w:t>Cambios frecuentes en versiones de LangChain.</w:t>
      </w:r>
    </w:p>
    <w:p>
      <w:pPr>
        <w:pStyle w:val="ListBullet"/>
      </w:pPr>
      <w:r>
        <w:t>Deprecación de modelos de IA.</w:t>
      </w:r>
    </w:p>
    <w:p>
      <w:pPr>
        <w:pStyle w:val="ListBullet"/>
      </w:pPr>
      <w:r>
        <w:t>Incompatibilidades entre librerías.</w:t>
      </w:r>
    </w:p>
    <w:p>
      <w:pPr>
        <w:pStyle w:val="ListBullet"/>
      </w:pPr>
      <w:r>
        <w:t>Actualizaciones mayores de Python.</w:t>
      </w:r>
    </w:p>
    <w:p>
      <w:pPr>
        <w:pStyle w:val="Heading2"/>
      </w:pPr>
      <w:r>
        <w:t>6. Estrategia de Actualización</w:t>
      </w:r>
    </w:p>
    <w:p>
      <w:r>
        <w:t>Las dependencias se actualizarán de forma controlada. Cada cambio deberá validarse mediante pruebas funcionales y reflejarse en requirements.txt, LOG-001 y MTR-001.</w:t>
      </w:r>
    </w:p>
    <w:p>
      <w:pPr>
        <w:pStyle w:val="Heading2"/>
      </w:pPr>
      <w:r>
        <w:t>7. Documentos relacionados</w:t>
      </w:r>
    </w:p>
    <w:p>
      <w:pPr>
        <w:pStyle w:val="ListBullet"/>
      </w:pPr>
      <w:r>
        <w:t>INST-001 – Instalación del Entorno</w:t>
      </w:r>
    </w:p>
    <w:p>
      <w:pPr>
        <w:pStyle w:val="ListBullet"/>
      </w:pPr>
      <w:r>
        <w:t>DOC-013 – Document Loader</w:t>
      </w:r>
    </w:p>
    <w:p>
      <w:pPr>
        <w:pStyle w:val="ListBullet"/>
      </w:pPr>
      <w:r>
        <w:t>SDS-001 – Document Loader</w:t>
      </w:r>
    </w:p>
    <w:p>
      <w:pPr>
        <w:pStyle w:val="ListBullet"/>
      </w:pPr>
      <w:r>
        <w:t>LOG-001 – Bitácora Técnica</w:t>
      </w:r>
    </w:p>
    <w:p>
      <w:pPr>
        <w:pStyle w:val="ListBullet"/>
      </w:pPr>
      <w:r>
        <w:t>MTR-001 – Matriz de Trazabilidad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