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DOC-001 – Definición del Proyecto</w:t>
      </w:r>
    </w:p>
    <w:p>
      <w:r>
        <w:rPr>
          <w:b/>
        </w:rPr>
        <w:t xml:space="preserve">Proyecto: </w:t>
      </w:r>
      <w:r>
        <w:t>Challenge Alura – Agente Inteligente de Atención para Mercado Central 24h</w:t>
        <w:br/>
      </w:r>
      <w:r>
        <w:rPr>
          <w:b/>
        </w:rPr>
        <w:t xml:space="preserve">Versión: </w:t>
      </w:r>
      <w:r>
        <w:t>1.0</w:t>
        <w:br/>
      </w:r>
      <w:r>
        <w:rPr>
          <w:b/>
        </w:rPr>
        <w:t xml:space="preserve">Estado: </w:t>
      </w:r>
      <w:r>
        <w:t>Borrador</w:t>
        <w:br/>
      </w:r>
      <w:r>
        <w:rPr>
          <w:b/>
        </w:rPr>
        <w:t xml:space="preserve">Fecha: </w:t>
      </w:r>
      <w:r>
        <w:t>30/06/2026</w:t>
      </w:r>
    </w:p>
    <w:p>
      <w:pPr>
        <w:pStyle w:val="Heading2"/>
      </w:pPr>
      <w:r>
        <w:t>1. Resumen Ejecutivo</w:t>
      </w:r>
    </w:p>
    <w:p>
      <w:r>
        <w:rPr>
          <w:sz w:val="22"/>
        </w:rPr>
        <w:t>Se desarrollará un Agente Inteligente de Atención basado en IA Generativa y RAG para responder consultas utilizando exclusivamente la documentación oficial de Mercado Central 24h.</w:t>
      </w:r>
    </w:p>
    <w:p>
      <w:pPr>
        <w:pStyle w:val="Heading2"/>
      </w:pPr>
      <w:r>
        <w:t>2. Objetivo General</w:t>
      </w:r>
    </w:p>
    <w:p>
      <w:r>
        <w:rPr>
          <w:sz w:val="22"/>
        </w:rPr>
        <w:t>Centralizar el conocimiento de la organización y ofrecer respuestas precisas para clientes, proveedores y colaboradores.</w:t>
      </w:r>
    </w:p>
    <w:p>
      <w:pPr>
        <w:pStyle w:val="Heading2"/>
      </w:pPr>
      <w:r>
        <w:t>3. Objetivos Específicos</w:t>
      </w:r>
    </w:p>
    <w:p>
      <w:r>
        <w:rPr>
          <w:sz w:val="22"/>
        </w:rPr>
        <w:t>- Responder preguntas sobre documentación oficial.</w:t>
        <w:br/>
        <w:t>- Consultar inventario.</w:t>
        <w:br/>
        <w:t>- Consultar sucursales.</w:t>
        <w:br/>
        <w:t>- Atender consultas de proveedores.</w:t>
        <w:br/>
        <w:t>- Mantener contexto conversacional.</w:t>
        <w:br/>
        <w:t>- Mostrar la fuente documental utilizada.</w:t>
      </w:r>
    </w:p>
    <w:p>
      <w:pPr>
        <w:pStyle w:val="Heading2"/>
      </w:pPr>
      <w:r>
        <w:t>4. Alcance</w:t>
      </w:r>
    </w:p>
    <w:p>
      <w:r>
        <w:rPr>
          <w:sz w:val="22"/>
        </w:rPr>
        <w:t>El MVP incluirá consultas sobre FAQ, políticas de atención, reglamento interno, manual de proveedores, inventario y directorio corporativo de sucursales.</w:t>
      </w:r>
    </w:p>
    <w:p>
      <w:pPr>
        <w:pStyle w:val="Heading2"/>
      </w:pPr>
      <w:r>
        <w:t>5. Fuera de Alcance</w:t>
      </w:r>
    </w:p>
    <w:p>
      <w:r>
        <w:rPr>
          <w:sz w:val="22"/>
        </w:rPr>
        <w:t>- Procesamiento de pedidos.</w:t>
        <w:br/>
        <w:t>- Compras en línea.</w:t>
        <w:br/>
        <w:t>- Modificación de inventario.</w:t>
        <w:br/>
        <w:t>- Integración con ERP real.</w:t>
        <w:br/>
        <w:t>- Acciones transaccionales.</w:t>
      </w:r>
    </w:p>
    <w:p>
      <w:pPr>
        <w:pStyle w:val="Heading2"/>
      </w:pPr>
      <w:r>
        <w:t>6. Usuarios</w:t>
      </w:r>
    </w:p>
    <w:p>
      <w:r>
        <w:rPr>
          <w:sz w:val="22"/>
        </w:rPr>
        <w:t>Clientes, Proveedores y Colaboradores.</w:t>
      </w:r>
    </w:p>
    <w:p>
      <w:pPr>
        <w:pStyle w:val="Heading2"/>
      </w:pPr>
      <w:r>
        <w:t>7. Requisitos Funcionales (RF)</w:t>
      </w:r>
    </w:p>
    <w:p>
      <w:r>
        <w:rPr>
          <w:sz w:val="22"/>
        </w:rPr>
        <w:t>RF-001 Responder únicamente con información oficial.</w:t>
        <w:br/>
        <w:t>RF-002 Consultar FAQ.</w:t>
        <w:br/>
        <w:t>RF-003 Consultar Política de Atención.</w:t>
        <w:br/>
        <w:t>RF-004 Consultar Reglamento Interno.</w:t>
        <w:br/>
        <w:t>RF-005 Consultar Manual de Proveedores.</w:t>
        <w:br/>
        <w:t>RF-006 Consultar Inventario.</w:t>
        <w:br/>
        <w:t>RF-007 Consultar Directorio de Sucursales.</w:t>
        <w:br/>
        <w:t>RF-008 Mantener contexto.</w:t>
        <w:br/>
        <w:t>RF-009 Informar cuando no exista información.</w:t>
        <w:br/>
        <w:t>RF-010 Mostrar la fuente documental.</w:t>
      </w:r>
    </w:p>
    <w:p>
      <w:pPr>
        <w:pStyle w:val="Heading2"/>
      </w:pPr>
      <w:r>
        <w:t>8. Requisitos No Funcionales (RNF)</w:t>
      </w:r>
    </w:p>
    <w:p>
      <w:r>
        <w:rPr>
          <w:sz w:val="22"/>
        </w:rPr>
        <w:t>RNF-001 Respuestas en español.</w:t>
        <w:br/>
        <w:t>RNF-002 Tiempo de respuesta adecuado para demo.</w:t>
        <w:br/>
        <w:t>RNF-003 Arquitectura modular.</w:t>
        <w:br/>
        <w:t>RNF-004 Componentes gratuitos cuando sea posible.</w:t>
        <w:br/>
        <w:t>RNF-005 Código documentado.</w:t>
      </w:r>
    </w:p>
    <w:p>
      <w:pPr>
        <w:pStyle w:val="Heading2"/>
      </w:pPr>
      <w:r>
        <w:t>9. Casos de Uso Iniciales (CU)</w:t>
      </w:r>
    </w:p>
    <w:p>
      <w:r>
        <w:rPr>
          <w:sz w:val="22"/>
        </w:rPr>
        <w:t>CU-001 Consultar FAQ.</w:t>
        <w:br/>
        <w:t>CU-002 Consultar devoluciones.</w:t>
        <w:br/>
        <w:t>CU-003 Consultar requisitos para proveedores.</w:t>
        <w:br/>
        <w:t>CU-004 Consultar inventario.</w:t>
        <w:br/>
        <w:t>CU-005 Consultar sucursales.</w:t>
      </w:r>
    </w:p>
    <w:p>
      <w:pPr>
        <w:pStyle w:val="Heading2"/>
      </w:pPr>
      <w:r>
        <w:t>10. Herramientas del Agente (TL)</w:t>
      </w:r>
    </w:p>
    <w:p>
      <w:r>
        <w:rPr>
          <w:sz w:val="22"/>
        </w:rPr>
        <w:t>TL-001 FAQ Tool</w:t>
        <w:br/>
        <w:t>TL-002 Customer Policy Tool</w:t>
        <w:br/>
        <w:t>TL-003 Inventory Tool</w:t>
        <w:br/>
        <w:t>TL-004 Supplier Tool</w:t>
        <w:br/>
        <w:t>TL-005 Branch Tool</w:t>
      </w:r>
    </w:p>
    <w:p>
      <w:pPr>
        <w:pStyle w:val="Heading2"/>
      </w:pPr>
      <w:r>
        <w:t>11. Prompts (PR)</w:t>
      </w:r>
    </w:p>
    <w:p>
      <w:r>
        <w:rPr>
          <w:sz w:val="22"/>
        </w:rPr>
        <w:t>PR-001 System Prompt</w:t>
        <w:br/>
        <w:t>PR-002 FAQ Prompt</w:t>
        <w:br/>
        <w:t>PR-003 Inventory Prompt</w:t>
        <w:br/>
        <w:t>PR-004 Supplier Prompt</w:t>
        <w:br/>
        <w:t>PR-005 Branch Prompt</w:t>
      </w:r>
    </w:p>
    <w:p>
      <w:pPr>
        <w:pStyle w:val="Heading2"/>
      </w:pPr>
      <w:r>
        <w:t>12. Arquitectura Funcional</w:t>
      </w:r>
    </w:p>
    <w:p>
      <w:r>
        <w:rPr>
          <w:sz w:val="22"/>
        </w:rPr>
        <w:t>Usuario → Interfaz (Streamlit) → Agente → Herramientas → RAG → Base de Conocimiento → Gemini 2.5 Flash → Respuesta.</w:t>
      </w:r>
    </w:p>
    <w:p>
      <w:pPr>
        <w:pStyle w:val="Heading2"/>
      </w:pPr>
      <w:r>
        <w:t>13. Matriz de Trazabilidad (MTR-001)</w:t>
      </w:r>
    </w:p>
    <w:p>
      <w:r>
        <w:rPr>
          <w:sz w:val="22"/>
        </w:rPr>
        <w:t>Se implementará una matriz que relacionará: Necesidad del negocio → Documento fuente → RF → CU → Tool → Prompt → Caso de prueba → Estado.</w:t>
      </w:r>
    </w:p>
    <w:p>
      <w:pPr>
        <w:pStyle w:val="Heading2"/>
      </w:pPr>
      <w:r>
        <w:t>14. Criterios de Aceptación</w:t>
      </w:r>
    </w:p>
    <w:p>
      <w:r>
        <w:rPr>
          <w:sz w:val="22"/>
        </w:rPr>
        <w:t>- El agente responde consultas sobre todos los documentos oficiales.</w:t>
        <w:br/>
        <w:t>- Consulta inventario y sucursales.</w:t>
        <w:br/>
        <w:t>- Cita la fuente documental cuando corresponda.</w:t>
        <w:br/>
        <w:t>- Indica cuando no existe información.</w:t>
        <w:br/>
        <w:t>- Mantiene contexto básico de conversación.</w:t>
      </w:r>
    </w:p>
    <w:p>
      <w:pPr>
        <w:pStyle w:val="Heading2"/>
      </w:pPr>
      <w:r>
        <w:t>15. Roadmap</w:t>
      </w:r>
    </w:p>
    <w:p>
      <w:r>
        <w:rPr>
          <w:sz w:val="22"/>
        </w:rPr>
        <w:t>Finalizar análisis funcional, diseñar arquitectura, implementar RAG, desarrollar herramientas, construir interfaz, ejecutar pruebas y preparar la entrega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