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2024-12-07</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these processes individually follow a Normal distribution. Furthermore, it shows that the modal discriminal process for Text B is positioned further along the continuum than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Additionally, the figure highlights the broader distribution of Text B compared to Text A as a result of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states that in pairwise comparisons, a judge perceives the stimulus positioned further along the trait continuum as having a higher level of that trait. This law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In this distribution, the mode (mean) represents the relative separation between the stimuli and the dispersion captures the variability of that relative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texts presented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is evident from the positive difference in the modal discriminal processes of the texts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w:t>
      </w:r>
      <w:r>
        <w:t xml:space="preserve">(shaded gray area).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might be problematic when complex traits or heterogeneous stimuli are involved</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sec-theory-issue1a"/>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Discrepancies in these dispersions shape the distribution of the discriminal difference, directly influencing the comparison outcome.</w:t>
      </w:r>
      <w:r>
        <w:t xml:space="preserve"> </w:t>
      </w:r>
      <w:hyperlink w:anchor="fig-dispersion">
        <w:r>
          <w:rPr>
            <w:rStyle w:val="Hyperlink"/>
          </w:rPr>
          <w:t xml:space="preserve">Figure 4</w:t>
        </w:r>
      </w:hyperlink>
      <w:r>
        <w:t xml:space="preserve"> </w:t>
      </w:r>
      <w:r>
        <w:t xml:space="preserve">illustrates how more uncertainty in the trait perception of one text relative to another broadens the distribution of their discriminal difference. This broadening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Additionally, the figure shows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one text over the other than when their dispersions differ (shaded gray area).</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Discrepancies in the stimuli dispersions and tehir effect on the distribution of the discriminal difference</w:t>
            </w:r>
          </w:p>
          <w:bookmarkEnd w:id="46"/>
        </w:tc>
      </w:tr>
    </w:tbl>
    <w:p>
      <w:pPr>
        <w:pStyle w:val="BodyText"/>
      </w:pPr>
      <w:r>
        <w:t xml:space="preserve">However, Thurstone contended that the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others</w:t>
      </w:r>
      <w:r>
        <w:t xml:space="preserve"> </w:t>
      </w:r>
      <w:r>
        <w:t xml:space="preserve">(Pollitt 2012a, 2012b; van Daal et al. 2016; Goossens and De Maeyer 2018)</w:t>
      </w:r>
      <w:r>
        <w:t xml:space="preserve">. This finding implies that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 Moreover, the presence of these</w:t>
      </w:r>
      <w:r>
        <w:t xml:space="preserve"> </w:t>
      </w:r>
      <w:r>
        <w:t xml:space="preserve">“misfit”</w:t>
      </w:r>
      <w:r>
        <w:t xml:space="preserve"> </w:t>
      </w:r>
      <w:r>
        <w:t xml:space="preserve">judges and their deviations can introduce additional statistical and measurement issues, as discussed in</w:t>
      </w:r>
      <w:r>
        <w:t xml:space="preserve"> </w:t>
      </w:r>
      <w:hyperlink w:anchor="sec-theory-issue1b">
        <w:r>
          <w:rPr>
            <w:rStyle w:val="Hyperlink"/>
          </w:rPr>
          <w:t xml:space="preserve">Section 3.1.2</w:t>
        </w:r>
      </w:hyperlink>
      <w:r>
        <w:t xml:space="preserve">.</w:t>
      </w:r>
    </w:p>
    <w:p>
      <w:pPr>
        <w:pStyle w:val="BodyText"/>
      </w:pPr>
      <w:r>
        <w:t xml:space="preserve">Therefore, assuming equal dispersions between stimuli, despite its violation, can cause Case V (and the BTL model) to inflate the reliability of the comparison outcome. Moreover, ignoring the difference in dispersions can lead to the neglect of critical differences in the reliability of the trait across stimuli, resulting in inaccurate conclusions about the trait’s estimates</w:t>
      </w:r>
      <w:r>
        <w:t xml:space="preserve"> </w:t>
      </w:r>
      <w:r>
        <w:t xml:space="preserve">(McElreath 2020, 370)</w:t>
      </w:r>
      <w:r>
        <w:t xml:space="preserve">. Furthermore, if researchers acknowledge that misfit statistics help identify these critical differences,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unpredictable, as they depend on the specific stimuli researchers exclude from the analysis. Together, these oversights undermine the reliability of the trait and ultimately compromise its validity</w:t>
      </w:r>
      <w:r>
        <w:t xml:space="preserve"> </w:t>
      </w:r>
      <w:r>
        <w:t xml:space="preserve">(Perron and Gillespie 2015, 2)</w:t>
      </w:r>
      <w:r>
        <w:t xml:space="preserve">.</w:t>
      </w:r>
    </w:p>
    <w:bookmarkEnd w:id="47"/>
    <w:bookmarkStart w:id="52" w:name="sec-theory-issue1b"/>
    <w:p>
      <w:pPr>
        <w:pStyle w:val="Heading3"/>
      </w:pPr>
      <w:r>
        <w:t xml:space="preserve">The assumption of zero correlation between stimuli</w:t>
      </w:r>
    </w:p>
    <w:p>
      <w:pPr>
        <w:pStyle w:val="FirstParagraph"/>
      </w:pPr>
      <w:r>
        <w:t xml:space="preserve">Similar to the discriminal dispersions, the correlation between discriminal processes plays a crucial role in determining the dichotomous outcomes of pairwise comparisons. This correlation also shapes the distribution of the discriminal difference, directly influencing the comparison outcome.</w:t>
      </w:r>
      <w:r>
        <w:t xml:space="preserve"> </w:t>
      </w:r>
      <w:hyperlink w:anchor="fig-correlation">
        <w:r>
          <w:rPr>
            <w:rStyle w:val="Hyperlink"/>
          </w:rPr>
          <w:t xml:space="preserve">Figure 5</w:t>
        </w:r>
      </w:hyperlink>
      <w:r>
        <w:t xml:space="preserve"> </w:t>
      </w:r>
      <w:r>
        <w:t xml:space="preserve">illustrates how the dependence in trait perception between two texts narrows the distribution of their discriminal difference. This narrowing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Moreover,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one text over the other than when the texts are highly correlated (shaded gray area).</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correlation between stimuli and its effect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can introduce additional statistical and measurement issues, as discussed in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need to address factors that create dependencies between stimuli, as failing to do so can affect the reliability of the comparison outcomes and lead to inaccurate conclusions about the trait’s estimates. For instance, researchers who overlook additional relevant traits, such as judges’ biases, can cause dimensional mismatches in the statistical model used for analysis. This mismatch can artificially inflate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as discussed in</w:t>
      </w:r>
      <w:r>
        <w:t xml:space="preserve"> </w:t>
      </w:r>
      <w:hyperlink w:anchor="sec-theory-issue1a">
        <w:r>
          <w:rPr>
            <w:rStyle w:val="Hyperlink"/>
          </w:rPr>
          <w:t xml:space="preserve">Section 3.1.1</w:t>
        </w:r>
      </w:hyperlink>
      <w:r>
        <w:t xml:space="preserv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reliability</w:t>
      </w:r>
      <w:r>
        <w:t xml:space="preserve"> </w:t>
      </w:r>
      <w:r>
        <w:t xml:space="preserve">(Hoyle 2023, 482)</w:t>
      </w:r>
      <w:r>
        <w:t xml:space="preserve">. Together, these issues undermine the reliability of the trait and compromise the validity of its estimates</w:t>
      </w:r>
      <w:r>
        <w:t xml:space="preserve"> </w:t>
      </w:r>
      <w:r>
        <w:t xml:space="preserve">(Perron and Gillespie 2015, 2)</w:t>
      </w:r>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bookmarkEnd w:id="54"/>
    <w:bookmarkEnd w:id="55"/>
    <w:bookmarkStart w:id="58" w:name="sec-theory"/>
    <w:p>
      <w:pPr>
        <w:pStyle w:val="Heading1"/>
      </w:pPr>
      <w:r>
        <w:t xml:space="preserve">An updated theoretical and statistical model for CJ</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7" w:name="references"/>
    <w:p>
      <w:pPr>
        <w:pStyle w:val="Heading1"/>
      </w:pPr>
      <w:r>
        <w:t xml:space="preserve">References</w:t>
      </w:r>
    </w:p>
    <w:bookmarkStart w:id="146" w:name="refs"/>
    <w:bookmarkStart w:id="66"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5">
        <w:r>
          <w:rPr>
            <w:rStyle w:val="Hyperlink"/>
          </w:rPr>
          <w:t xml:space="preserve">https://doi.org/10.1177/014662168901300201</w:t>
        </w:r>
      </w:hyperlink>
      <w:r>
        <w:t xml:space="preserve">.</w:t>
      </w:r>
    </w:p>
    <w:bookmarkEnd w:id="66"/>
    <w:bookmarkStart w:id="6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7">
        <w:r>
          <w:rPr>
            <w:rStyle w:val="Hyperlink"/>
          </w:rPr>
          <w:t xml:space="preserve">https://doi.org/10.1177/014662167800200319</w:t>
        </w:r>
      </w:hyperlink>
      <w:r>
        <w:t xml:space="preserve">.</w:t>
      </w:r>
    </w:p>
    <w:bookmarkEnd w:id="68"/>
    <w:bookmarkStart w:id="7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9">
        <w:r>
          <w:rPr>
            <w:rStyle w:val="Hyperlink"/>
          </w:rPr>
          <w:t xml:space="preserve">https://doi.org/10.1080/10627197.2018.1444986</w:t>
        </w:r>
      </w:hyperlink>
      <w:r>
        <w:t xml:space="preserve">.</w:t>
      </w:r>
    </w:p>
    <w:bookmarkEnd w:id="70"/>
    <w:bookmarkStart w:id="7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1">
        <w:r>
          <w:rPr>
            <w:rStyle w:val="Hyperlink"/>
          </w:rPr>
          <w:t xml:space="preserve">https://doi.org/10.1007/978-3-030-52229-2_18</w:t>
        </w:r>
      </w:hyperlink>
      <w:r>
        <w:t xml:space="preserve">.</w:t>
      </w:r>
    </w:p>
    <w:bookmarkEnd w:id="72"/>
    <w:bookmarkStart w:id="7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3">
        <w:r>
          <w:rPr>
            <w:rStyle w:val="Hyperlink"/>
          </w:rPr>
          <w:t xml:space="preserve">https://doi.org/10.1016/j.jcomdis.2019.105969</w:t>
        </w:r>
      </w:hyperlink>
      <w:r>
        <w:t xml:space="preserve">.</w:t>
      </w:r>
    </w:p>
    <w:bookmarkEnd w:id="74"/>
    <w:bookmarkStart w:id="7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5">
        <w:r>
          <w:rPr>
            <w:rStyle w:val="Hyperlink"/>
          </w:rPr>
          <w:t xml:space="preserve">https://doi.org/10.17239/jowr-2024.15.03.03</w:t>
        </w:r>
      </w:hyperlink>
      <w:r>
        <w:t xml:space="preserve">.</w:t>
      </w:r>
    </w:p>
    <w:bookmarkEnd w:id="76"/>
    <w:bookmarkStart w:id="7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7">
        <w:r>
          <w:rPr>
            <w:rStyle w:val="Hyperlink"/>
          </w:rPr>
          <w:t xml:space="preserve">https://doi.org/10.2307/2334029</w:t>
        </w:r>
      </w:hyperlink>
      <w:r>
        <w:t xml:space="preserve">.</w:t>
      </w:r>
    </w:p>
    <w:bookmarkEnd w:id="78"/>
    <w:bookmarkStart w:id="8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9">
        <w:r>
          <w:rPr>
            <w:rStyle w:val="Hyperlink"/>
          </w:rPr>
          <w:t xml:space="preserve">https://assets.publishing.service.gov.uk/media/5a80d75940f0b62305b8d734/2007-comparability-exam-standards-i-chapter7.pdf</w:t>
        </w:r>
      </w:hyperlink>
      <w:r>
        <w:t xml:space="preserve">.</w:t>
      </w:r>
    </w:p>
    <w:bookmarkEnd w:id="80"/>
    <w:bookmarkStart w:id="8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1">
        <w:r>
          <w:rPr>
            <w:rStyle w:val="Hyperlink"/>
          </w:rPr>
          <w:t xml:space="preserve">https://doi.org/10.1080/0969594X.2017.1418734</w:t>
        </w:r>
      </w:hyperlink>
      <w:r>
        <w:t xml:space="preserve">.</w:t>
      </w:r>
    </w:p>
    <w:bookmarkEnd w:id="82"/>
    <w:bookmarkStart w:id="84"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3">
        <w:r>
          <w:rPr>
            <w:rStyle w:val="Hyperlink"/>
          </w:rPr>
          <w:t xml:space="preserve">https://doi.org/10.3389/feduc.2022.802392</w:t>
        </w:r>
      </w:hyperlink>
      <w:r>
        <w:t xml:space="preserve">.</w:t>
      </w:r>
    </w:p>
    <w:bookmarkEnd w:id="84"/>
    <w:bookmarkStart w:id="86"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5">
        <w:r>
          <w:rPr>
            <w:rStyle w:val="Hyperlink"/>
          </w:rPr>
          <w:t xml:space="preserve">https://repository.uantwerpen.be/docman/irua/e71ea9/147930.pdf</w:t>
        </w:r>
      </w:hyperlink>
      <w:r>
        <w:t xml:space="preserve">.</w:t>
      </w:r>
    </w:p>
    <w:bookmarkEnd w:id="86"/>
    <w:bookmarkStart w:id="88"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Everitt_et_al_2010"/>
    <w:p>
      <w:pPr>
        <w:pStyle w:val="Bibliography"/>
      </w:pPr>
      <w:r>
        <w:t xml:space="preserve">Everitt, B., and A. Skrondal. 2010.</w:t>
      </w:r>
      <w:r>
        <w:t xml:space="preserve"> </w:t>
      </w:r>
      <w:hyperlink r:id="rId89">
        <w:r>
          <w:rPr>
            <w:rStyle w:val="Hyperlink"/>
            <w:i/>
            <w:iCs/>
          </w:rPr>
          <w:t xml:space="preserve">The Cambridge Dictionary of Statistics</w:t>
        </w:r>
      </w:hyperlink>
      <w:r>
        <w:t xml:space="preserve">. Cambridge University Press.</w:t>
      </w:r>
    </w:p>
    <w:bookmarkEnd w:id="90"/>
    <w:bookmarkStart w:id="9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1">
        <w:r>
          <w:rPr>
            <w:rStyle w:val="Hyperlink"/>
          </w:rPr>
          <w:t xml:space="preserve">https://doi.org/10.3389/feduc.2020.582800</w:t>
        </w:r>
      </w:hyperlink>
      <w:r>
        <w:t xml:space="preserve">.</w:t>
      </w:r>
    </w:p>
    <w:bookmarkEnd w:id="92"/>
    <w:bookmarkStart w:id="9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3">
        <w:r>
          <w:rPr>
            <w:rStyle w:val="Hyperlink"/>
          </w:rPr>
          <w:t xml:space="preserve">https://doi.org/10.1007/978-3-319-97807-9_2</w:t>
        </w:r>
      </w:hyperlink>
      <w:r>
        <w:t xml:space="preserve">.</w:t>
      </w:r>
    </w:p>
    <w:bookmarkEnd w:id="94"/>
    <w:bookmarkStart w:id="95" w:name="ref-Hoyle_et_al_2023"/>
    <w:p>
      <w:pPr>
        <w:pStyle w:val="Bibliography"/>
      </w:pPr>
      <w:r>
        <w:t xml:space="preserve">Hoyle, R. (eds.). 2023.</w:t>
      </w:r>
      <w:r>
        <w:t xml:space="preserve"> </w:t>
      </w:r>
      <w:hyperlink r:id="rId89">
        <w:r>
          <w:rPr>
            <w:rStyle w:val="Hyperlink"/>
            <w:i/>
            <w:iCs/>
          </w:rPr>
          <w:t xml:space="preserve">Handbook of Structural Equation Modeling</w:t>
        </w:r>
      </w:hyperlink>
      <w:r>
        <w:t xml:space="preserve">. Guilford Press.</w:t>
      </w:r>
    </w:p>
    <w:bookmarkEnd w:id="95"/>
    <w:bookmarkStart w:id="9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6">
        <w:r>
          <w:rPr>
            <w:rStyle w:val="Hyperlink"/>
          </w:rPr>
          <w:t xml:space="preserve">https://doi.org/10.1002/berj.3519</w:t>
        </w:r>
      </w:hyperlink>
      <w:r>
        <w:t xml:space="preserve">.</w:t>
      </w:r>
    </w:p>
    <w:bookmarkEnd w:id="97"/>
    <w:bookmarkStart w:id="99"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8">
        <w:r>
          <w:rPr>
            <w:rStyle w:val="Hyperlink"/>
          </w:rPr>
          <w:t xml:space="preserve">https://doi.org/10.1007/s10649-015-9607-1</w:t>
        </w:r>
      </w:hyperlink>
      <w:r>
        <w:t xml:space="preserve">.</w:t>
      </w:r>
    </w:p>
    <w:bookmarkEnd w:id="99"/>
    <w:bookmarkStart w:id="101"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0">
        <w:r>
          <w:rPr>
            <w:rStyle w:val="Hyperlink"/>
          </w:rPr>
          <w:t xml:space="preserve">https://doi.org/10.1080/0969594X.2022.2147901</w:t>
        </w:r>
      </w:hyperlink>
      <w:r>
        <w:t xml:space="preserve">.</w:t>
      </w:r>
    </w:p>
    <w:bookmarkEnd w:id="101"/>
    <w:bookmarkStart w:id="103"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2">
        <w:r>
          <w:rPr>
            <w:rStyle w:val="Hyperlink"/>
          </w:rPr>
          <w:t xml:space="preserve">https://doi.org/10.1007/s10798-011-9190-4</w:t>
        </w:r>
      </w:hyperlink>
      <w:r>
        <w:t xml:space="preserve">.</w:t>
      </w:r>
    </w:p>
    <w:bookmarkEnd w:id="103"/>
    <w:bookmarkStart w:id="104" w:name="ref-Kline_et_al_2023"/>
    <w:p>
      <w:pPr>
        <w:pStyle w:val="Bibliography"/>
      </w:pPr>
      <w:r>
        <w:t xml:space="preserve">Kline, R. 2023.</w:t>
      </w:r>
      <w:r>
        <w:t xml:space="preserve"> </w:t>
      </w:r>
      <w:hyperlink r:id="rId89">
        <w:r>
          <w:rPr>
            <w:rStyle w:val="Hyperlink"/>
            <w:i/>
            <w:iCs/>
          </w:rPr>
          <w:t xml:space="preserve">Principles and Practice of Structural Equation Modeling</w:t>
        </w:r>
      </w:hyperlink>
      <w:r>
        <w:t xml:space="preserve">. Methodology in the Social Sciences. Guilford Press.</w:t>
      </w:r>
    </w:p>
    <w:bookmarkEnd w:id="104"/>
    <w:bookmarkStart w:id="106"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5">
        <w:r>
          <w:rPr>
            <w:rStyle w:val="Hyperlink"/>
          </w:rPr>
          <w:t xml:space="preserve">https://doi.org/10.2304/plat.2003.3.2.89</w:t>
        </w:r>
      </w:hyperlink>
      <w:r>
        <w:t xml:space="preserve">.</w:t>
      </w:r>
    </w:p>
    <w:bookmarkEnd w:id="106"/>
    <w:bookmarkStart w:id="108"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7">
        <w:r>
          <w:rPr>
            <w:rStyle w:val="Hyperlink"/>
          </w:rPr>
          <w:t xml:space="preserve">https://hdl.handle.net/10067/1548280151162165141</w:t>
        </w:r>
      </w:hyperlink>
      <w:r>
        <w:t xml:space="preserve">.</w:t>
      </w:r>
    </w:p>
    <w:bookmarkEnd w:id="108"/>
    <w:bookmarkStart w:id="110"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9">
        <w:r>
          <w:rPr>
            <w:rStyle w:val="Hyperlink"/>
          </w:rPr>
          <w:t xml:space="preserve">https://doi.org/10.17239/L1ESLL-2018.18.01.02</w:t>
        </w:r>
      </w:hyperlink>
      <w:r>
        <w:t xml:space="preserve">.</w:t>
      </w:r>
    </w:p>
    <w:bookmarkEnd w:id="110"/>
    <w:bookmarkStart w:id="11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1">
        <w:r>
          <w:rPr>
            <w:rStyle w:val="Hyperlink"/>
          </w:rPr>
          <w:t xml:space="preserve">https://doi.org/10.1037/h0043178</w:t>
        </w:r>
      </w:hyperlink>
      <w:r>
        <w:t xml:space="preserve">.</w:t>
      </w:r>
    </w:p>
    <w:bookmarkEnd w:id="112"/>
    <w:bookmarkStart w:id="11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3">
        <w:r>
          <w:rPr>
            <w:rStyle w:val="Hyperlink"/>
          </w:rPr>
          <w:t xml:space="preserve">https://doi.org/10.1007/s40841-020-00163-3</w:t>
        </w:r>
      </w:hyperlink>
      <w:r>
        <w:t xml:space="preserve">.</w:t>
      </w:r>
    </w:p>
    <w:bookmarkEnd w:id="114"/>
    <w:bookmarkStart w:id="115" w:name="ref-McElreath_2020"/>
    <w:p>
      <w:pPr>
        <w:pStyle w:val="Bibliography"/>
      </w:pPr>
      <w:r>
        <w:t xml:space="preserve">McElreath, R. 2020.</w:t>
      </w:r>
      <w:r>
        <w:t xml:space="preserve"> </w:t>
      </w:r>
      <w:hyperlink r:id="rId89">
        <w:r>
          <w:rPr>
            <w:rStyle w:val="Hyperlink"/>
            <w:i/>
            <w:iCs/>
          </w:rPr>
          <w:t xml:space="preserve">Statistical Rethinking: A Bayesian Course with Examples in r and STAN</w:t>
        </w:r>
      </w:hyperlink>
      <w:r>
        <w:t xml:space="preserve">. Chapman; Hall/CRC.</w:t>
      </w:r>
    </w:p>
    <w:bookmarkEnd w:id="115"/>
    <w:bookmarkStart w:id="11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6">
        <w:r>
          <w:rPr>
            <w:rStyle w:val="Hyperlink"/>
          </w:rPr>
          <w:t xml:space="preserve">https://doi.org/10.1109/ICPR48806.2021.9412676</w:t>
        </w:r>
      </w:hyperlink>
      <w:r>
        <w:t xml:space="preserve">.</w:t>
      </w:r>
    </w:p>
    <w:bookmarkEnd w:id="117"/>
    <w:bookmarkStart w:id="119"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8">
        <w:r>
          <w:rPr>
            <w:rStyle w:val="Hyperlink"/>
          </w:rPr>
          <w:t xml:space="preserve">https://doi.org/10.1093/acprof:oso/9780199855483.003.0004</w:t>
        </w:r>
      </w:hyperlink>
      <w:r>
        <w:t xml:space="preserve">.</w:t>
      </w:r>
    </w:p>
    <w:bookmarkEnd w:id="119"/>
    <w:bookmarkStart w:id="12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0">
        <w:r>
          <w:rPr>
            <w:rStyle w:val="Hyperlink"/>
          </w:rPr>
          <w:t xml:space="preserve">https://www.cambridgeassessment.org.uk/images/109719-let-s-stop-marking-exams.pdf</w:t>
        </w:r>
      </w:hyperlink>
      <w:r>
        <w:t xml:space="preserve">.</w:t>
      </w:r>
    </w:p>
    <w:bookmarkEnd w:id="121"/>
    <w:bookmarkStart w:id="12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2">
        <w:r>
          <w:rPr>
            <w:rStyle w:val="Hyperlink"/>
          </w:rPr>
          <w:t xml:space="preserve">https://doi.org/10.1007/s10798-011-9189-x</w:t>
        </w:r>
      </w:hyperlink>
      <w:r>
        <w:t xml:space="preserve">.</w:t>
      </w:r>
    </w:p>
    <w:bookmarkEnd w:id="123"/>
    <w:bookmarkStart w:id="12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4">
        <w:r>
          <w:rPr>
            <w:rStyle w:val="Hyperlink"/>
          </w:rPr>
          <w:t xml:space="preserve">https://doi.org/10.1080/0969594X.2012.665354</w:t>
        </w:r>
      </w:hyperlink>
      <w:r>
        <w:t xml:space="preserve">.</w:t>
      </w:r>
    </w:p>
    <w:bookmarkEnd w:id="125"/>
    <w:bookmarkStart w:id="12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6">
        <w:r>
          <w:rPr>
            <w:rStyle w:val="Hyperlink"/>
          </w:rPr>
          <w:t xml:space="preserve">https://www.cambridgeassessment.org.uk/Images/109707-monitoring-and-investigating-comparability-a-proper-role-for-human-judgement.pdf</w:t>
        </w:r>
      </w:hyperlink>
      <w:r>
        <w:t xml:space="preserve">.</w:t>
      </w:r>
    </w:p>
    <w:bookmarkEnd w:id="127"/>
    <w:bookmarkStart w:id="12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8">
        <w:r>
          <w:rPr>
            <w:rStyle w:val="Hyperlink"/>
          </w:rPr>
          <w:t xml:space="preserve">https://doi.org/10.1037/h0070288</w:t>
        </w:r>
      </w:hyperlink>
      <w:r>
        <w:t xml:space="preserve">.</w:t>
      </w:r>
    </w:p>
    <w:bookmarkEnd w:id="129"/>
    <w:bookmarkStart w:id="13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0">
        <w:r>
          <w:rPr>
            <w:rStyle w:val="Hyperlink"/>
          </w:rPr>
          <w:t xml:space="preserve">https://brocku.ca/MeadProject/Thurstone/Thurstone_1927g.html</w:t>
        </w:r>
      </w:hyperlink>
      <w:r>
        <w:t xml:space="preserve">.</w:t>
      </w:r>
    </w:p>
    <w:bookmarkEnd w:id="131"/>
    <w:bookmarkStart w:id="13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2">
        <w:r>
          <w:rPr>
            <w:rStyle w:val="Hyperlink"/>
          </w:rPr>
          <w:t xml:space="preserve">https://doi.org/10.1080/0969594X.2016.1253542</w:t>
        </w:r>
      </w:hyperlink>
      <w:r>
        <w:t xml:space="preserve">.</w:t>
      </w:r>
    </w:p>
    <w:bookmarkEnd w:id="133"/>
    <w:bookmarkStart w:id="13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4">
        <w:r>
          <w:rPr>
            <w:rStyle w:val="Hyperlink"/>
          </w:rPr>
          <w:t xml:space="preserve">https://doi.org/10.3389/feduc.2017.00044</w:t>
        </w:r>
      </w:hyperlink>
      <w:r>
        <w:t xml:space="preserve">.</w:t>
      </w:r>
    </w:p>
    <w:bookmarkEnd w:id="135"/>
    <w:bookmarkStart w:id="136" w:name="ref-vanderLinden_et_al_2017_I"/>
    <w:p>
      <w:pPr>
        <w:pStyle w:val="Bibliography"/>
      </w:pPr>
      <w:r>
        <w:t xml:space="preserve">van der Linden, W., ed. 2017a.</w:t>
      </w:r>
      <w:r>
        <w:t xml:space="preserve"> </w:t>
      </w:r>
      <w:hyperlink r:id="rId89">
        <w:r>
          <w:rPr>
            <w:rStyle w:val="Hyperlink"/>
            <w:i/>
            <w:iCs/>
          </w:rPr>
          <w:t xml:space="preserve">Handbook of Item Response Theory: Models</w:t>
        </w:r>
      </w:hyperlink>
      <w:r>
        <w:t xml:space="preserve">. Vol. 1. Statistics in the Social and Behavioral Sciences Series. CRC Press.</w:t>
      </w:r>
    </w:p>
    <w:bookmarkEnd w:id="136"/>
    <w:bookmarkStart w:id="137" w:name="ref-vanderLinden_et_al_2017_II"/>
    <w:p>
      <w:pPr>
        <w:pStyle w:val="Bibliography"/>
      </w:pPr>
      <w:r>
        <w:t xml:space="preserve">———, ed. 2017b.</w:t>
      </w:r>
      <w:r>
        <w:t xml:space="preserve"> </w:t>
      </w:r>
      <w:hyperlink r:id="rId89">
        <w:r>
          <w:rPr>
            <w:rStyle w:val="Hyperlink"/>
            <w:i/>
            <w:iCs/>
          </w:rPr>
          <w:t xml:space="preserve">Handbook of Item Response Theory: Statistical Tools</w:t>
        </w:r>
      </w:hyperlink>
      <w:r>
        <w:t xml:space="preserve">. Vol. 2. Statistics in the Social and Behavioral Sciences Series. CRC Press.</w:t>
      </w:r>
    </w:p>
    <w:bookmarkEnd w:id="137"/>
    <w:bookmarkStart w:id="13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8">
        <w:r>
          <w:rPr>
            <w:rStyle w:val="Hyperlink"/>
          </w:rPr>
          <w:t xml:space="preserve">https://doi.org/10.1080/0969594X.2019.1602027</w:t>
        </w:r>
      </w:hyperlink>
      <w:r>
        <w:t xml:space="preserve">.</w:t>
      </w:r>
    </w:p>
    <w:bookmarkEnd w:id="139"/>
    <w:bookmarkStart w:id="14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0">
        <w:r>
          <w:rPr>
            <w:rStyle w:val="Hyperlink"/>
          </w:rPr>
          <w:t xml:space="preserve">https://doi.org/10.3389/feduc.2021.785919</w:t>
        </w:r>
      </w:hyperlink>
      <w:r>
        <w:t xml:space="preserve">.</w:t>
      </w:r>
    </w:p>
    <w:bookmarkEnd w:id="141"/>
    <w:bookmarkStart w:id="14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2">
        <w:r>
          <w:rPr>
            <w:rStyle w:val="Hyperlink"/>
          </w:rPr>
          <w:t xml:space="preserve">https://filestore.aqa.org.uk/content/research/CERP_RP_CW_24102012_0.pdf?download=1</w:t>
        </w:r>
      </w:hyperlink>
      <w:r>
        <w:t xml:space="preserve">.</w:t>
      </w:r>
    </w:p>
    <w:bookmarkEnd w:id="143"/>
    <w:bookmarkStart w:id="14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4">
        <w:r>
          <w:rPr>
            <w:rStyle w:val="Hyperlink"/>
          </w:rPr>
          <w:t xml:space="preserve">https://doi.org/10.1080/00221309.1994.9921213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2024-12-07T15:54:28Z</dcterms:created>
  <dcterms:modified xsi:type="dcterms:W3CDTF">2024-12-07T15:54:28Z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