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1.png" ContentType="image/png"/>
  <Override PartName="/word/media/rId88.png" ContentType="image/png"/>
  <Override PartName="/word/media/rId92.png" ContentType="image/png"/>
  <Override PartName="/word/media/rId80.png" ContentType="image/png"/>
  <Override PartName="/word/media/rId84.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30.png" ContentType="image/png"/>
  <Override PartName="/word/media/rId39.png" ContentType="image/png"/>
  <Override PartName="/word/media/rId48.png" ContentType="image/png"/>
  <Override PartName="/word/media/rId57.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2024-08-14</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 in</w:t>
      </w:r>
      <w:r>
        <w:t xml:space="preserve"> </w:t>
      </w:r>
      <w:r>
        <w:t xml:space="preserve">van Daal et al. (2019)</w:t>
      </w:r>
      <w:r>
        <w:t xml:space="preserve">, the authors 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to causal inference,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7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like</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structural"/>
    <w:p>
      <w:pPr>
        <w:pStyle w:val="Heading2"/>
      </w:pPr>
      <w:r>
        <w:t xml:space="preserve">The structural approach to causal inference</w:t>
      </w:r>
    </w:p>
    <w:p>
      <w:pPr>
        <w:pStyle w:val="FirstParagraph"/>
      </w:pPr>
      <w:r>
        <w:t xml:space="preserve">Empirical research addresses real-world challenges by relying on evidence gathered through observation and experimentation. In this context, researchers typically frame their research questions as</w:t>
      </w:r>
      <w:r>
        <w:t xml:space="preserve"> </w:t>
      </w:r>
      <w:r>
        <w:rPr>
          <w:i/>
          <w:iCs/>
        </w:rPr>
        <w:t xml:space="preserve">estimands</w:t>
      </w:r>
      <w:r>
        <w:t xml:space="preserve"> </w:t>
      </w:r>
      <w:r>
        <w:t xml:space="preserve">or</w:t>
      </w:r>
      <w:r>
        <w:t xml:space="preserve"> </w:t>
      </w:r>
      <w:r>
        <w:rPr>
          <w:i/>
          <w:iCs/>
        </w:rPr>
        <w:t xml:space="preserve">targets of inference</w:t>
      </w:r>
      <w:r>
        <w:t xml:space="preserve">. These estimands represent the specific quantities the study aims to determine</w:t>
      </w:r>
      <w:r>
        <w:t xml:space="preserve"> </w:t>
      </w:r>
      <w:r>
        <w:t xml:space="preserve">(Everitt and Skrondal 2010)</w:t>
      </w:r>
      <w:r>
        <w:t xml:space="preserve">. For instance, a study might examine the question,</w:t>
      </w:r>
      <w:r>
        <w:t xml:space="preserve"> </w:t>
      </w:r>
      <w:r>
        <w:t xml:space="preserve">“</w:t>
      </w:r>
      <w:r>
        <w:t xml:space="preserve">To what extent do different teaching methods (</w:t>
      </w:r>
      <m:oMath>
        <m:r>
          <m:t>X</m:t>
        </m:r>
      </m:oMath>
      <w:r>
        <w:t xml:space="preserve">) influence students’ conceptual understanding of algebra (</w:t>
      </w:r>
      <m:oMath>
        <m:r>
          <m:t>Y</m:t>
        </m:r>
      </m:oMath>
      <w:r>
        <w:t xml:space="preserve">)?</w:t>
      </w:r>
      <w:r>
        <w:t xml:space="preserve">”</w:t>
      </w:r>
      <w:r>
        <w:t xml:space="preserve"> </w:t>
      </w:r>
      <w:r>
        <w:t xml:space="preserve">To investigate this, the study randomly assigns students to two groups, each using different algebra teaching method</w:t>
      </w:r>
      <w:r>
        <w:t xml:space="preserve"> </w:t>
      </w:r>
      <m:oMath>
        <m:d>
          <m:dPr>
            <m:begChr m:val="("/>
            <m:endChr m:val=")"/>
            <m:sepChr m:val=""/>
            <m:grow/>
          </m:dPr>
          <m:e>
            <m:r>
              <m:t>X</m:t>
            </m:r>
            <m:r>
              <m:rPr>
                <m:sty m:val="p"/>
              </m:rPr>
              <m:t>=</m:t>
            </m:r>
            <m:r>
              <m:rPr>
                <m:sty m:val="p"/>
              </m:rPr>
              <m:t>{</m:t>
            </m:r>
            <m:r>
              <m:t>1</m:t>
            </m:r>
            <m:r>
              <m:rPr>
                <m:sty m:val="p"/>
              </m:rPr>
              <m:t>,</m:t>
            </m:r>
            <m:r>
              <m:t>2</m:t>
            </m:r>
            <m:r>
              <m:rPr>
                <m:sty m:val="p"/>
              </m:rPr>
              <m:t>}</m:t>
            </m:r>
          </m:e>
        </m:d>
      </m:oMath>
      <w:r>
        <w:t xml:space="preserve">. Students’ conceptual understanding of algebra is evaluated through pairwise comparisons, resulting in a dichotomous outcome</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indicating which student possesses a higher degree of understanding among those compared. The research question is then framed as the estimand,</w:t>
      </w:r>
      <w:r>
        <w:t xml:space="preserve"> </w:t>
      </w:r>
      <w:r>
        <w:t xml:space="preserve">“</w:t>
      </w:r>
      <w:r>
        <w:rPr>
          <w:i/>
          <w:iCs/>
        </w:rPr>
        <w:t xml:space="preserve">On average</w:t>
      </w:r>
      <w:r>
        <w:t xml:space="preserve">, is there a difference in conceptual understanding of algebra between the two groups of student?</w:t>
      </w:r>
      <w:r>
        <w:t xml:space="preserve">”</w:t>
      </w:r>
      <w:r>
        <w:t xml:space="preserve"> </w:t>
      </w:r>
      <w:r>
        <w:t xml:space="preserve">This estimand is mathematically expressed as</w:t>
      </w:r>
      <w:r>
        <w:t xml:space="preserve"> </w:t>
      </w:r>
      <m:oMath>
        <m:r>
          <m:t>E</m:t>
        </m:r>
        <m:d>
          <m:dPr>
            <m:begChr m:val="["/>
            <m:endChr m:val="]"/>
            <m:sepChr m:val=""/>
            <m:grow/>
          </m:dPr>
          <m:e>
            <m:r>
              <m:t>Y</m:t>
            </m:r>
            <m:r>
              <m:rPr>
                <m:sty m:val="p"/>
              </m:rPr>
              <m:t>|</m:t>
            </m:r>
            <m:r>
              <m:t>X</m:t>
            </m:r>
            <m:r>
              <m:rPr>
                <m:sty m:val="p"/>
              </m:rPr>
              <m:t>=</m:t>
            </m:r>
            <m:r>
              <m:t>1</m:t>
            </m:r>
          </m:e>
        </m:d>
        <m:r>
          <m:rPr>
            <m:sty m:val="p"/>
          </m:rPr>
          <m:t>−</m:t>
        </m:r>
        <m:r>
          <m:t>E</m:t>
        </m:r>
        <m:d>
          <m:dPr>
            <m:begChr m:val="["/>
            <m:endChr m:val="]"/>
            <m:sepChr m:val=""/>
            <m:grow/>
          </m:dPr>
          <m:e>
            <m:r>
              <m:t>Y</m:t>
            </m:r>
            <m:r>
              <m:rPr>
                <m:sty m:val="p"/>
              </m:rPr>
              <m:t>|</m:t>
            </m:r>
            <m:r>
              <m:t>X</m:t>
            </m:r>
            <m:r>
              <m:rPr>
                <m:sty m:val="p"/>
              </m:rPr>
              <m:t>=</m:t>
            </m:r>
            <m:r>
              <m:t>2</m:t>
            </m:r>
          </m:e>
        </m:d>
      </m:oMath>
      <w:r>
        <w:t xml:space="preserve">, where</w:t>
      </w:r>
      <w:r>
        <w:t xml:space="preserve"> </w:t>
      </w:r>
      <m:oMath>
        <m:r>
          <m:t>E</m:t>
        </m:r>
        <m:d>
          <m:dPr>
            <m:begChr m:val="["/>
            <m:endChr m:val="]"/>
            <m:sepChr m:val=""/>
            <m:grow/>
          </m:dPr>
          <m:e>
            <m:r>
              <m:rPr>
                <m:sty m:val="p"/>
              </m:rPr>
              <m:t>⋅</m:t>
            </m:r>
          </m:e>
        </m:d>
      </m:oMath>
      <w:r>
        <w:t xml:space="preserve"> </w:t>
      </w:r>
      <w:r>
        <w:t xml:space="preserve">denotes the expected value. An example of this approach is seen in</w:t>
      </w:r>
      <w:r>
        <w:t xml:space="preserve"> </w:t>
      </w:r>
      <w:r>
        <w:t xml:space="preserve">Jones et al. (2019)</w:t>
      </w:r>
      <w:r>
        <w:t xml:space="preserve">.</w:t>
      </w:r>
    </w:p>
    <w:p>
      <w:pPr>
        <w:pStyle w:val="BodyText"/>
      </w:pPr>
      <w:r>
        <w:t xml:space="preserve">Researchers then proceed to identify the estimands.</w:t>
      </w:r>
      <w:r>
        <w:t xml:space="preserve"> </w:t>
      </w:r>
      <w:r>
        <w:rPr>
          <w:i/>
          <w:iCs/>
        </w:rPr>
        <w:t xml:space="preserve">Identification</w:t>
      </w:r>
      <w:r>
        <w:t xml:space="preserve"> </w:t>
      </w:r>
      <w:r>
        <w:t xml:space="preserve">refers to the process of accurately computing an estimand using an estimator. An</w:t>
      </w:r>
      <w:r>
        <w:t xml:space="preserve"> </w:t>
      </w:r>
      <w:r>
        <w:rPr>
          <w:i/>
          <w:iCs/>
        </w:rPr>
        <w:t xml:space="preserve">estimator</w:t>
      </w:r>
      <w:r>
        <w:t xml:space="preserve"> </w:t>
      </w:r>
      <w:r>
        <w:t xml:space="preserve">is a method or function that maps data into an estimate</w:t>
      </w:r>
      <w:r>
        <w:t xml:space="preserve"> </w:t>
      </w:r>
      <w:r>
        <w:t xml:space="preserve">(Neal 2020)</w:t>
      </w:r>
      <w:r>
        <w:t xml:space="preserve">.</w:t>
      </w:r>
      <w:r>
        <w:t xml:space="preserve"> </w:t>
      </w:r>
      <w:r>
        <w:rPr>
          <w:i/>
          <w:iCs/>
        </w:rPr>
        <w:t xml:space="preserve">Estimates</w:t>
      </w:r>
      <w:r>
        <w:t xml:space="preserve"> </w:t>
      </w:r>
      <w:r>
        <w:t xml:space="preserve">are numerical values that approximate the estimand and are derived through</w:t>
      </w:r>
      <w:r>
        <w:t xml:space="preserve"> </w:t>
      </w:r>
      <w:r>
        <w:rPr>
          <w:i/>
          <w:iCs/>
        </w:rPr>
        <w:t xml:space="preserve">estimation</w:t>
      </w:r>
      <w:r>
        <w:t xml:space="preserve">, which refer to the process of integrating data with an estimator</w:t>
      </w:r>
      <w:r>
        <w:t xml:space="preserve"> </w:t>
      </w:r>
      <w:r>
        <w:t xml:space="preserve">(Everitt and Skrondal 2010)</w:t>
      </w:r>
      <w:r>
        <w:t xml:space="preserve">. Although various methods can approximate an estimand, researchers prioritize estimators with desirable properties that ensure the accuracy of estimates. For instance, the BTL model</w:t>
      </w:r>
      <w:r>
        <w:t xml:space="preserve"> </w:t>
      </w:r>
      <w:r>
        <w:t xml:space="preserve">(Bradley and Terry 1952; Luce 1959)</w:t>
      </w:r>
      <w:r>
        <w:t xml:space="preserve"> </w:t>
      </w:r>
      <w:r>
        <w:t xml:space="preserve">is an estimator known for its effectiveness in modeling pairwise comparisons, providing accurate estimates for the desired estimand when its assumptions are met.</w:t>
      </w:r>
    </w:p>
    <w:p>
      <w:pPr>
        <w:pStyle w:val="BodyText"/>
      </w:pPr>
      <w:r>
        <w:t xml:space="preserve">However, many studies aim to understand the mechanisms underlying specific data types and also seek to establish causal relationships rather than merely infer associations. In the earlier example, the associational estimates obtained using the BTL model can be interpreted as causal, because the data were collected using a randomized experiment. Randomized experiments enable the causal interpretation of associational estimates by ensuring several key properties, including common support, no interference, and consistency</w:t>
      </w:r>
      <w:r>
        <w:t xml:space="preserve"> </w:t>
      </w:r>
      <w:r>
        <w:t xml:space="preserve">(Morgan and Winship 2014; Neal 2020)</w:t>
      </w:r>
      <w:r>
        <w:t xml:space="preserve">. The most crucial property, however, is that randomization effectively eliminates confounding.</w:t>
      </w:r>
      <w:r>
        <w:t xml:space="preserve"> </w:t>
      </w:r>
      <w:r>
        <w:rPr>
          <w:i/>
          <w:iCs/>
        </w:rPr>
        <w:t xml:space="preserve">Confounding</w:t>
      </w:r>
      <w:r>
        <w:t xml:space="preserve"> </w:t>
      </w:r>
      <w:r>
        <w:t xml:space="preserve">occurs when an external variable influences both the outcome and the variable of interest, leading to spurious association</w:t>
      </w:r>
      <w:r>
        <w:t xml:space="preserve"> </w:t>
      </w:r>
      <w:r>
        <w:t xml:space="preserve">(Everitt and Skrondal 2010)</w:t>
      </w:r>
      <w:r>
        <w:t xml:space="preserve">. Randomization mitigates this issue by decoupling the intervention assignment mechanism, such as assigning students to different groups, from other variables and outcomes</w:t>
      </w:r>
      <w:r>
        <w:t xml:space="preserve"> </w:t>
      </w:r>
      <w:r>
        <w:t xml:space="preserve">(Morgan and Winship 2014; Neal 2020)</w:t>
      </w:r>
      <w:r>
        <w:t xml:space="preserve">.</w:t>
      </w:r>
    </w:p>
    <w:p>
      <w:pPr>
        <w:pStyle w:val="BodyText"/>
      </w:pPr>
      <w:r>
        <w:t xml:space="preserve">Although experiments are widely regarded as the gold standard in evidence-based science</w:t>
      </w:r>
      <w:r>
        <w:t xml:space="preserve"> </w:t>
      </w:r>
      <w:r>
        <w:t xml:space="preserve">(Hariton and Locascio 2018; Hansson 2014)</w:t>
      </w:r>
      <w:r>
        <w:t xml:space="preserve">, researchers often encounter constraints that limit their ability to conduct experimental studies. These constraints include ethical concerns, such as the assignment of individuals to potentially harmful interventions, and practical limitations, such as the infeasibility of, for example, assigning individuals to genetic modifications or physical impairments</w:t>
      </w:r>
      <w:r>
        <w:t xml:space="preserve"> </w:t>
      </w:r>
      <w:r>
        <w:t xml:space="preserve">(Neal 2020)</w:t>
      </w:r>
      <w:r>
        <w:t xml:space="preserve">. In these instances, causal inference offers a valuable alternative for generating causal estimates.</w:t>
      </w:r>
      <w:r>
        <w:t xml:space="preserve"> </w:t>
      </w:r>
      <w:r>
        <w:rPr>
          <w:i/>
          <w:iCs/>
        </w:rPr>
        <w:t xml:space="preserve">Causal inference</w:t>
      </w:r>
      <w:r>
        <w:t xml:space="preserve"> </w:t>
      </w:r>
      <w:r>
        <w:t xml:space="preserve">is a framework designed to identify the causes of phenomena and estimate their effects using data</w:t>
      </w:r>
      <w:r>
        <w:t xml:space="preserve"> </w:t>
      </w:r>
      <w:r>
        <w:t xml:space="preserve">(Shaughnessy, Zechmeister, and Zechmeister 2010; Neal 2020)</w:t>
      </w:r>
      <w:r>
        <w:t xml:space="preserve">. Unlike classical statistical modeling, which focuses primarily on summarizing data and inferring associations, causal inference provides a rigorous mathematical framework for analyzing causes and counterfactuals</w:t>
      </w:r>
      <w:r>
        <w:t xml:space="preserve"> </w:t>
      </w:r>
      <w:r>
        <w:t xml:space="preserve">(Pearl 2009)</w:t>
      </w:r>
      <w:r>
        <w:t xml:space="preserve">. Moreover, the framework is beneficial for both observational and experimental studies, as it provides significant theoretical insights that enhance their design</w:t>
      </w:r>
      <w:r>
        <w:t xml:space="preserve"> </w:t>
      </w:r>
      <w:r>
        <w:t xml:space="preserve">(McElreath 2020)</w:t>
      </w:r>
      <w:r>
        <w:t xml:space="preserve">.</w:t>
      </w:r>
    </w:p>
    <w:p>
      <w:pPr>
        <w:pStyle w:val="BodyText"/>
      </w:pPr>
      <w:r>
        <w:t xml:space="preserve">Counterfactuals represent the highest level of cognitive abstraction in the ladder of causation, followed by intervention and association</w:t>
      </w:r>
      <w:r>
        <w:t xml:space="preserve"> </w:t>
      </w:r>
      <w:r>
        <w:t xml:space="preserve">(Pearl and Mackenzie 2018)</w:t>
      </w:r>
      <w:r>
        <w:t xml:space="preserve">, and a detailed explanation of causes, counterfactuals, and their applications is beyond the scope of this document. However, it is important to note that causal inference addresses the question,</w:t>
      </w:r>
      <w:r>
        <w:t xml:space="preserve"> </w:t>
      </w:r>
      <w:r>
        <w:t xml:space="preserve">“</w:t>
      </w:r>
      <w:r>
        <w:t xml:space="preserve">What would have happened in the world under different circumstances?</w:t>
      </w:r>
      <w:r>
        <w:t xml:space="preserve">”</w:t>
      </w:r>
      <w:r>
        <w:t xml:space="preserve"> </w:t>
      </w:r>
      <w:r>
        <w:t xml:space="preserve">by transforming unobserved</w:t>
      </w:r>
      <w:r>
        <w:t xml:space="preserve"> </w:t>
      </w:r>
      <w:r>
        <w:rPr>
          <w:i/>
          <w:iCs/>
        </w:rPr>
        <w:t xml:space="preserve">potential outcomes</w:t>
      </w:r>
      <w:r>
        <w:t xml:space="preserve">, known as counterfactuals, into associational estimates.</w:t>
      </w:r>
      <w:r>
        <w:t xml:space="preserve"> </w:t>
      </w:r>
      <w:r>
        <w:rPr>
          <w:i/>
          <w:iCs/>
        </w:rPr>
        <w:t xml:space="preserve">Counterfactuals</w:t>
      </w:r>
      <w:r>
        <w:t xml:space="preserve"> </w:t>
      </w:r>
      <w:r>
        <w:t xml:space="preserve">represent scenarios</w:t>
      </w:r>
      <w:r>
        <w:t xml:space="preserve"> </w:t>
      </w:r>
      <w:r>
        <w:rPr>
          <w:i/>
          <w:iCs/>
        </w:rPr>
        <w:t xml:space="preserve">contrary to fact</w:t>
      </w:r>
      <w:r>
        <w:t xml:space="preserve">, where alternative</w:t>
      </w:r>
      <w:r>
        <w:t xml:space="preserve"> </w:t>
      </w:r>
      <w:r>
        <w:rPr>
          <w:i/>
          <w:iCs/>
        </w:rPr>
        <w:t xml:space="preserve">potential outcomes</w:t>
      </w:r>
      <w:r>
        <w:t xml:space="preserve"> </w:t>
      </w:r>
      <w:r>
        <w:t xml:space="preserve">resulting from a cause are neither observed nor observable</w:t>
      </w:r>
      <w:r>
        <w:t xml:space="preserve"> </w:t>
      </w:r>
      <w:r>
        <w:t xml:space="preserve">(Neal 2020; Counterfactual 2024)</w:t>
      </w:r>
      <w:r>
        <w:t xml:space="preserve">. The framework achieves this transformation while ensuring the absence of confounding. Ultimately, the</w:t>
      </w:r>
      <w:r>
        <w:t xml:space="preserve"> </w:t>
      </w:r>
      <w:r>
        <w:rPr>
          <w:i/>
          <w:iCs/>
        </w:rPr>
        <w:t xml:space="preserve">fundamental problem of causality</w:t>
      </w:r>
      <w:r>
        <w:t xml:space="preserve"> </w:t>
      </w:r>
      <w:r>
        <w:t xml:space="preserve">is reduced to calculating differences between averages of observed outcomes and the transformed counterfactuals, thereby identifying causal effects.</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do-calculus</w:t>
      </w:r>
      <w:r>
        <w:t xml:space="preserve"> </w:t>
      </w:r>
      <w:r>
        <w:t xml:space="preserve">(Pearl 2009)</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an additional key advantage over the potential outcomes approach: it enables the graphical and formal representation of any system through directed acyclic graphs</w:t>
      </w:r>
      <w:r>
        <w:t xml:space="preserve"> </w:t>
      </w:r>
      <w:r>
        <w:t xml:space="preserve">(DAG, Gross, Yellen, and Anderson 2018; Neal 2020)</w:t>
      </w:r>
      <w:r>
        <w:t xml:space="preserve"> </w:t>
      </w:r>
      <w:r>
        <w:t xml:space="preserve">and and structural causal models</w:t>
      </w:r>
      <w:r>
        <w:t xml:space="preserve"> </w:t>
      </w:r>
      <w:r>
        <w:t xml:space="preserve">(SCM, Pearl 2009; Pearl, Glymour, and Jewell 2016)</w:t>
      </w:r>
      <w:r>
        <w:t xml:space="preserve">. DAGs serve as heuristics, effectively conveying the assumed causal structure of a system</w:t>
      </w:r>
      <w:r>
        <w:t xml:space="preserve"> </w:t>
      </w:r>
      <w:r>
        <w:t xml:space="preserve">(Pearl, Glymour, and Jewell 2016)</w:t>
      </w:r>
      <w:r>
        <w:t xml:space="preserve">.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 The Identification-Estimation flowchart in</w:t>
      </w:r>
      <w:r>
        <w:t xml:space="preserve"> </w:t>
      </w:r>
      <w:hyperlink w:anchor="fig-IEflow">
        <w:r>
          <w:rPr>
            <w:rStyle w:val="Hyperlink"/>
          </w:rPr>
          <w:t xml:space="preserve">Figure 1</w:t>
        </w:r>
      </w:hyperlink>
      <w:r>
        <w:t xml:space="preserve"> </w:t>
      </w:r>
      <w:r>
        <w:t xml:space="preserve">visually represents the process of transitioning from estimands to estimates, and the application of the sicentific model and data to identify and estimates causal effects.</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1964012" cy="1693587"/>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1964012" cy="16935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and slightly modified from</w:t>
            </w:r>
            <w:r>
              <w:t xml:space="preserve"> </w:t>
            </w:r>
            <w:r>
              <w:t xml:space="preserve">Neal (2020, 32)</w:t>
            </w:r>
          </w:p>
          <w:bookmarkEnd w:id="24"/>
        </w:tc>
      </w:tr>
    </w:tbl>
    <w:bookmarkEnd w:id="25"/>
    <w:bookmarkStart w:id="72"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1"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sdag_bb1"/>
                <w:p>
                  <w:pPr>
                    <w:pStyle w:val="Compact"/>
                    <w:jc w:val="center"/>
                    <w:jc w:val="left"/>
                  </w:pPr>
                  <w:r>
                    <w:drawing>
                      <wp:inline>
                        <wp:extent cx="1975104" cy="915467"/>
                        <wp:effectExtent b="0" l="0" r="0" t="0"/>
                        <wp:docPr descr="" title="" id="31" name="Picture"/>
                        <a:graphic>
                          <a:graphicData uri="http://schemas.openxmlformats.org/drawingml/2006/picture">
                            <pic:pic>
                              <pic:nvPicPr>
                                <pic:cNvPr descr="images/figures/sdag_bb1.png" id="32" name="Picture"/>
                                <pic:cNvPicPr>
                                  <a:picLocks noChangeArrowheads="1" noChangeAspect="1"/>
                                </pic:cNvPicPr>
                              </pic:nvPicPr>
                              <pic:blipFill>
                                <a:blip r:embed="rId3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2" w:name="fig-sdag_bb2"/>
                <w:p>
                  <w:pPr>
                    <w:pStyle w:val="Compact"/>
                    <w:jc w:val="center"/>
                    <w:jc w:val="left"/>
                  </w:pPr>
                  <w:r>
                    <w:drawing>
                      <wp:inline>
                        <wp:extent cx="1975104" cy="915467"/>
                        <wp:effectExtent b="0" l="0" r="0" t="0"/>
                        <wp:docPr descr="" title="" id="40" name="Picture"/>
                        <a:graphic>
                          <a:graphicData uri="http://schemas.openxmlformats.org/drawingml/2006/picture">
                            <pic:pic>
                              <pic:nvPicPr>
                                <pic:cNvPr descr="images/figures/sdag_bb2.png" id="41" name="Picture"/>
                                <pic:cNvPicPr>
                                  <a:picLocks noChangeArrowheads="1" noChangeAspect="1"/>
                                </pic:cNvPicPr>
                              </pic:nvPicPr>
                              <pic:blipFill>
                                <a:blip r:embed="rId39"/>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1" w:name="fig-sdag_bb3"/>
                <w:p>
                  <w:pPr>
                    <w:pStyle w:val="Compact"/>
                    <w:jc w:val="center"/>
                    <w:jc w:val="left"/>
                  </w:pPr>
                  <w:r>
                    <w:drawing>
                      <wp:inline>
                        <wp:extent cx="1975104" cy="581991"/>
                        <wp:effectExtent b="0" l="0" r="0" t="0"/>
                        <wp:docPr descr="" title="" id="49" name="Picture"/>
                        <a:graphic>
                          <a:graphicData uri="http://schemas.openxmlformats.org/drawingml/2006/picture">
                            <pic:pic>
                              <pic:nvPicPr>
                                <pic:cNvPr descr="images/figures/sdag_bb3.png" id="50" name="Picture"/>
                                <pic:cNvPicPr>
                                  <a:picLocks noChangeArrowheads="1" noChangeAspect="1"/>
                                </pic:cNvPicPr>
                              </pic:nvPicPr>
                              <pic:blipFill>
                                <a:blip r:embed="rId48"/>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0" w:name="fig-sdag_bb4"/>
                <w:p>
                  <w:pPr>
                    <w:pStyle w:val="Compact"/>
                    <w:jc w:val="center"/>
                    <w:jc w:val="left"/>
                  </w:pPr>
                  <w:r>
                    <w:drawing>
                      <wp:inline>
                        <wp:extent cx="1975104" cy="1063165"/>
                        <wp:effectExtent b="0" l="0" r="0" t="0"/>
                        <wp:docPr descr="" title="" id="58" name="Picture"/>
                        <a:graphic>
                          <a:graphicData uri="http://schemas.openxmlformats.org/drawingml/2006/picture">
                            <pic:pic>
                              <pic:nvPicPr>
                                <pic:cNvPr descr="images/figures/sdag_bb4.png" id="59" name="Picture"/>
                                <pic:cNvPicPr>
                                  <a:picLocks noChangeArrowheads="1" noChangeAspect="1"/>
                                </pic:cNvPicPr>
                              </pic:nvPicPr>
                              <pic:blipFill>
                                <a:blip r:embed="rId57"/>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9" w:name="fig-sdag_bb5"/>
                <w:p>
                  <w:pPr>
                    <w:pStyle w:val="Compact"/>
                    <w:jc w:val="center"/>
                    <w:jc w:val="left"/>
                  </w:pPr>
                  <w:r>
                    <w:drawing>
                      <wp:inline>
                        <wp:extent cx="1975104" cy="1283130"/>
                        <wp:effectExtent b="0" l="0" r="0" t="0"/>
                        <wp:docPr descr="" title="" id="67" name="Picture"/>
                        <a:graphic>
                          <a:graphicData uri="http://schemas.openxmlformats.org/drawingml/2006/picture">
                            <pic:pic>
                              <pic:nvPicPr>
                                <pic:cNvPr descr="images/figures/sdag_bb5.png" id="68" name="Picture"/>
                                <pic:cNvPicPr>
                                  <a:picLocks noChangeArrowheads="1" noChangeAspect="1"/>
                                </pic:cNvPicPr>
                              </pic:nvPicPr>
                              <pic:blipFill>
                                <a:blip r:embed="rId66"/>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0"/>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1"/>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2.3</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2.3</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bookmarkEnd w:id="72"/>
    <w:bookmarkStart w:id="7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76" w:name="fig-ACflow"/>
          <w:p>
            <w:pPr>
              <w:pStyle w:val="Compact"/>
              <w:jc w:val="center"/>
            </w:pPr>
            <w:r>
              <w:drawing>
                <wp:inline>
                  <wp:extent cx="3416968" cy="485846"/>
                  <wp:effectExtent b="0" l="0" r="0" t="0"/>
                  <wp:docPr descr="" title="" id="74" name="Picture"/>
                  <a:graphic>
                    <a:graphicData uri="http://schemas.openxmlformats.org/drawingml/2006/picture">
                      <pic:pic>
                        <pic:nvPicPr>
                          <pic:cNvPr descr="images/figures/ACflow.png" id="75" name="Picture"/>
                          <pic:cNvPicPr>
                            <a:picLocks noChangeArrowheads="1" noChangeAspect="1"/>
                          </pic:cNvPicPr>
                        </pic:nvPicPr>
                        <pic:blipFill>
                          <a:blip r:embed="rId7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and slightly modified from</w:t>
            </w:r>
            <w:r>
              <w:t xml:space="preserve"> </w:t>
            </w:r>
            <w:r>
              <w:t xml:space="preserve">Neal (2020, 31)</w:t>
            </w:r>
          </w:p>
          <w:bookmarkEnd w:id="76"/>
        </w:tc>
      </w:tr>
    </w:tbl>
    <w:bookmarkEnd w:id="77"/>
    <w:bookmarkStart w:id="78" w:name="sec-framework-example"/>
    <w:p>
      <w:pPr>
        <w:pStyle w:val="Heading2"/>
      </w:pPr>
      <w:r>
        <w:t xml:space="preserve">A motivating example</w:t>
      </w:r>
    </w:p>
    <w:bookmarkEnd w:id="78"/>
    <w:bookmarkEnd w:id="79"/>
    <w:bookmarkStart w:id="100" w:name="sec-theory"/>
    <w:p>
      <w:pPr>
        <w:pStyle w:val="Heading1"/>
      </w:pPr>
      <w:r>
        <w:t xml:space="preserve">Theory</w:t>
      </w:r>
    </w:p>
    <w:bookmarkStart w:id="9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83" w:name="fig-SciModel_simp1"/>
          <w:p>
            <w:pPr>
              <w:pStyle w:val="Compact"/>
              <w:jc w:val="center"/>
            </w:pPr>
            <w:r>
              <w:drawing>
                <wp:inline>
                  <wp:extent cx="3304673" cy="1748589"/>
                  <wp:effectExtent b="0" l="0" r="0" t="0"/>
                  <wp:docPr descr="" title="" id="81" name="Picture"/>
                  <a:graphic>
                    <a:graphicData uri="http://schemas.openxmlformats.org/drawingml/2006/picture">
                      <pic:pic>
                        <pic:nvPicPr>
                          <pic:cNvPr descr="images/figures/SciModel_simp1.png" id="82" name="Picture"/>
                          <pic:cNvPicPr>
                            <a:picLocks noChangeArrowheads="1" noChangeAspect="1"/>
                          </pic:cNvPicPr>
                        </pic:nvPicPr>
                        <pic:blipFill>
                          <a:blip r:embed="rId8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description</w:t>
            </w:r>
          </w:p>
          <w:bookmarkEnd w:id="8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7" w:name="fig-SciModel_simp2"/>
          <w:p>
            <w:pPr>
              <w:pStyle w:val="Compact"/>
              <w:jc w:val="center"/>
            </w:pPr>
            <w:r>
              <w:drawing>
                <wp:inline>
                  <wp:extent cx="3082375" cy="1732547"/>
                  <wp:effectExtent b="0" l="0" r="0" t="0"/>
                  <wp:docPr descr="" title="" id="85" name="Picture"/>
                  <a:graphic>
                    <a:graphicData uri="http://schemas.openxmlformats.org/drawingml/2006/picture">
                      <pic:pic>
                        <pic:nvPicPr>
                          <pic:cNvPr descr="images/figures/SciModel_simp2.png" id="86" name="Picture"/>
                          <pic:cNvPicPr>
                            <a:picLocks noChangeArrowheads="1" noChangeAspect="1"/>
                          </pic:cNvPicPr>
                        </pic:nvPicPr>
                        <pic:blipFill>
                          <a:blip r:embed="rId8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mathematical description</w:t>
            </w:r>
          </w:p>
          <w:bookmarkEnd w:id="8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fig-SciModel_pop"/>
          <w:p>
            <w:pPr>
              <w:pStyle w:val="Compact"/>
              <w:jc w:val="center"/>
            </w:pPr>
            <w:r>
              <w:drawing>
                <wp:inline>
                  <wp:extent cx="3174045" cy="2252769"/>
                  <wp:effectExtent b="0" l="0" r="0" t="0"/>
                  <wp:docPr descr="" title="" id="89" name="Picture"/>
                  <a:graphic>
                    <a:graphicData uri="http://schemas.openxmlformats.org/drawingml/2006/picture">
                      <pic:pic>
                        <pic:nvPicPr>
                          <pic:cNvPr descr="images/figures/SciModel_pop.png" id="90" name="Picture"/>
                          <pic:cNvPicPr>
                            <a:picLocks noChangeArrowheads="1" noChangeAspect="1"/>
                          </pic:cNvPicPr>
                        </pic:nvPicPr>
                        <pic:blipFill>
                          <a:blip r:embed="rId8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population mathematical description</w:t>
            </w:r>
          </w:p>
          <w:bookmarkEnd w:id="91"/>
        </w:tc>
      </w:tr>
    </w:tbl>
    <w:p/>
    <w:tbl>
      <w:tblPr>
        <w:tblStyle w:val="Table"/>
        <w:tblW w:type="pct" w:w="5000"/>
        <w:tblLayout w:type="fixed"/>
        <w:tblLook w:firstRow="0" w:lastRow="0" w:firstColumn="0" w:lastColumn="0" w:noHBand="0" w:noVBand="0" w:val="0000"/>
      </w:tblPr>
      <w:tblGrid>
        <w:gridCol w:w="7920"/>
      </w:tblGrid>
      <w:tr>
        <w:tc>
          <w:tcPr/>
          <w:bookmarkStart w:id="95" w:name="fig-SciModel_samp"/>
          <w:p>
            <w:pPr>
              <w:pStyle w:val="Compact"/>
              <w:jc w:val="center"/>
            </w:pPr>
            <w:r>
              <w:drawing>
                <wp:inline>
                  <wp:extent cx="3671350" cy="2245894"/>
                  <wp:effectExtent b="0" l="0" r="0" t="0"/>
                  <wp:docPr descr="" title="" id="93" name="Picture"/>
                  <a:graphic>
                    <a:graphicData uri="http://schemas.openxmlformats.org/drawingml/2006/picture">
                      <pic:pic>
                        <pic:nvPicPr>
                          <pic:cNvPr descr="images/figures/SciModel_samp.png" id="94" name="Picture"/>
                          <pic:cNvPicPr>
                            <a:picLocks noChangeArrowheads="1" noChangeAspect="1"/>
                          </pic:cNvPicPr>
                        </pic:nvPicPr>
                        <pic:blipFill>
                          <a:blip r:embed="rId9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sample with comparisons mathematical description</w:t>
            </w:r>
          </w:p>
          <w:bookmarkEnd w:id="95"/>
        </w:tc>
      </w:tr>
    </w:tbl>
    <w:bookmarkEnd w:id="96"/>
    <w:bookmarkStart w:id="97" w:name="sec-theory-probability"/>
    <w:p>
      <w:pPr>
        <w:pStyle w:val="Heading2"/>
      </w:pPr>
      <w:r>
        <w:t xml:space="preserve">Probabilitics assumptions of the scientific model</w:t>
      </w:r>
    </w:p>
    <w:bookmarkEnd w:id="97"/>
    <w:bookmarkStart w:id="98" w:name="sec-theory-statistics"/>
    <w:p>
      <w:pPr>
        <w:pStyle w:val="Heading2"/>
      </w:pPr>
      <w:r>
        <w:t xml:space="preserve">From the scientific to statistical model</w:t>
      </w:r>
    </w:p>
    <w:bookmarkEnd w:id="98"/>
    <w:bookmarkStart w:id="99" w:name="sec-theory-thurstone"/>
    <w:p>
      <w:pPr>
        <w:pStyle w:val="Heading2"/>
      </w:pPr>
      <w:r>
        <w:t xml:space="preserve">Let’s talk about Thurstone</w:t>
      </w:r>
    </w:p>
    <w:bookmarkEnd w:id="99"/>
    <w:bookmarkEnd w:id="100"/>
    <w:bookmarkStart w:id="103" w:name="sec-discuss"/>
    <w:p>
      <w:pPr>
        <w:pStyle w:val="Heading1"/>
      </w:pPr>
      <w:r>
        <w:t xml:space="preserve">Discussion</w:t>
      </w:r>
    </w:p>
    <w:bookmarkStart w:id="101" w:name="sec-discuss-finding"/>
    <w:p>
      <w:pPr>
        <w:pStyle w:val="Heading2"/>
      </w:pPr>
      <w:r>
        <w:t xml:space="preserve">Findings</w:t>
      </w:r>
    </w:p>
    <w:bookmarkEnd w:id="101"/>
    <w:bookmarkStart w:id="102" w:name="sec-discuss-limitations"/>
    <w:p>
      <w:pPr>
        <w:pStyle w:val="Heading2"/>
      </w:pPr>
      <w:r>
        <w:t xml:space="preserve">Limitations and further research</w:t>
      </w:r>
    </w:p>
    <w:bookmarkEnd w:id="102"/>
    <w:bookmarkEnd w:id="103"/>
    <w:bookmarkStart w:id="104" w:name="sec-conclusion"/>
    <w:p>
      <w:pPr>
        <w:pStyle w:val="Heading1"/>
      </w:pPr>
      <w:r>
        <w:t xml:space="preserve">Conclusion</w:t>
      </w:r>
    </w:p>
    <w:p>
      <w:r>
        <w:br w:type="page"/>
      </w:r>
    </w:p>
    <w:bookmarkEnd w:id="104"/>
    <w:bookmarkStart w:id="10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0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06"/>
    <w:bookmarkStart w:id="197" w:name="sec-appendix"/>
    <w:p>
      <w:pPr>
        <w:pStyle w:val="Heading1"/>
      </w:pPr>
      <w:r>
        <w:t xml:space="preserve">Appendix</w:t>
      </w:r>
    </w:p>
    <w:bookmarkStart w:id="107" w:name="sec-appA"/>
    <w:p>
      <w:pPr>
        <w:pStyle w:val="Heading2"/>
      </w:pPr>
      <w:r>
        <w:t xml:space="preserve">Why do we need to estimate judges’ abilities?</w:t>
      </w:r>
    </w:p>
    <w:bookmarkEnd w:id="107"/>
    <w:bookmarkStart w:id="108" w:name="sec-appB"/>
    <w:p>
      <w:pPr>
        <w:pStyle w:val="Heading2"/>
      </w:pPr>
      <w:r>
        <w:t xml:space="preserve">Latent variables as a mean of imputation</w:t>
      </w:r>
    </w:p>
    <w:bookmarkEnd w:id="108"/>
    <w:bookmarkStart w:id="109" w:name="sec-appC"/>
    <w:p>
      <w:pPr>
        <w:pStyle w:val="Heading2"/>
      </w:pPr>
      <w:r>
        <w:t xml:space="preserve">Other comparative scenarios</w:t>
      </w:r>
    </w:p>
    <w:p>
      <w:r>
        <w:br w:type="page"/>
      </w:r>
    </w:p>
    <w:bookmarkEnd w:id="109"/>
    <w:bookmarkStart w:id="196" w:name="references"/>
    <w:p>
      <w:pPr>
        <w:pStyle w:val="Heading2"/>
      </w:pPr>
      <w:r>
        <w:t xml:space="preserve">References</w:t>
      </w:r>
    </w:p>
    <w:bookmarkStart w:id="195" w:name="refs"/>
    <w:bookmarkStart w:id="11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0">
        <w:r>
          <w:rPr>
            <w:rStyle w:val="Hyperlink"/>
          </w:rPr>
          <w:t xml:space="preserve">https://doi.org/10.2307/2347562</w:t>
        </w:r>
      </w:hyperlink>
      <w:r>
        <w:t xml:space="preserve">.</w:t>
      </w:r>
    </w:p>
    <w:bookmarkEnd w:id="111"/>
    <w:bookmarkStart w:id="11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12">
        <w:r>
          <w:rPr>
            <w:rStyle w:val="Hyperlink"/>
          </w:rPr>
          <w:t xml:space="preserve">https://doi.org/10.1080/10627197.2018.1444986</w:t>
        </w:r>
      </w:hyperlink>
      <w:r>
        <w:t xml:space="preserve">.</w:t>
      </w:r>
    </w:p>
    <w:bookmarkEnd w:id="113"/>
    <w:bookmarkStart w:id="11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14">
        <w:r>
          <w:rPr>
            <w:rStyle w:val="Hyperlink"/>
          </w:rPr>
          <w:t xml:space="preserve">https://doi.org/10.1007/978-3-030-52229-2_18</w:t>
        </w:r>
      </w:hyperlink>
      <w:r>
        <w:t xml:space="preserve">.</w:t>
      </w:r>
    </w:p>
    <w:bookmarkEnd w:id="115"/>
    <w:bookmarkStart w:id="11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16">
        <w:r>
          <w:rPr>
            <w:rStyle w:val="Hyperlink"/>
          </w:rPr>
          <w:t xml:space="preserve">https://doi.org/10.1016/j.jcomdis.2019.105969</w:t>
        </w:r>
      </w:hyperlink>
      <w:r>
        <w:t xml:space="preserve">.</w:t>
      </w:r>
    </w:p>
    <w:bookmarkEnd w:id="117"/>
    <w:bookmarkStart w:id="11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18">
        <w:r>
          <w:rPr>
            <w:rStyle w:val="Hyperlink"/>
          </w:rPr>
          <w:t xml:space="preserve">https://doi.org/10.17239/jowr-2024.15.03.03</w:t>
        </w:r>
      </w:hyperlink>
      <w:r>
        <w:t xml:space="preserve">.</w:t>
      </w:r>
    </w:p>
    <w:bookmarkEnd w:id="119"/>
    <w:bookmarkStart w:id="12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0">
        <w:r>
          <w:rPr>
            <w:rStyle w:val="Hyperlink"/>
          </w:rPr>
          <w:t xml:space="preserve">https://doi.org/10.2307/2334029</w:t>
        </w:r>
      </w:hyperlink>
      <w:r>
        <w:t xml:space="preserve">.</w:t>
      </w:r>
    </w:p>
    <w:bookmarkEnd w:id="121"/>
    <w:bookmarkStart w:id="123" w:name="ref-Bramley_2015"/>
    <w:p>
      <w:pPr>
        <w:pStyle w:val="Bibliography"/>
      </w:pPr>
      <w:r>
        <w:t xml:space="preserve">Bramley, T. 2015.</w:t>
      </w:r>
      <w:r>
        <w:t xml:space="preserve"> </w:t>
      </w:r>
      <w:r>
        <w:t xml:space="preserve">“Investigating the Reliability of Adaptive Comparative Judgment.”</w:t>
      </w:r>
      <w:r>
        <w:t xml:space="preserve"> </w:t>
      </w:r>
      <w:hyperlink r:id="rId122">
        <w:r>
          <w:rPr>
            <w:rStyle w:val="Hyperlink"/>
          </w:rPr>
          <w:t xml:space="preserve">http://www.cambridgeassessment.org.uk/Images/232694-investigating-the-reliability-of-adaptive-comparative-judgment.pdf</w:t>
        </w:r>
      </w:hyperlink>
      <w:r>
        <w:t xml:space="preserve">.</w:t>
      </w:r>
    </w:p>
    <w:bookmarkEnd w:id="123"/>
    <w:bookmarkStart w:id="12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24">
        <w:r>
          <w:rPr>
            <w:rStyle w:val="Hyperlink"/>
          </w:rPr>
          <w:t xml:space="preserve">https://doi.org/10.1080/0969594X.2017.1418734</w:t>
        </w:r>
      </w:hyperlink>
      <w:r>
        <w:t xml:space="preserve">.</w:t>
      </w:r>
    </w:p>
    <w:bookmarkEnd w:id="125"/>
    <w:bookmarkStart w:id="127"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26">
        <w:r>
          <w:rPr>
            <w:rStyle w:val="Hyperlink"/>
          </w:rPr>
          <w:t xml:space="preserve">https://doi.org/10.1093/bjps/axu028</w:t>
        </w:r>
      </w:hyperlink>
      <w:r>
        <w:t xml:space="preserve">.</w:t>
      </w:r>
    </w:p>
    <w:bookmarkEnd w:id="127"/>
    <w:bookmarkStart w:id="12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28">
        <w:r>
          <w:rPr>
            <w:rStyle w:val="Hyperlink"/>
          </w:rPr>
          <w:t xml:space="preserve">https://doi.org/10.2139/ssrn.3689437</w:t>
        </w:r>
      </w:hyperlink>
      <w:r>
        <w:t xml:space="preserve">.</w:t>
      </w:r>
    </w:p>
    <w:bookmarkEnd w:id="129"/>
    <w:bookmarkStart w:id="131" w:name="ref-Counterfactual_2024"/>
    <w:p>
      <w:pPr>
        <w:pStyle w:val="Bibliography"/>
      </w:pPr>
      <w:r>
        <w:t xml:space="preserve">Counterfactual. 2024.</w:t>
      </w:r>
      <w:r>
        <w:t xml:space="preserve"> </w:t>
      </w:r>
      <w:r>
        <w:t xml:space="preserve">“Merriam-Webster.com Dictionary.”</w:t>
      </w:r>
      <w:r>
        <w:t xml:space="preserve"> </w:t>
      </w:r>
      <w:hyperlink r:id="rId130">
        <w:r>
          <w:rPr>
            <w:rStyle w:val="Hyperlink"/>
          </w:rPr>
          <w:t xml:space="preserve">https://www.merriam-webster.com/dictionary/hacker</w:t>
        </w:r>
      </w:hyperlink>
      <w:r>
        <w:t xml:space="preserve">.</w:t>
      </w:r>
    </w:p>
    <w:bookmarkEnd w:id="131"/>
    <w:bookmarkStart w:id="13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32">
        <w:r>
          <w:rPr>
            <w:rStyle w:val="Hyperlink"/>
          </w:rPr>
          <w:t xml:space="preserve">https://doi.org/10.3389/feduc.2021.788202</w:t>
        </w:r>
      </w:hyperlink>
      <w:r>
        <w:t xml:space="preserve">.</w:t>
      </w:r>
    </w:p>
    <w:bookmarkEnd w:id="133"/>
    <w:bookmarkStart w:id="135" w:name="ref-Everitt_et_al_2010"/>
    <w:p>
      <w:pPr>
        <w:pStyle w:val="Bibliography"/>
      </w:pPr>
      <w:r>
        <w:t xml:space="preserve">Everitt, B., and A. Skrondal. 2010.</w:t>
      </w:r>
      <w:r>
        <w:t xml:space="preserve"> </w:t>
      </w:r>
      <w:hyperlink r:id="rId134">
        <w:r>
          <w:rPr>
            <w:rStyle w:val="Hyperlink"/>
            <w:i/>
            <w:iCs/>
          </w:rPr>
          <w:t xml:space="preserve">The Cambridge Dictionary of Statistics</w:t>
        </w:r>
      </w:hyperlink>
      <w:r>
        <w:t xml:space="preserve">. Cambridge University Press.</w:t>
      </w:r>
    </w:p>
    <w:bookmarkEnd w:id="135"/>
    <w:bookmarkStart w:id="13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36">
        <w:r>
          <w:rPr>
            <w:rStyle w:val="Hyperlink"/>
          </w:rPr>
          <w:t xml:space="preserve">https://doi.org/10.3389/feduc.2020.582800</w:t>
        </w:r>
      </w:hyperlink>
      <w:r>
        <w:t xml:space="preserve">.</w:t>
      </w:r>
    </w:p>
    <w:bookmarkEnd w:id="137"/>
    <w:bookmarkStart w:id="139"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38">
        <w:r>
          <w:rPr>
            <w:rStyle w:val="Hyperlink"/>
          </w:rPr>
          <w:t xml:space="preserve">https://doi.org/10.1201/9780429425134</w:t>
        </w:r>
        <w:r>
          <w:rPr>
            <w:rStyle w:val="Hyperlink"/>
          </w:rPr>
          <w:t xml:space="preserve"> </w:t>
        </w:r>
      </w:hyperlink>
      <w:r>
        <w:t xml:space="preserve">.</w:t>
      </w:r>
    </w:p>
    <w:bookmarkEnd w:id="139"/>
    <w:bookmarkStart w:id="141" w:name="ref-Hansson_2014"/>
    <w:p>
      <w:pPr>
        <w:pStyle w:val="Bibliography"/>
      </w:pPr>
      <w:r>
        <w:t xml:space="preserve">Hansson, S. 2014.</w:t>
      </w:r>
      <w:r>
        <w:t xml:space="preserve"> </w:t>
      </w:r>
      <w:r>
        <w:t xml:space="preserve">“Why and for What Are Clinical Trials the Gold Standard?”</w:t>
      </w:r>
      <w:r>
        <w:t xml:space="preserve"> </w:t>
      </w:r>
      <w:r>
        <w:rPr>
          <w:i/>
          <w:iCs/>
        </w:rPr>
        <w:t xml:space="preserve">Scandinavian Journal of Public Health</w:t>
      </w:r>
      <w:r>
        <w:t xml:space="preserve"> </w:t>
      </w:r>
      <w:r>
        <w:t xml:space="preserve">42 (13_suppl): 41–48.</w:t>
      </w:r>
      <w:r>
        <w:t xml:space="preserve"> </w:t>
      </w:r>
      <w:hyperlink r:id="rId140">
        <w:r>
          <w:rPr>
            <w:rStyle w:val="Hyperlink"/>
          </w:rPr>
          <w:t xml:space="preserve">https://doi.org/10.1177/1403494813516712</w:t>
        </w:r>
      </w:hyperlink>
      <w:r>
        <w:t xml:space="preserve">.</w:t>
      </w:r>
    </w:p>
    <w:bookmarkEnd w:id="141"/>
    <w:bookmarkStart w:id="143" w:name="ref-Hariton_et_al_2018"/>
    <w:p>
      <w:pPr>
        <w:pStyle w:val="Bibliography"/>
      </w:pPr>
      <w:r>
        <w:t xml:space="preserve">Hariton, E., and J. Locascio. 2018.</w:t>
      </w:r>
      <w:r>
        <w:t xml:space="preserve"> </w:t>
      </w:r>
      <w:r>
        <w:t xml:space="preserve">“Randomised Controlled Trials – the Gold Standard for Effectiveness Research.”</w:t>
      </w:r>
      <w:r>
        <w:t xml:space="preserve"> </w:t>
      </w:r>
      <w:r>
        <w:rPr>
          <w:i/>
          <w:iCs/>
        </w:rPr>
        <w:t xml:space="preserve">BJOG: An International Journal of Obstetrics &amp; Gynaecology</w:t>
      </w:r>
      <w:r>
        <w:t xml:space="preserve"> </w:t>
      </w:r>
      <w:r>
        <w:t xml:space="preserve">125 (13): 1716–16.</w:t>
      </w:r>
      <w:r>
        <w:t xml:space="preserve"> </w:t>
      </w:r>
      <w:hyperlink r:id="rId142">
        <w:r>
          <w:rPr>
            <w:rStyle w:val="Hyperlink"/>
          </w:rPr>
          <w:t xml:space="preserve">https://doi.org/10.1111/1471-0528.15199</w:t>
        </w:r>
      </w:hyperlink>
      <w:r>
        <w:t xml:space="preserve">.</w:t>
      </w:r>
    </w:p>
    <w:bookmarkEnd w:id="143"/>
    <w:bookmarkStart w:id="145"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4">
        <w:r>
          <w:rPr>
            <w:rStyle w:val="Hyperlink"/>
          </w:rPr>
          <w:t xml:space="preserve">https://www.hsph.harvard.edu/miguel-hernan/causal-inference-book</w:t>
        </w:r>
      </w:hyperlink>
      <w:r>
        <w:t xml:space="preserve">.</w:t>
      </w:r>
    </w:p>
    <w:bookmarkEnd w:id="145"/>
    <w:bookmarkStart w:id="147"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46">
        <w:r>
          <w:rPr>
            <w:rStyle w:val="Hyperlink"/>
          </w:rPr>
          <w:t xml:space="preserve">https://doi.org/10.1007/s10649-015-9607-1</w:t>
        </w:r>
      </w:hyperlink>
      <w:r>
        <w:t xml:space="preserve">.</w:t>
      </w:r>
    </w:p>
    <w:bookmarkEnd w:id="147"/>
    <w:bookmarkStart w:id="14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48">
        <w:r>
          <w:rPr>
            <w:rStyle w:val="Hyperlink"/>
          </w:rPr>
          <w:t xml:space="preserve">https://doi.org/10.1002/berj.3519</w:t>
        </w:r>
      </w:hyperlink>
      <w:r>
        <w:t xml:space="preserve">.</w:t>
      </w:r>
    </w:p>
    <w:bookmarkEnd w:id="149"/>
    <w:bookmarkStart w:id="15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0"/>
    <w:bookmarkStart w:id="15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1">
        <w:r>
          <w:rPr>
            <w:rStyle w:val="Hyperlink"/>
          </w:rPr>
          <w:t xml:space="preserve">https://doi.org/10.1037/h0043178</w:t>
        </w:r>
      </w:hyperlink>
      <w:r>
        <w:t xml:space="preserve">.</w:t>
      </w:r>
    </w:p>
    <w:bookmarkEnd w:id="152"/>
    <w:bookmarkStart w:id="15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3">
        <w:r>
          <w:rPr>
            <w:rStyle w:val="Hyperlink"/>
          </w:rPr>
          <w:t xml:space="preserve">https://doi.org/10.1007/s40841-020-00163-3</w:t>
        </w:r>
      </w:hyperlink>
      <w:r>
        <w:t xml:space="preserve">.</w:t>
      </w:r>
    </w:p>
    <w:bookmarkEnd w:id="154"/>
    <w:bookmarkStart w:id="155" w:name="ref-McElreath_2020"/>
    <w:p>
      <w:pPr>
        <w:pStyle w:val="Bibliography"/>
      </w:pPr>
      <w:r>
        <w:t xml:space="preserve">McElreath, R. 2020.</w:t>
      </w:r>
      <w:r>
        <w:t xml:space="preserve"> </w:t>
      </w:r>
      <w:hyperlink r:id="rId134">
        <w:r>
          <w:rPr>
            <w:rStyle w:val="Hyperlink"/>
            <w:i/>
            <w:iCs/>
          </w:rPr>
          <w:t xml:space="preserve">Statistical Rethinking: A Bayesian Course with Examples in r and STAN</w:t>
        </w:r>
      </w:hyperlink>
      <w:r>
        <w:t xml:space="preserve">. Chapman; Hall/CRC.</w:t>
      </w:r>
    </w:p>
    <w:bookmarkEnd w:id="155"/>
    <w:bookmarkStart w:id="156" w:name="ref-Morgan_et_al_2014"/>
    <w:p>
      <w:pPr>
        <w:pStyle w:val="Bibliography"/>
      </w:pPr>
      <w:r>
        <w:t xml:space="preserve">Morgan, S., and C. Winship. 2014.</w:t>
      </w:r>
      <w:r>
        <w:t xml:space="preserve"> </w:t>
      </w:r>
      <w:hyperlink r:id="rId134">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56"/>
    <w:bookmarkStart w:id="158" w:name="ref-Neal_2020"/>
    <w:p>
      <w:pPr>
        <w:pStyle w:val="Bibliography"/>
      </w:pPr>
      <w:r>
        <w:t xml:space="preserve">Neal, B. 2020.</w:t>
      </w:r>
      <w:r>
        <w:t xml:space="preserve"> </w:t>
      </w:r>
      <w:r>
        <w:t xml:space="preserve">“Introduction to Causal Inference from a Machine Learning Perspective.”</w:t>
      </w:r>
      <w:r>
        <w:t xml:space="preserve"> </w:t>
      </w:r>
      <w:hyperlink r:id="rId157">
        <w:r>
          <w:rPr>
            <w:rStyle w:val="Hyperlink"/>
          </w:rPr>
          <w:t xml:space="preserve">https://www.bradyneal.com/Introduction_to_Causal_Inference-Dec17_2020-Neal.pdf</w:t>
        </w:r>
      </w:hyperlink>
      <w:r>
        <w:t xml:space="preserve">.</w:t>
      </w:r>
    </w:p>
    <w:bookmarkEnd w:id="158"/>
    <w:bookmarkStart w:id="160"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59">
        <w:r>
          <w:rPr>
            <w:rStyle w:val="Hyperlink"/>
          </w:rPr>
          <w:t xml:space="preserve">http://www.jstor.org/stable/2245382</w:t>
        </w:r>
      </w:hyperlink>
      <w:r>
        <w:t xml:space="preserve">.</w:t>
      </w:r>
    </w:p>
    <w:bookmarkEnd w:id="160"/>
    <w:bookmarkStart w:id="161" w:name="ref-Pearl_2009"/>
    <w:p>
      <w:pPr>
        <w:pStyle w:val="Bibliography"/>
      </w:pPr>
      <w:r>
        <w:t xml:space="preserve">Pearl, J. 2009.</w:t>
      </w:r>
      <w:r>
        <w:t xml:space="preserve"> </w:t>
      </w:r>
      <w:hyperlink r:id="rId134">
        <w:r>
          <w:rPr>
            <w:rStyle w:val="Hyperlink"/>
            <w:i/>
            <w:iCs/>
          </w:rPr>
          <w:t xml:space="preserve">Causality: Models, Reasoning and Inference</w:t>
        </w:r>
      </w:hyperlink>
      <w:r>
        <w:t xml:space="preserve">. Cambrige University Press.</w:t>
      </w:r>
    </w:p>
    <w:bookmarkEnd w:id="161"/>
    <w:bookmarkStart w:id="163"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2">
        <w:r>
          <w:rPr>
            <w:rStyle w:val="Hyperlink"/>
          </w:rPr>
          <w:t xml:space="preserve">https://doi.org/10.2202/1557-4679.1203</w:t>
        </w:r>
      </w:hyperlink>
      <w:r>
        <w:t xml:space="preserve">.</w:t>
      </w:r>
    </w:p>
    <w:bookmarkEnd w:id="163"/>
    <w:bookmarkStart w:id="165"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4">
        <w:r>
          <w:rPr>
            <w:rStyle w:val="Hyperlink"/>
          </w:rPr>
          <w:t xml:space="preserve">https://doi.org/10.1177/0962280215586010</w:t>
        </w:r>
      </w:hyperlink>
      <w:r>
        <w:t xml:space="preserve">.</w:t>
      </w:r>
    </w:p>
    <w:bookmarkEnd w:id="165"/>
    <w:bookmarkStart w:id="166" w:name="ref-Pearl_et_al_2016"/>
    <w:p>
      <w:pPr>
        <w:pStyle w:val="Bibliography"/>
      </w:pPr>
      <w:r>
        <w:t xml:space="preserve">Pearl, J., M. Glymour, and N. Jewell. 2016.</w:t>
      </w:r>
      <w:r>
        <w:t xml:space="preserve"> </w:t>
      </w:r>
      <w:hyperlink r:id="rId134">
        <w:r>
          <w:rPr>
            <w:rStyle w:val="Hyperlink"/>
            <w:i/>
            <w:iCs/>
          </w:rPr>
          <w:t xml:space="preserve">Causal Inference in Statistics: A Primer</w:t>
        </w:r>
      </w:hyperlink>
      <w:r>
        <w:t xml:space="preserve">. John Wiley &amp; Sons, Inc.</w:t>
      </w:r>
    </w:p>
    <w:bookmarkEnd w:id="166"/>
    <w:bookmarkStart w:id="167" w:name="ref-Pearl_et_al_2018"/>
    <w:p>
      <w:pPr>
        <w:pStyle w:val="Bibliography"/>
      </w:pPr>
      <w:r>
        <w:t xml:space="preserve">Pearl, J., and D. Mackenzie. 2018.</w:t>
      </w:r>
      <w:r>
        <w:t xml:space="preserve"> </w:t>
      </w:r>
      <w:hyperlink r:id="rId134">
        <w:r>
          <w:rPr>
            <w:rStyle w:val="Hyperlink"/>
            <w:i/>
            <w:iCs/>
          </w:rPr>
          <w:t xml:space="preserve">The Book of Why: The New Science of Cause and Effect</w:t>
        </w:r>
      </w:hyperlink>
      <w:r>
        <w:t xml:space="preserve">. 1st ed. Basic Books, Inc.</w:t>
      </w:r>
    </w:p>
    <w:bookmarkEnd w:id="167"/>
    <w:bookmarkStart w:id="169"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68">
        <w:r>
          <w:rPr>
            <w:rStyle w:val="Hyperlink"/>
          </w:rPr>
          <w:t xml:space="preserve">https://doi.org/10.2307/2346567</w:t>
        </w:r>
      </w:hyperlink>
      <w:r>
        <w:t xml:space="preserve">.</w:t>
      </w:r>
    </w:p>
    <w:bookmarkEnd w:id="169"/>
    <w:bookmarkStart w:id="17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0">
        <w:r>
          <w:rPr>
            <w:rStyle w:val="Hyperlink"/>
          </w:rPr>
          <w:t xml:space="preserve">https://doi.org/10.1007/s10798-011-9189-x</w:t>
        </w:r>
      </w:hyperlink>
      <w:r>
        <w:t xml:space="preserve">.</w:t>
      </w:r>
    </w:p>
    <w:bookmarkEnd w:id="171"/>
    <w:bookmarkStart w:id="17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2">
        <w:r>
          <w:rPr>
            <w:rStyle w:val="Hyperlink"/>
          </w:rPr>
          <w:t xml:space="preserve">https://doi.org/10.1080/0969594X.2012.665354</w:t>
        </w:r>
      </w:hyperlink>
      <w:r>
        <w:t xml:space="preserve">.</w:t>
      </w:r>
    </w:p>
    <w:bookmarkEnd w:id="173"/>
    <w:bookmarkStart w:id="175"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4">
        <w:r>
          <w:rPr>
            <w:rStyle w:val="Hyperlink"/>
          </w:rPr>
          <w:t xml:space="preserve">https://doi.org/10.1177/2515245917745629</w:t>
        </w:r>
      </w:hyperlink>
      <w:r>
        <w:t xml:space="preserve">.</w:t>
      </w:r>
    </w:p>
    <w:bookmarkEnd w:id="175"/>
    <w:bookmarkStart w:id="177"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76">
        <w:r>
          <w:rPr>
            <w:rStyle w:val="Hyperlink"/>
          </w:rPr>
          <w:t xml:space="preserve">https://doi.org/10.1037/h0037350</w:t>
        </w:r>
      </w:hyperlink>
      <w:r>
        <w:t xml:space="preserve">.</w:t>
      </w:r>
    </w:p>
    <w:bookmarkEnd w:id="177"/>
    <w:bookmarkStart w:id="179"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78">
        <w:r>
          <w:rPr>
            <w:rStyle w:val="Hyperlink"/>
          </w:rPr>
          <w:t xml:space="preserve">https://doi.org/10.1093/oxfordhb/9780199286546.003.0011</w:t>
        </w:r>
      </w:hyperlink>
      <w:r>
        <w:t xml:space="preserve">.</w:t>
      </w:r>
    </w:p>
    <w:bookmarkEnd w:id="179"/>
    <w:bookmarkStart w:id="181"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0">
        <w:r>
          <w:rPr>
            <w:rStyle w:val="Hyperlink"/>
          </w:rPr>
          <w:t xml:space="preserve">https://web.archive.org/web/20141015135541/http://www.mhhe.com/socscience/psychology/shaugh/ch01_concepts.html</w:t>
        </w:r>
      </w:hyperlink>
      <w:r>
        <w:t xml:space="preserve">.</w:t>
      </w:r>
    </w:p>
    <w:bookmarkEnd w:id="181"/>
    <w:bookmarkStart w:id="183"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2">
        <w:r>
          <w:rPr>
            <w:rStyle w:val="Hyperlink"/>
          </w:rPr>
          <w:t xml:space="preserve">https://www.jstor.org/stable/4320244</w:t>
        </w:r>
      </w:hyperlink>
      <w:r>
        <w:t xml:space="preserve">.</w:t>
      </w:r>
    </w:p>
    <w:bookmarkEnd w:id="183"/>
    <w:bookmarkStart w:id="185"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4">
        <w:r>
          <w:rPr>
            <w:rStyle w:val="Hyperlink"/>
          </w:rPr>
          <w:t xml:space="preserve">https://doi.org/10.1037/h0070288</w:t>
        </w:r>
      </w:hyperlink>
      <w:r>
        <w:t xml:space="preserve">.</w:t>
      </w:r>
    </w:p>
    <w:bookmarkEnd w:id="185"/>
    <w:bookmarkStart w:id="187"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86">
        <w:r>
          <w:rPr>
            <w:rStyle w:val="Hyperlink"/>
          </w:rPr>
          <w:t xml:space="preserve">https://doi.org/10.1016/0022-2496(86)90034-9</w:t>
        </w:r>
      </w:hyperlink>
      <w:r>
        <w:t xml:space="preserve">.</w:t>
      </w:r>
    </w:p>
    <w:bookmarkEnd w:id="187"/>
    <w:bookmarkStart w:id="188"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88"/>
    <w:bookmarkStart w:id="190"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89">
        <w:r>
          <w:rPr>
            <w:rStyle w:val="Hyperlink"/>
          </w:rPr>
          <w:t xml:space="preserve">https://doi.org/10.1080/0969594X.2016.1253542</w:t>
        </w:r>
      </w:hyperlink>
      <w:r>
        <w:t xml:space="preserve">.</w:t>
      </w:r>
    </w:p>
    <w:bookmarkEnd w:id="190"/>
    <w:bookmarkStart w:id="192"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1">
        <w:r>
          <w:rPr>
            <w:rStyle w:val="Hyperlink"/>
          </w:rPr>
          <w:t xml:space="preserve">https://doi.org/10.3389/feduc.2017.00044</w:t>
        </w:r>
      </w:hyperlink>
      <w:r>
        <w:t xml:space="preserve">.</w:t>
      </w:r>
    </w:p>
    <w:bookmarkEnd w:id="192"/>
    <w:bookmarkStart w:id="19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3">
        <w:r>
          <w:rPr>
            <w:rStyle w:val="Hyperlink"/>
          </w:rPr>
          <w:t xml:space="preserve">https://doi.org/10.1080/0969594X.2019.1602027</w:t>
        </w:r>
      </w:hyperlink>
      <w:r>
        <w:t xml:space="preserve">.</w:t>
      </w:r>
    </w:p>
    <w:bookmarkEnd w:id="194"/>
    <w:bookmarkEnd w:id="195"/>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1" Target="media/rId21.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hyperlink" Id="rId134"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9" Target="http://www.jstor.org/stable/2245382" TargetMode="External" /><Relationship Type="http://schemas.openxmlformats.org/officeDocument/2006/relationships/hyperlink" Id="rId148" Target="https://doi.org/10.1002/berj.3519" TargetMode="External" /><Relationship Type="http://schemas.openxmlformats.org/officeDocument/2006/relationships/hyperlink" Id="rId114" Target="https://doi.org/10.1007/978-3-030-52229-2_18" TargetMode="External" /><Relationship Type="http://schemas.openxmlformats.org/officeDocument/2006/relationships/hyperlink" Id="rId146" Target="https://doi.org/10.1007/s10649-015-9607-1" TargetMode="External" /><Relationship Type="http://schemas.openxmlformats.org/officeDocument/2006/relationships/hyperlink" Id="rId170" Target="https://doi.org/10.1007/s10798-011-9189-x" TargetMode="External" /><Relationship Type="http://schemas.openxmlformats.org/officeDocument/2006/relationships/hyperlink" Id="rId153" Target="https://doi.org/10.1007/s40841-020-00163-3" TargetMode="External" /><Relationship Type="http://schemas.openxmlformats.org/officeDocument/2006/relationships/hyperlink" Id="rId186"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76" Target="https://doi.org/10.1037/h0037350" TargetMode="External" /><Relationship Type="http://schemas.openxmlformats.org/officeDocument/2006/relationships/hyperlink" Id="rId151" Target="https://doi.org/10.1037/h0043178" TargetMode="External" /><Relationship Type="http://schemas.openxmlformats.org/officeDocument/2006/relationships/hyperlink" Id="rId184" Target="https://doi.org/10.1037/h0070288" TargetMode="External" /><Relationship Type="http://schemas.openxmlformats.org/officeDocument/2006/relationships/hyperlink" Id="rId172" Target="https://doi.org/10.1080/0969594X.2012.665354" TargetMode="External" /><Relationship Type="http://schemas.openxmlformats.org/officeDocument/2006/relationships/hyperlink" Id="rId189"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93"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26" Target="https://doi.org/10.1093/bjps/axu028" TargetMode="External" /><Relationship Type="http://schemas.openxmlformats.org/officeDocument/2006/relationships/hyperlink" Id="rId178" Target="https://doi.org/10.1093/oxfordhb/9780199286546.003.0011" TargetMode="External" /><Relationship Type="http://schemas.openxmlformats.org/officeDocument/2006/relationships/hyperlink" Id="rId142" Target="https://doi.org/10.1111/1471-0528.15199" TargetMode="External" /><Relationship Type="http://schemas.openxmlformats.org/officeDocument/2006/relationships/hyperlink" Id="rId164" Target="https://doi.org/10.1177/0962280215586010" TargetMode="External" /><Relationship Type="http://schemas.openxmlformats.org/officeDocument/2006/relationships/hyperlink" Id="rId140" Target="https://doi.org/10.1177/1403494813516712" TargetMode="External" /><Relationship Type="http://schemas.openxmlformats.org/officeDocument/2006/relationships/hyperlink" Id="rId174" Target="https://doi.org/10.1177/2515245917745629" TargetMode="External" /><Relationship Type="http://schemas.openxmlformats.org/officeDocument/2006/relationships/hyperlink" Id="rId138"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8" Target="https://doi.org/10.2139/ssrn.3689437" TargetMode="External" /><Relationship Type="http://schemas.openxmlformats.org/officeDocument/2006/relationships/hyperlink" Id="rId162"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68"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91" Target="https://doi.org/10.3389/feduc.2017.00044" TargetMode="External" /><Relationship Type="http://schemas.openxmlformats.org/officeDocument/2006/relationships/hyperlink" Id="rId136" Target="https://doi.org/10.3389/feduc.2020.582800" TargetMode="External" /><Relationship Type="http://schemas.openxmlformats.org/officeDocument/2006/relationships/hyperlink" Id="rId132"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80" Target="https://web.archive.org/web/20141015135541/http://www.mhhe.com/socscience/psychology/shaugh/ch01_concepts.html" TargetMode="External" /><Relationship Type="http://schemas.openxmlformats.org/officeDocument/2006/relationships/hyperlink" Id="rId157" Target="https://www.bradyneal.com/Introduction_to_Causal_Inference-Dec17_2020-Neal.pdf" TargetMode="External" /><Relationship Type="http://schemas.openxmlformats.org/officeDocument/2006/relationships/hyperlink" Id="rId144" Target="https://www.hsph.harvard.edu/miguel-hernan/causal-inference-book" TargetMode="External" /><Relationship Type="http://schemas.openxmlformats.org/officeDocument/2006/relationships/hyperlink" Id="rId182" Target="https://www.jstor.org/stable/4320244" TargetMode="External" /><Relationship Type="http://schemas.openxmlformats.org/officeDocument/2006/relationships/hyperlink" Id="rId13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34"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9" Target="http://www.jstor.org/stable/2245382" TargetMode="External" /><Relationship Type="http://schemas.openxmlformats.org/officeDocument/2006/relationships/hyperlink" Id="rId148" Target="https://doi.org/10.1002/berj.3519" TargetMode="External" /><Relationship Type="http://schemas.openxmlformats.org/officeDocument/2006/relationships/hyperlink" Id="rId114" Target="https://doi.org/10.1007/978-3-030-52229-2_18" TargetMode="External" /><Relationship Type="http://schemas.openxmlformats.org/officeDocument/2006/relationships/hyperlink" Id="rId146" Target="https://doi.org/10.1007/s10649-015-9607-1" TargetMode="External" /><Relationship Type="http://schemas.openxmlformats.org/officeDocument/2006/relationships/hyperlink" Id="rId170" Target="https://doi.org/10.1007/s10798-011-9189-x" TargetMode="External" /><Relationship Type="http://schemas.openxmlformats.org/officeDocument/2006/relationships/hyperlink" Id="rId153" Target="https://doi.org/10.1007/s40841-020-00163-3" TargetMode="External" /><Relationship Type="http://schemas.openxmlformats.org/officeDocument/2006/relationships/hyperlink" Id="rId186"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76" Target="https://doi.org/10.1037/h0037350" TargetMode="External" /><Relationship Type="http://schemas.openxmlformats.org/officeDocument/2006/relationships/hyperlink" Id="rId151" Target="https://doi.org/10.1037/h0043178" TargetMode="External" /><Relationship Type="http://schemas.openxmlformats.org/officeDocument/2006/relationships/hyperlink" Id="rId184" Target="https://doi.org/10.1037/h0070288" TargetMode="External" /><Relationship Type="http://schemas.openxmlformats.org/officeDocument/2006/relationships/hyperlink" Id="rId172" Target="https://doi.org/10.1080/0969594X.2012.665354" TargetMode="External" /><Relationship Type="http://schemas.openxmlformats.org/officeDocument/2006/relationships/hyperlink" Id="rId189"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93"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26" Target="https://doi.org/10.1093/bjps/axu028" TargetMode="External" /><Relationship Type="http://schemas.openxmlformats.org/officeDocument/2006/relationships/hyperlink" Id="rId178" Target="https://doi.org/10.1093/oxfordhb/9780199286546.003.0011" TargetMode="External" /><Relationship Type="http://schemas.openxmlformats.org/officeDocument/2006/relationships/hyperlink" Id="rId142" Target="https://doi.org/10.1111/1471-0528.15199" TargetMode="External" /><Relationship Type="http://schemas.openxmlformats.org/officeDocument/2006/relationships/hyperlink" Id="rId164" Target="https://doi.org/10.1177/0962280215586010" TargetMode="External" /><Relationship Type="http://schemas.openxmlformats.org/officeDocument/2006/relationships/hyperlink" Id="rId140" Target="https://doi.org/10.1177/1403494813516712" TargetMode="External" /><Relationship Type="http://schemas.openxmlformats.org/officeDocument/2006/relationships/hyperlink" Id="rId174" Target="https://doi.org/10.1177/2515245917745629" TargetMode="External" /><Relationship Type="http://schemas.openxmlformats.org/officeDocument/2006/relationships/hyperlink" Id="rId138"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8" Target="https://doi.org/10.2139/ssrn.3689437" TargetMode="External" /><Relationship Type="http://schemas.openxmlformats.org/officeDocument/2006/relationships/hyperlink" Id="rId162"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68"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91" Target="https://doi.org/10.3389/feduc.2017.00044" TargetMode="External" /><Relationship Type="http://schemas.openxmlformats.org/officeDocument/2006/relationships/hyperlink" Id="rId136" Target="https://doi.org/10.3389/feduc.2020.582800" TargetMode="External" /><Relationship Type="http://schemas.openxmlformats.org/officeDocument/2006/relationships/hyperlink" Id="rId132"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80" Target="https://web.archive.org/web/20141015135541/http://www.mhhe.com/socscience/psychology/shaugh/ch01_concepts.html" TargetMode="External" /><Relationship Type="http://schemas.openxmlformats.org/officeDocument/2006/relationships/hyperlink" Id="rId157" Target="https://www.bradyneal.com/Introduction_to_Causal_Inference-Dec17_2020-Neal.pdf" TargetMode="External" /><Relationship Type="http://schemas.openxmlformats.org/officeDocument/2006/relationships/hyperlink" Id="rId144" Target="https://www.hsph.harvard.edu/miguel-hernan/causal-inference-book" TargetMode="External" /><Relationship Type="http://schemas.openxmlformats.org/officeDocument/2006/relationships/hyperlink" Id="rId182" Target="https://www.jstor.org/stable/4320244" TargetMode="External" /><Relationship Type="http://schemas.openxmlformats.org/officeDocument/2006/relationships/hyperlink" Id="rId13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2024-08-14T15:07:57Z</dcterms:created>
  <dcterms:modified xsi:type="dcterms:W3CDTF">2024-08-14T15:07:57Z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