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2024-11-18</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Finally,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the variability in the stimulus’ perceived trait level.</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except through comparison,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stimuli’s discriminal processes,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tbl-thurstone_cases">
        <w:r>
          <w:rPr>
            <w:rStyle w:val="Hyperlink"/>
          </w:rPr>
          <w:t xml:space="preserve">Table 1</w:t>
        </w:r>
      </w:hyperlink>
      <w:r>
        <w:t xml:space="preserve"> </w:t>
      </w:r>
      <w:r>
        <w:t xml:space="preserve">summarizes these cases, focusing on key assumptions such as the distribution of discriminal processes, the similarity of discriminal dispersions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800600" cy="1522190"/>
                          </a:xfrm>
                          <a:prstGeom prst="rect">
                            <a:avLst/>
                          </a:prstGeom>
                          <a:noFill/>
                          <a:ln w="9525">
                            <a:noFill/>
                            <a:headEnd/>
                            <a:tailEnd/>
                          </a:ln>
                        </pic:spPr>
                      </pic:pic>
                    </a:graphicData>
                  </a:graphic>
                </wp:inline>
              </w:drawing>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3</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suit applications beyond the psycho-physical contexts for which it was created. Thurstone himself cautioned that its use</w:t>
      </w:r>
      <w:r>
        <w:t xml:space="preserve"> </w:t>
      </w:r>
      <w:r>
        <w:t xml:space="preserve">“should not be made without experimental test”</w:t>
      </w:r>
      <w:r>
        <w:t xml:space="preserve"> </w:t>
      </w:r>
      <w:r>
        <w:t xml:space="preserve">(Thurstone 1927a, 270)</w:t>
      </w:r>
      <w:r>
        <w:t xml:space="preserve">, acknowledging that some assumptions could prove problematic with complex traits or less homogeneous stimuli</w:t>
      </w:r>
      <w:r>
        <w:t xml:space="preserve"> </w:t>
      </w:r>
      <w:r>
        <w:t xml:space="preserve">(Thurstone 1927b, 374)</w:t>
      </w:r>
      <w:r>
        <w:t xml:space="preserve">. Consequently, given that current CJ applications often deal these types of traits and stimuli, two key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is best illustrated with an example. For instance, when evaluating text quality, the assumption suggests that a judge’s perception of quality in one text does not influence the perception of the same trait in the comparison text. Thurstone attributes this independence to the cancellation of potential judges’ biases, driven by opposing and equally weighted factors that operate during pairwise comparisons, called</w:t>
      </w:r>
      <w:r>
        <w:t xml:space="preserve"> </w:t>
      </w:r>
      <w:r>
        <w:t xml:space="preserve">‘mood’</w:t>
      </w:r>
      <w:r>
        <w:t xml:space="preserve"> </w:t>
      </w:r>
      <w:r>
        <w:t xml:space="preserve">and</w:t>
      </w:r>
      <w:r>
        <w:t xml:space="preserve"> </w:t>
      </w:r>
      <w:r>
        <w:t xml:space="preserve">‘simultaneous contrast’</w:t>
      </w:r>
      <w:r>
        <w:t xml:space="preserve"> </w:t>
      </w:r>
      <w:r>
        <w:t xml:space="preserve">effects</w:t>
      </w:r>
      <w:r>
        <w:t xml:space="preserve"> </w:t>
      </w:r>
      <w:r>
        <w:t xml:space="preserve">(Thurstone 1927a, 268)</w:t>
      </w:r>
      <w:r>
        <w:t xml:space="preserve">. This cancellation of bias has been mathematically demonstrated by</w:t>
      </w:r>
      <w:r>
        <w:t xml:space="preserve"> </w:t>
      </w:r>
      <w:r>
        <w:t xml:space="preserve">Andrich (1978)</w:t>
      </w:r>
      <w:r>
        <w:t xml:space="preserve">, assuming discriminal processes with additive biases and a logit scale derived from the BTL model.</w:t>
      </w:r>
    </w:p>
    <w:p>
      <w:pPr>
        <w:pStyle w:val="BodyText"/>
      </w:pPr>
      <w:r>
        <w:t xml:space="preserve">However, two types of scenarios make it plausible that potential judges’ biases may not cancel: those involving complex traits and less homogeneous stimuli, and those where judges differ in what they value in their assessments. In the first scenario, Thurstone noted that for complex traits and non-homogeneous stimuli, such as handwriting or English compositions, CJ data might not align with the assumptions of Case V</w:t>
      </w:r>
      <w:r>
        <w:t xml:space="preserve"> </w:t>
      </w:r>
      <w:r>
        <w:t xml:space="preserve">(Thurstone 1927b, 374)</w:t>
      </w:r>
      <w:r>
        <w:t xml:space="preserve">. This insight likely extends to other similarly complex traits and stimuli. In the second scenario, evidence indicates that judges’ assessments are influenced by multiple, intricate aspects of the stimuli</w:t>
      </w:r>
      <w:r>
        <w:t xml:space="preserve"> </w:t>
      </w:r>
      <w:r>
        <w:t xml:space="preserve">(van Daal et al. 2016; Lesterhuis 2018b; Chambers and Cunningham 2022)</w:t>
      </w:r>
      <w:r>
        <w:t xml:space="preserve">. Moreover, factors like age, culture, education, expertise</w:t>
      </w:r>
      <w:r>
        <w:t xml:space="preserve"> </w:t>
      </w:r>
      <w:r>
        <w:t xml:space="preserve">(Kelly, Richardson, and Isaacs 2022, 683)</w:t>
      </w:r>
      <w:r>
        <w:t xml:space="preserve">, and even individual differences among judges</w:t>
      </w:r>
      <w:r>
        <w:t xml:space="preserve"> </w:t>
      </w:r>
      <w:r>
        <w:t xml:space="preserve">(Gill and Bramley 2013; van Daal et al. 2017; van Daal 2020)</w:t>
      </w:r>
      <w:r>
        <w:t xml:space="preserve"> </w:t>
      </w:r>
      <w:r>
        <w:t xml:space="preserve">can influence judgment accuracy. These scenarios can ultimately result in non-additive biases that resist cancellation, driven by the characteristics or location of stimuli within the trait continuum.</w:t>
      </w:r>
    </w:p>
    <w:p>
      <w:pPr>
        <w:pStyle w:val="BodyText"/>
      </w:pPr>
      <w:r>
        <w:t xml:space="preserve">This also translates into the idea that stimuli are the main focus of estimation and analysis, but what happens when the focus of analysis is the individuals that generated those stimuli. Meaning there is an amount of correlation that it is not accounted for. Use example of Boonen!!</w:t>
      </w:r>
    </w:p>
    <w:p>
      <w:pPr>
        <w:pStyle w:val="BodyText"/>
      </w:pPr>
      <w:r>
        <w:t xml:space="preserve">Such differences may not be detected through analyses of bias and misfit</w:t>
      </w:r>
      <w:r>
        <w:t xml:space="preserve"> </w:t>
      </w:r>
      <w:r>
        <w:t xml:space="preserve">(Kelly, Richardson, and Isaacs 2022, 683)</w:t>
      </w:r>
      <w:r>
        <w:t xml:space="preserve">.</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measurement model for the trait of interest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30" w:name="references"/>
    <w:p>
      <w:pPr>
        <w:pStyle w:val="Heading1"/>
      </w:pPr>
      <w:r>
        <w:t xml:space="preserve">References</w:t>
      </w:r>
    </w:p>
    <w:bookmarkStart w:id="129"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2">
        <w:r>
          <w:rPr>
            <w:rStyle w:val="Hyperlink"/>
          </w:rPr>
          <w:t xml:space="preserve">https://doi.org/10.3389/feduc.2022.802392</w:t>
        </w:r>
      </w:hyperlink>
      <w:r>
        <w:t xml:space="preserve">.</w:t>
      </w:r>
    </w:p>
    <w:bookmarkEnd w:id="73"/>
    <w:bookmarkStart w:id="75"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4">
        <w:r>
          <w:rPr>
            <w:rStyle w:val="Hyperlink"/>
          </w:rPr>
          <w:t xml:space="preserve">https://repository.uantwerpen.be/docman/irua/e71ea9/147930.pdf</w:t>
        </w:r>
      </w:hyperlink>
      <w:r>
        <w:t xml:space="preserve">.</w:t>
      </w:r>
    </w:p>
    <w:bookmarkEnd w:id="75"/>
    <w:bookmarkStart w:id="77"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6">
        <w:r>
          <w:rPr>
            <w:rStyle w:val="Hyperlink"/>
          </w:rPr>
          <w:t xml:space="preserve">https://doi.org/10.3389/feduc.2021.788202</w:t>
        </w:r>
      </w:hyperlink>
      <w:r>
        <w:t xml:space="preserve">.</w:t>
      </w:r>
    </w:p>
    <w:bookmarkEnd w:id="77"/>
    <w:bookmarkStart w:id="79" w:name="ref-Everitt_et_al_2010"/>
    <w:p>
      <w:pPr>
        <w:pStyle w:val="Bibliography"/>
      </w:pPr>
      <w:r>
        <w:t xml:space="preserve">Everitt, B., and A. Skrondal. 2010.</w:t>
      </w:r>
      <w:r>
        <w:t xml:space="preserve"> </w:t>
      </w:r>
      <w:hyperlink r:id="rId78">
        <w:r>
          <w:rPr>
            <w:rStyle w:val="Hyperlink"/>
            <w:i/>
            <w:iCs/>
          </w:rPr>
          <w:t xml:space="preserve">The Cambridge Dictionary of Statistics</w:t>
        </w:r>
      </w:hyperlink>
      <w:r>
        <w:t xml:space="preserve">. Cambridge University Press.</w:t>
      </w:r>
    </w:p>
    <w:bookmarkEnd w:id="79"/>
    <w:bookmarkStart w:id="80" w:name="ref-Fox_2010"/>
    <w:p>
      <w:pPr>
        <w:pStyle w:val="Bibliography"/>
      </w:pPr>
      <w:r>
        <w:t xml:space="preserve">Fox, J. P. 2010.</w:t>
      </w:r>
      <w:r>
        <w:t xml:space="preserve"> </w:t>
      </w:r>
      <w:hyperlink r:id="rId78">
        <w:r>
          <w:rPr>
            <w:rStyle w:val="Hyperlink"/>
            <w:i/>
            <w:iCs/>
          </w:rPr>
          <w:t xml:space="preserve">Bayesian Item Response Modeling, Theory and Applications</w:t>
        </w:r>
      </w:hyperlink>
      <w:r>
        <w:t xml:space="preserve">. Statistics for Social and Behavioral Sciences. Springer.</w:t>
      </w:r>
    </w:p>
    <w:bookmarkEnd w:id="80"/>
    <w:bookmarkStart w:id="82"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1">
        <w:r>
          <w:rPr>
            <w:rStyle w:val="Hyperlink"/>
          </w:rPr>
          <w:t xml:space="preserve">https://doi.org/10.3389/feduc.2020.582800</w:t>
        </w:r>
      </w:hyperlink>
      <w:r>
        <w:t xml:space="preserve">.</w:t>
      </w:r>
    </w:p>
    <w:bookmarkEnd w:id="82"/>
    <w:bookmarkStart w:id="84" w:name="ref-Gill_et_al_2013"/>
    <w:p>
      <w:pPr>
        <w:pStyle w:val="Bibliography"/>
      </w:pPr>
      <w:r>
        <w:t xml:space="preserve">Gill, T., and T. Bramley. 2013.</w:t>
      </w:r>
      <w:r>
        <w:t xml:space="preserve"> </w:t>
      </w:r>
      <w:r>
        <w:t xml:space="preserve">“How Accurate Are Examiners’ Holistic Judgements of Script Quality?”</w:t>
      </w:r>
      <w:r>
        <w:t xml:space="preserve"> </w:t>
      </w:r>
      <w:r>
        <w:rPr>
          <w:i/>
          <w:iCs/>
        </w:rPr>
        <w:t xml:space="preserve">Assessment in Education: Principles, Policy and Practice</w:t>
      </w:r>
      <w:r>
        <w:t xml:space="preserve"> </w:t>
      </w:r>
      <w:r>
        <w:t xml:space="preserve">20 (3): 308--324.</w:t>
      </w:r>
      <w:r>
        <w:t xml:space="preserve"> </w:t>
      </w:r>
      <w:hyperlink r:id="rId83">
        <w:r>
          <w:rPr>
            <w:rStyle w:val="Hyperlink"/>
          </w:rPr>
          <w:t xml:space="preserve">https://doi.org/10.1080/0969594X.2013.779229</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78">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78">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99"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p>
    <w:bookmarkEnd w:id="99"/>
    <w:bookmarkStart w:id="101"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0">
        <w:r>
          <w:rPr>
            <w:rStyle w:val="Hyperlink"/>
          </w:rPr>
          <w:t xml:space="preserve">https://doi.org/10.17239/L1ESLL-2018.18.01.02</w:t>
        </w:r>
      </w:hyperlink>
      <w:r>
        <w:t xml:space="preserve">.</w:t>
      </w:r>
    </w:p>
    <w:bookmarkEnd w:id="101"/>
    <w:bookmarkStart w:id="10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2">
        <w:r>
          <w:rPr>
            <w:rStyle w:val="Hyperlink"/>
          </w:rPr>
          <w:t xml:space="preserve">https://doi.org/10.1037/h0043178</w:t>
        </w:r>
      </w:hyperlink>
      <w:r>
        <w:t xml:space="preserve">.</w:t>
      </w:r>
    </w:p>
    <w:bookmarkEnd w:id="103"/>
    <w:bookmarkStart w:id="10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4">
        <w:r>
          <w:rPr>
            <w:rStyle w:val="Hyperlink"/>
          </w:rPr>
          <w:t xml:space="preserve">https://doi.org/10.1007/s40841-020-00163-3</w:t>
        </w:r>
      </w:hyperlink>
      <w:r>
        <w:t xml:space="preserve">.</w:t>
      </w:r>
    </w:p>
    <w:bookmarkEnd w:id="105"/>
    <w:bookmarkStart w:id="106" w:name="ref-McElreath_2020"/>
    <w:p>
      <w:pPr>
        <w:pStyle w:val="Bibliography"/>
      </w:pPr>
      <w:r>
        <w:t xml:space="preserve">McElreath, R. 2020.</w:t>
      </w:r>
      <w:r>
        <w:t xml:space="preserve"> </w:t>
      </w:r>
      <w:hyperlink r:id="rId78">
        <w:r>
          <w:rPr>
            <w:rStyle w:val="Hyperlink"/>
            <w:i/>
            <w:iCs/>
          </w:rPr>
          <w:t xml:space="preserve">Statistical Rethinking: A Bayesian Course with Examples in r and STAN</w:t>
        </w:r>
      </w:hyperlink>
      <w:r>
        <w:t xml:space="preserve">. Chapman; Hall/CRC.</w:t>
      </w:r>
    </w:p>
    <w:bookmarkEnd w:id="106"/>
    <w:bookmarkStart w:id="10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7">
        <w:r>
          <w:rPr>
            <w:rStyle w:val="Hyperlink"/>
          </w:rPr>
          <w:t xml:space="preserve">https://doi.org/10.1109/ICPR48806.2021.9412676</w:t>
        </w:r>
      </w:hyperlink>
      <w:r>
        <w:t xml:space="preserve">.</w:t>
      </w:r>
    </w:p>
    <w:bookmarkEnd w:id="108"/>
    <w:bookmarkStart w:id="110"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9">
        <w:r>
          <w:rPr>
            <w:rStyle w:val="Hyperlink"/>
          </w:rPr>
          <w:t xml:space="preserve">https://doi.org/10.1080/0969594X.2012.665354</w:t>
        </w:r>
      </w:hyperlink>
      <w:r>
        <w:t xml:space="preserve">.</w:t>
      </w:r>
    </w:p>
    <w:bookmarkEnd w:id="110"/>
    <w:bookmarkStart w:id="11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1">
        <w:r>
          <w:rPr>
            <w:rStyle w:val="Hyperlink"/>
          </w:rPr>
          <w:t xml:space="preserve">https://www.cambridgeassessment.org.uk/Images/109707-monitoring-and-investigating-comparability-a-proper-role-for-human-judgement.pdf</w:t>
        </w:r>
      </w:hyperlink>
      <w:r>
        <w:t xml:space="preserve">.</w:t>
      </w:r>
    </w:p>
    <w:bookmarkEnd w:id="112"/>
    <w:bookmarkStart w:id="11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3">
        <w:r>
          <w:rPr>
            <w:rStyle w:val="Hyperlink"/>
          </w:rPr>
          <w:t xml:space="preserve">https://doi.org/10.1037/h0070288</w:t>
        </w:r>
      </w:hyperlink>
      <w:r>
        <w:t xml:space="preserve">.</w:t>
      </w:r>
    </w:p>
    <w:bookmarkEnd w:id="114"/>
    <w:bookmarkStart w:id="11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5">
        <w:r>
          <w:rPr>
            <w:rStyle w:val="Hyperlink"/>
          </w:rPr>
          <w:t xml:space="preserve">https://brocku.ca/MeadProject/Thurstone/Thurstone_1927g.html</w:t>
        </w:r>
      </w:hyperlink>
      <w:r>
        <w:t xml:space="preserve">.</w:t>
      </w:r>
    </w:p>
    <w:bookmarkEnd w:id="116"/>
    <w:bookmarkStart w:id="11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78">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3">
        <w:r>
          <w:rPr>
            <w:rStyle w:val="Hyperlink"/>
          </w:rPr>
          <w:t xml:space="preserve">https://doi.org/10.3389/feduc.2021.785919</w:t>
        </w:r>
      </w:hyperlink>
      <w:r>
        <w:t xml:space="preserve">.</w:t>
      </w:r>
    </w:p>
    <w:bookmarkEnd w:id="124"/>
    <w:bookmarkStart w:id="126"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5">
        <w:r>
          <w:rPr>
            <w:rStyle w:val="Hyperlink"/>
          </w:rPr>
          <w:t xml:space="preserve">https://doi.org/10.1080/0969594X.2019.1602027</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8" Target="" TargetMode="External" /><Relationship Type="http://schemas.openxmlformats.org/officeDocument/2006/relationships/hyperlink" Id="rId115"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102" Target="https://doi.org/10.1037/h0043178" TargetMode="External" /><Relationship Type="http://schemas.openxmlformats.org/officeDocument/2006/relationships/hyperlink" Id="rId113"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83" Target="https://doi.org/10.1080/0969594X.2013.779229" TargetMode="External" /><Relationship Type="http://schemas.openxmlformats.org/officeDocument/2006/relationships/hyperlink" Id="rId118"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25"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100" Target="https://doi.org/10.17239/L1ESLL-2018.18.01.02" TargetMode="External" /><Relationship Type="http://schemas.openxmlformats.org/officeDocument/2006/relationships/hyperlink" Id="rId64"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1" Target="https://doi.org/10.3389/feduc.2020.582800" TargetMode="External" /><Relationship Type="http://schemas.openxmlformats.org/officeDocument/2006/relationships/hyperlink" Id="rId123" Target="https://doi.org/10.3389/feduc.2021.785919" TargetMode="External" /><Relationship Type="http://schemas.openxmlformats.org/officeDocument/2006/relationships/hyperlink" Id="rId76" Target="https://doi.org/10.3389/feduc.2021.788202" TargetMode="External" /><Relationship Type="http://schemas.openxmlformats.org/officeDocument/2006/relationships/hyperlink" Id="rId72"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4" Target="https://repository.uantwerpen.be/docman/irua/e71ea9/147930.pdf" TargetMode="External" /><Relationship Type="http://schemas.openxmlformats.org/officeDocument/2006/relationships/hyperlink" Id="rId11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8" Target="" TargetMode="External" /><Relationship Type="http://schemas.openxmlformats.org/officeDocument/2006/relationships/hyperlink" Id="rId115"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102" Target="https://doi.org/10.1037/h0043178" TargetMode="External" /><Relationship Type="http://schemas.openxmlformats.org/officeDocument/2006/relationships/hyperlink" Id="rId113"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83" Target="https://doi.org/10.1080/0969594X.2013.779229" TargetMode="External" /><Relationship Type="http://schemas.openxmlformats.org/officeDocument/2006/relationships/hyperlink" Id="rId118"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25"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58" Target="https://doi.org/10.1080/10627197.2018.1444986" TargetMode="External" /><Relationship Type="http://schemas.openxmlformats.org/officeDocument/2006/relationships/hyperlink" Id="rId10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100" Target="https://doi.org/10.17239/L1ESLL-2018.18.01.02" TargetMode="External" /><Relationship Type="http://schemas.openxmlformats.org/officeDocument/2006/relationships/hyperlink" Id="rId64"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1" Target="https://doi.org/10.3389/feduc.2020.582800" TargetMode="External" /><Relationship Type="http://schemas.openxmlformats.org/officeDocument/2006/relationships/hyperlink" Id="rId123" Target="https://doi.org/10.3389/feduc.2021.785919" TargetMode="External" /><Relationship Type="http://schemas.openxmlformats.org/officeDocument/2006/relationships/hyperlink" Id="rId76" Target="https://doi.org/10.3389/feduc.2021.788202" TargetMode="External" /><Relationship Type="http://schemas.openxmlformats.org/officeDocument/2006/relationships/hyperlink" Id="rId72"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4" Target="https://repository.uantwerpen.be/docman/irua/e71ea9/147930.pdf" TargetMode="External" /><Relationship Type="http://schemas.openxmlformats.org/officeDocument/2006/relationships/hyperlink" Id="rId11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2024-11-18T13:47:51Z</dcterms:created>
  <dcterms:modified xsi:type="dcterms:W3CDTF">2024-11-18T13:47:51Z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