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2024-07-19</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Pollitt</w:t>
      </w:r>
      <w:r>
        <w:t xml:space="preserve"> </w:t>
      </w:r>
      <w:r>
        <w:t xml:space="preserve">(2012b)</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Nevertheless,</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DCJ</w:t>
      </w:r>
      <w:r>
        <w:t xml:space="preserve"> </w:t>
      </w:r>
      <w:r>
        <w:t xml:space="preserve">system</w:t>
      </w:r>
      <w:r>
        <w:t xml:space="preserve"> </w:t>
      </w:r>
      <w:r>
        <w:t xml:space="preserve">and</w:t>
      </w:r>
      <w:r>
        <w:t xml:space="preserve"> </w:t>
      </w:r>
      <w:r>
        <w:t xml:space="preserve">the</w:t>
      </w:r>
      <w:r>
        <w:t xml:space="preserve"> </w:t>
      </w:r>
      <w:r>
        <w:t xml:space="preserve">plausible</w:t>
      </w:r>
      <w:r>
        <w:t xml:space="preserve"> </w:t>
      </w:r>
      <w:r>
        <w:t xml:space="preserve">mechanisms</w:t>
      </w:r>
      <w:r>
        <w:t xml:space="preserve"> </w:t>
      </w:r>
      <w:r>
        <w:t xml:space="preserve">that</w:t>
      </w:r>
      <w:r>
        <w:t xml:space="preserve"> </w:t>
      </w:r>
      <w:r>
        <w:t xml:space="preserve">generate</w:t>
      </w:r>
      <w:r>
        <w:t xml:space="preserve"> </w:t>
      </w:r>
      <w:r>
        <w:t xml:space="preserve">the</w:t>
      </w:r>
      <w:r>
        <w:t xml:space="preserve"> </w:t>
      </w:r>
      <w:r>
        <w:t xml:space="preserve">DCJ</w:t>
      </w:r>
      <w:r>
        <w:t xml:space="preserve"> </w:t>
      </w:r>
      <w:r>
        <w:t xml:space="preserve">data.</w:t>
      </w:r>
      <w:r>
        <w:t xml:space="preserve"> </w:t>
      </w:r>
      <w:r>
        <w:t xml:space="preserve">Particularly,</w:t>
      </w:r>
      <w:r>
        <w:t xml:space="preserve"> </w:t>
      </w:r>
      <w:r>
        <w:t xml:space="preserve">there</w:t>
      </w:r>
      <w:r>
        <w:t xml:space="preserve"> </w:t>
      </w:r>
      <w:r>
        <w:t xml:space="preserve">is</w:t>
      </w:r>
      <w:r>
        <w:t xml:space="preserve"> </w:t>
      </w:r>
      <w:r>
        <w:t xml:space="preserve">no</w:t>
      </w:r>
      <w:r>
        <w:t xml:space="preserve"> </w:t>
      </w:r>
      <w:r>
        <w:t xml:space="preserve">detailed</w:t>
      </w:r>
      <w:r>
        <w:t xml:space="preserve"> </w:t>
      </w:r>
      <w:r>
        <w:t xml:space="preserve">explanation</w:t>
      </w:r>
      <w:r>
        <w:t xml:space="preserve"> </w:t>
      </w:r>
      <w:r>
        <w:t xml:space="preserve">of</w:t>
      </w:r>
      <w:r>
        <w:t xml:space="preserve"> </w:t>
      </w:r>
      <w:r>
        <w:t xml:space="preserve">how</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does not offer a clear representation of the plausible mechanisms that generate the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DCJ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university students’ skills in academic writing, utilizing multiple argumentative essays (stimuli, sub-units) originating from various students (units).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plausible mechanisms generating the DCJ outcome. This study aims to fill this gap by representing DCJ within the causal analysis framework</w:t>
      </w:r>
      <w:r>
        <w:t xml:space="preserve"> </w:t>
      </w:r>
      <w:r>
        <w:t xml:space="preserve">(Pearl 2009; Pearl, Glymour, and Jewell 2016)</w:t>
      </w:r>
      <w:r>
        <w:t xml:space="preserve">. Using Directed Acyclic Graphs</w:t>
      </w:r>
      <w:r>
        <w:t xml:space="preserve"> </w:t>
      </w:r>
      <w:r>
        <w:t xml:space="preserve">(DAG, Gross, Yellen, and Anderson 2018; Neal 2020)</w:t>
      </w:r>
      <w:r>
        <w:t xml:space="preserve">, the study will construct a scientific model to elucidate the underlying assumptions of the DCJ system, providing plausible mechanisms for how the DCJ outcome could be generated. Next, using a minimal set of assumptions embedded in the framework, the study will translate the scientific model into a probabilistic statistical model. This model derives statistical estimands to draw inferences about plausible causal relationships within the DCJ system. Ultimately, this research aims to extend the law of comparative judgment initially proposed by</w:t>
      </w:r>
      <w:r>
        <w:t xml:space="preserve"> </w:t>
      </w:r>
      <w:r>
        <w:t xml:space="preserve">Thurstone (1927)</w:t>
      </w:r>
      <w:r>
        <w:t xml:space="preserve"> </w:t>
      </w:r>
      <w:r>
        <w:t xml:space="preserve">and provide a sound probabilistic base for the statistical analysis of DCJ data. Consequently, this research holds significance for researchers and analysts involved in education and assessment procedures who implement or design DCJ experiments.</w:t>
      </w:r>
    </w:p>
    <w:bookmarkEnd w:id="20"/>
    <w:bookmarkStart w:id="27" w:name="sec-prelim"/>
    <w:p>
      <w:pPr>
        <w:pStyle w:val="Heading1"/>
      </w:pPr>
      <w:r>
        <w:t xml:space="preserve">Preliminaries</w:t>
      </w:r>
    </w:p>
    <w:bookmarkStart w:id="21" w:name="sec-prelim-causal"/>
    <w:p>
      <w:pPr>
        <w:pStyle w:val="Heading2"/>
      </w:pPr>
      <w:r>
        <w:t xml:space="preserve">Causal analysis and DAGs</w:t>
      </w:r>
    </w:p>
    <w:p>
      <w:pPr>
        <w:pStyle w:val="FirstParagraph"/>
      </w:pPr>
      <w:r>
        <w:t xml:space="preserve">Causal analysis is the field of experimental design and statistics pertaining to establishing cause and effect from data.</w:t>
      </w:r>
    </w:p>
    <w:p>
      <w:pPr>
        <w:pStyle w:val="BodyText"/>
      </w:pPr>
      <w:r>
        <w:t xml:space="preserve">Causal inference</w:t>
      </w:r>
    </w:p>
    <w:p>
      <w:pPr>
        <w:pStyle w:val="BodyText"/>
      </w:pPr>
      <w:r>
        <w:t xml:space="preserve">Directed Acyclic Graph (DAG)</w:t>
      </w:r>
    </w:p>
    <w:p>
      <w:pPr>
        <w:pStyle w:val="BodyText"/>
      </w:pPr>
      <w:r>
        <w:t xml:space="preserve">the four components of DAGs</w:t>
      </w:r>
    </w:p>
    <w:p>
      <w:pPr>
        <w:pStyle w:val="BodyText"/>
      </w:pPr>
      <w:r>
        <w:t xml:space="preserve">Structural Causal Model (SCM)</w:t>
      </w:r>
    </w:p>
    <w:p>
      <w:pPr>
        <w:pStyle w:val="BodyText"/>
      </w:pPr>
      <w:r>
        <w:t xml:space="preserve">the four components of DAGs in SCM notation</w:t>
      </w:r>
    </w:p>
    <w:bookmarkEnd w:id="21"/>
    <w:bookmarkStart w:id="26" w:name="sec-prelim-flow"/>
    <w:p>
      <w:pPr>
        <w:pStyle w:val="Heading2"/>
      </w:pPr>
      <w:r>
        <w:t xml:space="preserve">The flow of association and causation</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End w:id="27"/>
    <w:bookmarkStart w:id="56" w:name="sec-theory"/>
    <w:p>
      <w:pPr>
        <w:pStyle w:val="Heading1"/>
      </w:pPr>
      <w:r>
        <w:t xml:space="preserve">Theoretical framework</w:t>
      </w:r>
    </w:p>
    <w:bookmarkStart w:id="32" w:name="sec-theory-where"/>
    <w:p>
      <w:pPr>
        <w:pStyle w:val="Heading2"/>
      </w:pPr>
      <w:r>
        <w:t xml:space="preserve">Where does it all fit?</w:t>
      </w:r>
    </w:p>
    <w:tbl>
      <w:tblPr>
        <w:tblStyle w:val="Table"/>
        <w:tblW w:type="pct" w:w="5000"/>
        <w:tblLayout w:type="fixed"/>
        <w:tblLook w:firstRow="0" w:lastRow="0" w:firstColumn="0" w:lastColumn="0" w:noHBand="0" w:noVBand="0" w:val="0000"/>
      </w:tblPr>
      <w:tblGrid>
        <w:gridCol w:w="7920"/>
      </w:tblGrid>
      <w:tr>
        <w:tc>
          <w:tcPr/>
          <w:bookmarkStart w:id="31" w:name="fig-IEflow"/>
          <w:p>
            <w:pPr>
              <w:pStyle w:val="Compact"/>
              <w:jc w:val="center"/>
            </w:pPr>
            <w:r>
              <w:drawing>
                <wp:inline>
                  <wp:extent cx="2133600" cy="1502761"/>
                  <wp:effectExtent b="0" l="0" r="0" t="0"/>
                  <wp:docPr descr="" title="" id="29" name="Picture"/>
                  <a:graphic>
                    <a:graphicData uri="http://schemas.openxmlformats.org/drawingml/2006/picture">
                      <pic:pic>
                        <pic:nvPicPr>
                          <pic:cNvPr descr="images/figures/IEflow.png" id="30" name="Picture"/>
                          <pic:cNvPicPr>
                            <a:picLocks noChangeArrowheads="1" noChangeAspect="1"/>
                          </pic:cNvPicPr>
                        </pic:nvPicPr>
                        <pic:blipFill>
                          <a:blip r:embed="rId2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1"/>
        </w:tc>
      </w:tr>
    </w:tbl>
    <w:bookmarkEnd w:id="32"/>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1" w:name="sec-theory-probability"/>
    <w:p>
      <w:pPr>
        <w:pStyle w:val="Heading2"/>
      </w:pPr>
      <w:r>
        <w:t xml:space="preserve">Probabilitics assumptions of the scientific model</w:t>
      </w:r>
    </w:p>
    <w:p>
      <w:pPr>
        <w:pStyle w:val="FirstParagraph"/>
      </w:pPr>
      <w:bookmarkStart w:id="50" w:name="eq-StructuralMode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box>
                  <m:boxPr>
                    <m:opEmu m:val="on"/>
                  </m:boxPr>
                  <m:e>
                    <m:r>
                      <m:rPr>
                        <m:sty m:val="p"/>
                      </m:rPr>
                      <m:t>:=</m:t>
                    </m:r>
                  </m:e>
                </m:box>
              </m:e>
              <m:e>
                <m:r>
                  <m:t> </m:t>
                </m:r>
                <m:sSub>
                  <m:e>
                    <m:r>
                      <m:t>f</m:t>
                    </m:r>
                  </m:e>
                  <m:sub>
                    <m:r>
                      <m:t>D</m:t>
                    </m:r>
                  </m:sub>
                </m:sSub>
                <m:d>
                  <m:dPr>
                    <m:begChr m:val="("/>
                    <m:endChr m:val=")"/>
                    <m:sepChr m:val=""/>
                    <m:grow/>
                  </m:dPr>
                  <m:e>
                    <m:sSub>
                      <m:e>
                        <m:r>
                          <m:t>γ</m:t>
                        </m:r>
                      </m:e>
                      <m:sub>
                        <m:r>
                          <m:t>k</m:t>
                        </m:r>
                      </m:sub>
                    </m:sSub>
                    <m:r>
                      <m:rPr>
                        <m:sty m:val="p"/>
                      </m:rPr>
                      <m:t>,</m:t>
                    </m:r>
                    <m:sSub>
                      <m:e>
                        <m:r>
                          <m:t>θ</m:t>
                        </m:r>
                      </m:e>
                      <m:sub>
                        <m:r>
                          <m:t>i</m:t>
                        </m:r>
                        <m:sSub>
                          <m:e>
                            <m:r>
                              <m:t>r</m:t>
                            </m:r>
                          </m:e>
                          <m:sub>
                            <m:r>
                              <m:t>i</m:t>
                            </m:r>
                          </m:sub>
                        </m:sSub>
                      </m:sub>
                    </m:sSub>
                  </m:e>
                </m:d>
              </m:e>
            </m:mr>
            <m:mr>
              <m:e>
                <m:sSub>
                  <m:e>
                    <m:r>
                      <m:t>γ</m:t>
                    </m:r>
                  </m:e>
                  <m:sub>
                    <m:r>
                      <m:t>k</m:t>
                    </m:r>
                  </m:sub>
                </m:sSub>
                <m:box>
                  <m:boxPr>
                    <m:opEmu m:val="on"/>
                  </m:boxPr>
                  <m:e>
                    <m:r>
                      <m:rPr>
                        <m:sty m:val="p"/>
                      </m:rPr>
                      <m:t>:=</m:t>
                    </m:r>
                  </m:e>
                </m:box>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box>
                  <m:boxPr>
                    <m:opEmu m:val="on"/>
                  </m:boxPr>
                  <m:e>
                    <m:r>
                      <m:rPr>
                        <m:sty m:val="p"/>
                      </m:rPr>
                      <m:t>:=</m:t>
                    </m:r>
                  </m:e>
                </m:box>
              </m:e>
              <m:e>
                <m:r>
                  <m:t> </m:t>
                </m:r>
                <m:sSub>
                  <m:e>
                    <m:r>
                      <m:t>f</m:t>
                    </m:r>
                  </m:e>
                  <m:sub>
                    <m:r>
                      <m:t>R</m:t>
                    </m:r>
                  </m:sub>
                </m:sSub>
                <m:d>
                  <m:dPr>
                    <m:begChr m:val="("/>
                    <m:endChr m:val=")"/>
                    <m:sepChr m:val=""/>
                    <m:grow/>
                  </m:dPr>
                  <m:e>
                    <m:sSub>
                      <m:e>
                        <m:r>
                          <m:t>θ</m:t>
                        </m:r>
                      </m:e>
                      <m:sub>
                        <m:r>
                          <m:t>i</m:t>
                        </m:r>
                      </m:sub>
                    </m:sSub>
                    <m:r>
                      <m:rPr>
                        <m:sty m:val="p"/>
                      </m:rPr>
                      <m:t>,</m:t>
                    </m:r>
                    <m:sSub>
                      <m:e>
                        <m:r>
                          <m:t>Y</m:t>
                        </m:r>
                      </m:e>
                      <m:sub>
                        <m:r>
                          <m:t>r</m:t>
                        </m:r>
                      </m:sub>
                    </m:sSub>
                    <m:r>
                      <m:rPr>
                        <m:sty m:val="p"/>
                      </m:rPr>
                      <m:t>,</m:t>
                    </m:r>
                    <m:sSub>
                      <m:e>
                        <m:r>
                          <m:t>e</m:t>
                        </m:r>
                      </m:e>
                      <m:sub>
                        <m:sSub>
                          <m:e>
                            <m:r>
                              <m:t>r</m:t>
                            </m:r>
                          </m:e>
                          <m:sub>
                            <m:r>
                              <m:t>i</m:t>
                            </m:r>
                          </m:sub>
                        </m:sSub>
                      </m:sub>
                    </m:sSub>
                  </m:e>
                </m:d>
              </m:e>
            </m:mr>
            <m:mr>
              <m:e>
                <m:sSub>
                  <m:e>
                    <m:r>
                      <m:t>θ</m:t>
                    </m:r>
                  </m:e>
                  <m:sub>
                    <m:r>
                      <m:t>i</m:t>
                    </m:r>
                  </m:sub>
                </m:sSub>
                <m:box>
                  <m:boxPr>
                    <m:opEmu m:val="on"/>
                  </m:boxPr>
                  <m:e>
                    <m:r>
                      <m:rPr>
                        <m:sty m:val="p"/>
                      </m:rPr>
                      <m:t>:=</m:t>
                    </m:r>
                  </m:e>
                </m:box>
              </m:e>
              <m:e>
                <m:r>
                  <m:t> </m:t>
                </m:r>
                <m:sSub>
                  <m:e>
                    <m:r>
                      <m:t>f</m:t>
                    </m:r>
                  </m:e>
                  <m:sub>
                    <m:r>
                      <m:t>T</m:t>
                    </m:r>
                  </m:sub>
                </m:sSub>
                <m:d>
                  <m:dPr>
                    <m:begChr m:val="("/>
                    <m:endChr m:val=")"/>
                    <m:sepChr m:val=""/>
                    <m:grow/>
                  </m:dPr>
                  <m:e>
                    <m:sSub>
                      <m:e>
                        <m:r>
                          <m:t>X</m:t>
                        </m:r>
                      </m:e>
                      <m:sub>
                        <m:r>
                          <m:t>i</m:t>
                        </m:r>
                      </m:sub>
                    </m:sSub>
                    <m:r>
                      <m:rPr>
                        <m:sty m:val="p"/>
                      </m:rPr>
                      <m:t>,</m:t>
                    </m:r>
                    <m:sSub>
                      <m:e>
                        <m:r>
                          <m:t>e</m:t>
                        </m:r>
                      </m:e>
                      <m:sub>
                        <m:r>
                          <m:t>i</m:t>
                        </m:r>
                      </m:sub>
                    </m:sSub>
                  </m:e>
                </m:d>
              </m:e>
            </m:mr>
            <m:mr>
              <m:e/>
              <m:e>
                <m:r>
                  <m:t> </m:t>
                </m:r>
                <m:sSub>
                  <m:e>
                    <m:r>
                      <m:t>e</m:t>
                    </m:r>
                  </m:e>
                  <m:sub>
                    <m:r>
                      <m:t>k</m:t>
                    </m:r>
                  </m:sub>
                </m:sSub>
                <m:r>
                  <m:rPr>
                    <m:sty m:val="p"/>
                  </m:rPr>
                  <m:t>⊥</m:t>
                </m:r>
                <m:r>
                  <m:t>​</m:t>
                </m:r>
                <m:r>
                  <m:t>​</m:t>
                </m:r>
                <m:r>
                  <m:t>​</m:t>
                </m:r>
                <m:r>
                  <m:rPr>
                    <m:sty m:val="p"/>
                  </m:rPr>
                  <m:t>⊥</m:t>
                </m:r>
                <m:sSub>
                  <m:e>
                    <m:r>
                      <m:t>e</m:t>
                    </m:r>
                  </m:e>
                  <m:sub>
                    <m:r>
                      <m:t>i</m:t>
                    </m:r>
                  </m:sub>
                </m:sSub>
              </m:e>
            </m:mr>
            <m:mr>
              <m:e/>
              <m:e>
                <m:r>
                  <m:t> </m:t>
                </m:r>
                <m:sSub>
                  <m:e>
                    <m:r>
                      <m:t>e</m:t>
                    </m:r>
                  </m:e>
                  <m:sub>
                    <m:r>
                      <m:t>k</m:t>
                    </m:r>
                  </m:sub>
                </m:sSub>
                <m:r>
                  <m:rPr>
                    <m:sty m:val="p"/>
                  </m:rPr>
                  <m:t>⊥</m:t>
                </m:r>
                <m:r>
                  <m:t>​</m:t>
                </m:r>
                <m:r>
                  <m:t>​</m:t>
                </m:r>
                <m:r>
                  <m:t>​</m:t>
                </m:r>
                <m:r>
                  <m:rPr>
                    <m:sty m:val="p"/>
                  </m:rPr>
                  <m:t>⊥</m:t>
                </m:r>
                <m:sSub>
                  <m:e>
                    <m:r>
                      <m:t>e</m:t>
                    </m:r>
                  </m:e>
                  <m:sub>
                    <m:sSub>
                      <m:e>
                        <m:r>
                          <m:t>r</m:t>
                        </m:r>
                      </m:e>
                      <m:sub>
                        <m:r>
                          <m:t>i</m:t>
                        </m:r>
                      </m:sub>
                    </m:sSub>
                  </m:sub>
                </m:sSub>
              </m:e>
            </m:mr>
            <m:mr>
              <m:e/>
              <m:e>
                <m:r>
                  <m:t> </m:t>
                </m:r>
                <m:sSub>
                  <m:e>
                    <m:r>
                      <m:t>e</m:t>
                    </m:r>
                  </m:e>
                  <m:sub>
                    <m:r>
                      <m:t>i</m:t>
                    </m:r>
                  </m:sub>
                </m:sSub>
                <m:r>
                  <m:rPr>
                    <m:sty m:val="p"/>
                  </m:rPr>
                  <m:t>⊥</m:t>
                </m:r>
                <m:r>
                  <m:t>​</m:t>
                </m:r>
                <m:r>
                  <m:t>​</m:t>
                </m:r>
                <m:r>
                  <m:t>​</m:t>
                </m:r>
                <m:r>
                  <m:rPr>
                    <m:sty m:val="p"/>
                  </m:rPr>
                  <m:t>⊥</m:t>
                </m:r>
                <m:sSub>
                  <m:e>
                    <m:r>
                      <m:t>e</m:t>
                    </m:r>
                  </m:e>
                  <m:sub>
                    <m:sSub>
                      <m:e>
                        <m:r>
                          <m:t>r</m:t>
                        </m:r>
                      </m:e>
                      <m:sub>
                        <m:r>
                          <m:t>i</m:t>
                        </m:r>
                      </m:sub>
                    </m:sSub>
                  </m:sub>
                </m:sSub>
              </m:e>
            </m:mr>
          </m:m>
          <m:r>
            <m:t>  </m:t>
          </m:r>
          <m:d>
            <m:dPr>
              <m:begChr m:val="("/>
              <m:endChr m:val=")"/>
              <m:sepChr m:val=""/>
              <m:grow/>
            </m:dPr>
            <m:e>
              <m:r>
                <m:t>1</m:t>
              </m:r>
            </m:e>
          </m:d>
        </m:oMath>
      </m:oMathPara>
      <w:bookmarkEnd w:id="50"/>
    </w:p>
    <w:bookmarkEnd w:id="51"/>
    <w:bookmarkStart w:id="53" w:name="sec-theory-statistics"/>
    <w:p>
      <w:pPr>
        <w:pStyle w:val="Heading2"/>
      </w:pPr>
      <w:r>
        <w:t xml:space="preserve">From the scientific to statistical model</w:t>
      </w:r>
    </w:p>
    <w:p>
      <w:pPr>
        <w:pStyle w:val="FirstParagraph"/>
      </w:pPr>
      <w:bookmarkStart w:id="52" w:name="eq-StatModel_genera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r>
                  <m:rPr>
                    <m:sty m:val="p"/>
                  </m:rPr>
                  <m:t>∼</m:t>
                </m:r>
              </m:e>
              <m:e>
                <m:r>
                  <m:t> </m:t>
                </m:r>
                <m:r>
                  <m:rPr>
                    <m:nor/>
                    <m:sty m:val="p"/>
                  </m:rPr>
                  <m:t>Bernoulli</m:t>
                </m:r>
                <m:d>
                  <m:dPr>
                    <m:begChr m:val="["/>
                    <m:endChr m:val="]"/>
                    <m:sepChr m:val=""/>
                    <m:grow/>
                  </m:dPr>
                  <m:e>
                    <m:r>
                      <m:t> </m:t>
                    </m:r>
                    <m:r>
                      <m:t>l</m:t>
                    </m:r>
                    <m:r>
                      <m:t>o</m:t>
                    </m:r>
                    <m:r>
                      <m:t>g</m:t>
                    </m:r>
                    <m:r>
                      <m:t>i</m:t>
                    </m:r>
                    <m:sSup>
                      <m:e>
                        <m:r>
                          <m:t>t</m:t>
                        </m:r>
                      </m:e>
                      <m:sup>
                        <m:r>
                          <m:rPr>
                            <m:sty m:val="p"/>
                          </m:rPr>
                          <m:t>−</m:t>
                        </m:r>
                        <m:r>
                          <m:t>1</m:t>
                        </m:r>
                      </m:sup>
                    </m:sSup>
                    <m:d>
                      <m:dPr>
                        <m:begChr m:val="("/>
                        <m:endChr m:val=")"/>
                        <m:sepChr m:val=""/>
                        <m:grow/>
                      </m:dPr>
                      <m:e>
                        <m:sSub>
                          <m:e>
                            <m:r>
                              <m:t>δ</m:t>
                            </m:r>
                          </m:e>
                          <m:sub>
                            <m:r>
                              <m:t>k</m:t>
                            </m:r>
                            <m:r>
                              <m:t>i</m:t>
                            </m:r>
                            <m:r>
                              <m:t>j</m:t>
                            </m:r>
                            <m:sSub>
                              <m:e>
                                <m:r>
                                  <m:t>r</m:t>
                                </m:r>
                              </m:e>
                              <m:sub>
                                <m:r>
                                  <m:t>i</m:t>
                                </m:r>
                                <m:r>
                                  <m:t>j</m:t>
                                </m:r>
                              </m:sub>
                            </m:sSub>
                          </m:sub>
                        </m:sSub>
                      </m:e>
                    </m:d>
                    <m:r>
                      <m:t> </m:t>
                    </m:r>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r>
                  <m:t>l</m:t>
                </m:r>
                <m:r>
                  <m:t>o</m:t>
                </m:r>
                <m:r>
                  <m:t>g</m:t>
                </m:r>
                <m:r>
                  <m:t>i</m:t>
                </m:r>
                <m:sSup>
                  <m:e>
                    <m:r>
                      <m:t>t</m:t>
                    </m:r>
                  </m:e>
                  <m:sup>
                    <m:r>
                      <m:rPr>
                        <m:sty m:val="p"/>
                      </m:rPr>
                      <m:t>−</m:t>
                    </m:r>
                    <m:r>
                      <m:t>1</m:t>
                    </m:r>
                  </m:sup>
                </m:sSup>
                <m:d>
                  <m:dPr>
                    <m:begChr m:val="["/>
                    <m:endChr m:val="]"/>
                    <m:sepChr m:val=""/>
                    <m:grow/>
                  </m:dPr>
                  <m:e>
                    <m:sSub>
                      <m:e>
                        <m:r>
                          <m:t>β</m:t>
                        </m:r>
                      </m:e>
                      <m:sub>
                        <m:r>
                          <m:t>Z</m:t>
                        </m:r>
                      </m:sub>
                    </m:sSub>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2</m:t>
              </m:r>
            </m:e>
          </m:d>
        </m:oMath>
      </m:oMathPara>
      <w:bookmarkEnd w:id="52"/>
    </w:p>
    <w:p>
      <w:pPr>
        <w:pStyle w:val="FirstParagraph"/>
      </w:pPr>
      <w:r>
        <w:t xml:space="preserve">for identification purposes we can set</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k</m:t>
                </m:r>
                <m:d>
                  <m:dPr>
                    <m:begChr m:val="("/>
                    <m:endChr m:val=")"/>
                    <m:sepChr m:val=""/>
                    <m:grow/>
                  </m:dPr>
                  <m:e>
                    <m:r>
                      <m:t>g</m:t>
                    </m:r>
                  </m:e>
                </m:d>
              </m:sub>
            </m:sSub>
          </m:e>
        </m:nary>
        <m:r>
          <m:rPr>
            <m:sty m:val="p"/>
          </m:rPr>
          <m:t>=</m:t>
        </m:r>
        <m:r>
          <m:t>0.02</m:t>
        </m:r>
      </m:oMath>
      <w:r>
        <w:t xml:space="preserve">,</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i</m:t>
                </m:r>
                <m:d>
                  <m:dPr>
                    <m:begChr m:val="("/>
                    <m:endChr m:val=")"/>
                    <m:sepChr m:val=""/>
                    <m:grow/>
                  </m:dPr>
                  <m:e>
                    <m:r>
                      <m:t>g</m:t>
                    </m:r>
                  </m:e>
                </m:d>
              </m:sub>
            </m:sSub>
          </m:e>
        </m:nary>
        <m:r>
          <m:rPr>
            <m:sty m:val="p"/>
          </m:rPr>
          <m:t>=</m:t>
        </m:r>
        <m:r>
          <m:t>1</m:t>
        </m:r>
      </m:oMath>
      <w:r>
        <w:t xml:space="preserve">, and</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r</m:t>
                </m:r>
                <m:d>
                  <m:dPr>
                    <m:begChr m:val="("/>
                    <m:endChr m:val=")"/>
                    <m:sepChr m:val=""/>
                    <m:grow/>
                  </m:dPr>
                  <m:e>
                    <m:r>
                      <m:t>g</m:t>
                    </m:r>
                  </m:e>
                </m:d>
              </m:sub>
            </m:sSub>
          </m:e>
        </m:nary>
        <m:r>
          <m:rPr>
            <m:sty m:val="p"/>
          </m:rPr>
          <m:t>=</m:t>
        </m:r>
        <m:r>
          <m:t>1</m:t>
        </m:r>
      </m:oMath>
      <w:r>
        <w:t xml:space="preserve">. A special case of this would be to assume that the data comes from the same population, in that case,</w:t>
      </w:r>
      <w:r>
        <w:t xml:space="preserve"> </w:t>
      </w:r>
      <m:oMath>
        <m:sSub>
          <m:e>
            <m:r>
              <m:t>σ</m:t>
            </m:r>
          </m:e>
          <m:sub>
            <m:r>
              <m:t>k</m:t>
            </m:r>
            <m:d>
              <m:dPr>
                <m:begChr m:val="("/>
                <m:endChr m:val=")"/>
                <m:sepChr m:val=""/>
                <m:grow/>
              </m:dPr>
              <m:e>
                <m:r>
                  <m:t>g</m:t>
                </m:r>
              </m:e>
            </m:d>
          </m:sub>
        </m:sSub>
        <m:r>
          <m:rPr>
            <m:sty m:val="p"/>
          </m:rPr>
          <m:t>=</m:t>
        </m:r>
        <m:sSub>
          <m:e>
            <m:r>
              <m:t>σ</m:t>
            </m:r>
          </m:e>
          <m:sub>
            <m:r>
              <m:t>k</m:t>
            </m:r>
          </m:sub>
        </m:sSub>
        <m:r>
          <m:rPr>
            <m:sty m:val="p"/>
          </m:rPr>
          <m:t>=</m:t>
        </m:r>
        <m:r>
          <m:t>0.02</m:t>
        </m:r>
      </m:oMath>
      <w:r>
        <w:t xml:space="preserve">,</w:t>
      </w:r>
      <w:r>
        <w:t xml:space="preserve"> </w:t>
      </w:r>
      <m:oMath>
        <m:sSub>
          <m:e>
            <m:r>
              <m:t>σ</m:t>
            </m:r>
          </m:e>
          <m:sub>
            <m:r>
              <m:t>i</m:t>
            </m:r>
            <m:d>
              <m:dPr>
                <m:begChr m:val="("/>
                <m:endChr m:val=")"/>
                <m:sepChr m:val=""/>
                <m:grow/>
              </m:dPr>
              <m:e>
                <m:r>
                  <m:t>g</m:t>
                </m:r>
              </m:e>
            </m:d>
          </m:sub>
        </m:sSub>
        <m:r>
          <m:rPr>
            <m:sty m:val="p"/>
          </m:rPr>
          <m:t>=</m:t>
        </m:r>
        <m:sSub>
          <m:e>
            <m:r>
              <m:t>σ</m:t>
            </m:r>
          </m:e>
          <m:sub>
            <m:r>
              <m:t>i</m:t>
            </m:r>
          </m:sub>
        </m:sSub>
        <m:r>
          <m:rPr>
            <m:sty m:val="p"/>
          </m:rPr>
          <m:t>=</m:t>
        </m:r>
        <m:r>
          <m:t>1</m:t>
        </m:r>
      </m:oMath>
    </w:p>
    <w:bookmarkEnd w:id="53"/>
    <w:bookmarkStart w:id="55" w:name="sec-theory-thurstone"/>
    <w:p>
      <w:pPr>
        <w:pStyle w:val="Heading2"/>
      </w:pPr>
      <w:r>
        <w:t xml:space="preserve">Let’s talk about Thurstone</w:t>
      </w:r>
    </w:p>
    <w:p>
      <w:pPr>
        <w:pStyle w:val="FirstParagraph"/>
      </w:pPr>
      <w:r>
        <w:t xml:space="preserve">Thurstone’s comparative judgment</w:t>
      </w:r>
      <w:r>
        <w:t xml:space="preserve"> </w:t>
      </w:r>
      <w:r>
        <w:t xml:space="preserve">Thurstone (1927)</w:t>
      </w:r>
      <w:r>
        <w:t xml:space="preserve"> </w:t>
      </w:r>
      <w:r>
        <w:t xml:space="preserve">is based on the formula:</w:t>
      </w:r>
    </w:p>
    <w:p>
      <w:pPr>
        <w:pStyle w:val="BodyText"/>
      </w:pPr>
      <m:oMathPara>
        <m:oMathParaPr>
          <m:jc m:val="center"/>
        </m:oMathParaPr>
        <m:oMath>
          <m:sSub>
            <m:e>
              <m:r>
                <m:t>X</m:t>
              </m:r>
            </m:e>
            <m:sub>
              <m:r>
                <m:t>A</m:t>
              </m:r>
              <m:r>
                <m:t>B</m:t>
              </m:r>
            </m:sub>
          </m:sSub>
          <m:r>
            <m:rPr>
              <m:sty m:val="p"/>
            </m:rPr>
            <m:t>=</m:t>
          </m:r>
          <m:f>
            <m:fPr>
              <m:type m:val="bar"/>
            </m:fPr>
            <m:num>
              <m:sSub>
                <m:e>
                  <m:r>
                    <m:t>S</m:t>
                  </m:r>
                </m:e>
                <m:sub>
                  <m:r>
                    <m:t>A</m:t>
                  </m:r>
                </m:sub>
              </m:sSub>
              <m:r>
                <m:rPr>
                  <m:sty m:val="p"/>
                </m:rPr>
                <m:t>−</m:t>
              </m:r>
              <m:sSub>
                <m:e>
                  <m:r>
                    <m:t>S</m:t>
                  </m:r>
                </m:e>
                <m:sub>
                  <m:r>
                    <m:t>B</m:t>
                  </m:r>
                </m:sub>
              </m:sSub>
            </m:num>
            <m:den>
              <m:sSub>
                <m:e>
                  <m:r>
                    <m:t>σ</m:t>
                  </m:r>
                </m:e>
                <m:sub>
                  <m:r>
                    <m:t>A</m:t>
                  </m:r>
                  <m:r>
                    <m:t>B</m:t>
                  </m:r>
                </m:sub>
              </m:sSub>
            </m:den>
          </m:f>
        </m:oMath>
      </m:oMathPara>
    </w:p>
    <w:p>
      <w:pPr>
        <w:pStyle w:val="FirstParagraph"/>
      </w:pPr>
      <w:r>
        <w:t xml:space="preserve">where</w:t>
      </w:r>
      <w:r>
        <w:t xml:space="preserve"> </w:t>
      </w:r>
      <m:oMath>
        <m:sSub>
          <m:e>
            <m:r>
              <m:t>X</m:t>
            </m:r>
          </m:e>
          <m:sub>
            <m:r>
              <m:t>A</m:t>
            </m:r>
            <m:r>
              <m:t>B</m:t>
            </m:r>
          </m:sub>
        </m:sSub>
      </m:oMath>
      <w:r>
        <w:t xml:space="preserve"> </w:t>
      </w:r>
      <w:r>
        <w:t xml:space="preserve">defines the comparative judgment outcome,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are the modal discriminal processes,</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r>
              <m:rPr>
                <m:sty m:val="p"/>
              </m:rPr>
              <m:t>+</m:t>
            </m:r>
            <m:r>
              <m:t>2</m:t>
            </m:r>
            <m:r>
              <m:t>ρ</m:t>
            </m:r>
            <m:sSub>
              <m:e>
                <m:r>
                  <m:t>σ</m:t>
                </m:r>
              </m:e>
              <m:sub>
                <m:r>
                  <m:t>A</m:t>
                </m:r>
              </m:sub>
            </m:sSub>
            <m:sSub>
              <m:e>
                <m:r>
                  <m:t>σ</m:t>
                </m:r>
              </m:e>
              <m:sub>
                <m:r>
                  <m:t>B</m:t>
                </m:r>
              </m:sub>
            </m:sSub>
          </m:e>
        </m:rad>
      </m:oMath>
      <w:r>
        <w:t xml:space="preserve">, with</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being the dispersion of discriminal processes</w:t>
      </w:r>
      <w:r>
        <w:t xml:space="preserve"> </w:t>
      </w:r>
      <m:oMath>
        <m:r>
          <m:t>A</m:t>
        </m:r>
      </m:oMath>
      <w:r>
        <w:t xml:space="preserve"> </w:t>
      </w:r>
      <w:r>
        <w:t xml:space="preserve">and</w:t>
      </w:r>
      <w:r>
        <w:t xml:space="preserve"> </w:t>
      </w:r>
      <m:oMath>
        <m:r>
          <m:t>B</m:t>
        </m:r>
      </m:oMath>
      <w:r>
        <w:t xml:space="preserve">, respectively, and</w:t>
      </w:r>
      <w:r>
        <w:t xml:space="preserve"> </w:t>
      </w:r>
      <m:oMath>
        <m:r>
          <m:t>ρ</m:t>
        </m:r>
      </m:oMath>
      <w:r>
        <w:t xml:space="preserve"> </w:t>
      </w:r>
      <w:r>
        <w:t xml:space="preserve">the correlation between discriminal processes.</w:t>
      </w:r>
    </w:p>
    <w:p>
      <w:pPr>
        <w:pStyle w:val="BodyText"/>
      </w:pPr>
      <w:r>
        <w:t xml:space="preserve">The theory identifies five cases:</w:t>
      </w:r>
    </w:p>
    <w:p>
      <w:pPr>
        <w:pStyle w:val="Compact"/>
        <w:numPr>
          <w:ilvl w:val="0"/>
          <w:numId w:val="1001"/>
        </w:numPr>
      </w:pPr>
      <w:r>
        <w:rPr>
          <w:b/>
          <w:bCs/>
        </w:rPr>
        <w:t xml:space="preserve">Case 1:</w:t>
      </w:r>
      <w:r>
        <w:t xml:space="preserve"> </w:t>
      </w:r>
      <w:r>
        <w:t xml:space="preserve">only constant</w:t>
      </w:r>
      <w:r>
        <w:t xml:space="preserve"> </w:t>
      </w:r>
      <m:oMath>
        <m:r>
          <m:t>ρ</m:t>
        </m:r>
      </m:oMath>
      <w:r>
        <w:t xml:space="preserve"> </w:t>
      </w:r>
      <w:r>
        <w:t xml:space="preserve">(not</w:t>
      </w:r>
      <w:r>
        <w:t xml:space="preserve"> </w:t>
      </w:r>
      <m:oMath>
        <m:sSub>
          <m:e>
            <m:r>
              <m:t>ρ</m:t>
            </m:r>
          </m:e>
          <m:sub>
            <m:r>
              <m:t>i</m:t>
            </m:r>
            <m:r>
              <m:t>j</m:t>
            </m:r>
          </m:sub>
        </m:sSub>
      </m:oMath>
      <w:r>
        <w:t xml:space="preserve">)</w:t>
      </w:r>
    </w:p>
    <w:p>
      <w:pPr>
        <w:pStyle w:val="Compact"/>
        <w:numPr>
          <w:ilvl w:val="0"/>
          <w:numId w:val="1001"/>
        </w:numPr>
      </w:pPr>
      <w:r>
        <w:rPr>
          <w:b/>
          <w:bCs/>
        </w:rPr>
        <w:t xml:space="preserve">Case 2:</w:t>
      </w:r>
      <w:r>
        <w:t xml:space="preserve"> </w:t>
      </w:r>
      <m:oMath>
        <m:sSub>
          <m:e>
            <m:r>
              <m:t>X</m:t>
            </m:r>
          </m:e>
          <m:sub>
            <m:r>
              <m:t>i</m:t>
            </m:r>
            <m:r>
              <m:t>j</m:t>
            </m:r>
          </m:sub>
        </m:sSub>
      </m:oMath>
      <w:r>
        <w:t xml:space="preserve"> </w:t>
      </w:r>
      <w:r>
        <w:t xml:space="preserve">becomes</w:t>
      </w:r>
      <w:r>
        <w:t xml:space="preserve"> </w:t>
      </w:r>
      <m:oMath>
        <m:sSub>
          <m:e>
            <m:r>
              <m:t>X</m:t>
            </m:r>
          </m:e>
          <m:sub>
            <m:r>
              <m:t>k</m:t>
            </m:r>
            <m:r>
              <m:t>i</m:t>
            </m:r>
            <m:r>
              <m:t>j</m:t>
            </m:r>
          </m:sub>
        </m:sSub>
      </m:oMath>
      <w:r>
        <w:t xml:space="preserve"> </w:t>
      </w:r>
      <w:r>
        <w:t xml:space="preserve">with</w:t>
      </w:r>
      <w:r>
        <w:t xml:space="preserve"> </w:t>
      </w:r>
      <m:oMath>
        <m:r>
          <m:t>k</m:t>
        </m:r>
        <m:r>
          <m:rPr>
            <m:sty m:val="p"/>
          </m:rPr>
          <m:t>=</m:t>
        </m:r>
        <m:r>
          <m:t>1</m:t>
        </m:r>
        <m:r>
          <m:rPr>
            <m:sty m:val="p"/>
          </m:rPr>
          <m:t>,</m:t>
        </m:r>
        <m:r>
          <m:rPr>
            <m:sty m:val="p"/>
          </m:rPr>
          <m:t>…</m:t>
        </m:r>
        <m:r>
          <m:rPr>
            <m:sty m:val="p"/>
          </m:rPr>
          <m:t>,</m:t>
        </m:r>
        <m:r>
          <m:t>K</m:t>
        </m:r>
      </m:oMath>
      <w:r>
        <w:t xml:space="preserve"> </w:t>
      </w:r>
      <w:r>
        <w:t xml:space="preserve">judges (replication, not duplication)</w:t>
      </w:r>
    </w:p>
    <w:p>
      <w:pPr>
        <w:pStyle w:val="Compact"/>
        <w:numPr>
          <w:ilvl w:val="0"/>
          <w:numId w:val="1001"/>
        </w:numPr>
      </w:pPr>
      <w:r>
        <w:rPr>
          <w:b/>
          <w:bCs/>
        </w:rPr>
        <w:t xml:space="preserve">Case 3:</w:t>
      </w:r>
      <w:r>
        <w:t xml:space="preserve"> </w:t>
      </w:r>
      <m:oMath>
        <m:r>
          <m:t>ρ</m:t>
        </m:r>
        <m:r>
          <m:rPr>
            <m:sty m:val="p"/>
          </m:rPr>
          <m:t>=</m:t>
        </m:r>
        <m:r>
          <m:t>0</m:t>
        </m:r>
      </m:oMath>
      <w:r>
        <w:t xml:space="preserve">,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1"/>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1"/>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Now using the DAG and statistical notation</w:t>
      </w:r>
    </w:p>
    <w:p>
      <w:pPr>
        <w:pStyle w:val="BodyText"/>
      </w:pPr>
      <w:bookmarkStart w:id="54" w:name="eq-StatModel_thurstone"/>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3</m:t>
              </m:r>
            </m:e>
          </m:d>
        </m:oMath>
      </m:oMathPara>
      <w:bookmarkEnd w:id="54"/>
    </w:p>
    <w:p>
      <w:pPr>
        <w:pStyle w:val="FirstParagraph"/>
      </w:pPr>
      <w:r>
        <w:t xml:space="preserve">The theory identifies five cases:</w:t>
      </w:r>
    </w:p>
    <w:p>
      <w:pPr>
        <w:pStyle w:val="Compact"/>
        <w:numPr>
          <w:ilvl w:val="0"/>
          <w:numId w:val="1002"/>
        </w:numPr>
      </w:pPr>
      <w:r>
        <w:rPr>
          <w:b/>
          <w:bCs/>
        </w:rPr>
        <w:t xml:space="preserve">Case 1:</w:t>
      </w:r>
      <w:r>
        <w:t xml:space="preserve"> </w:t>
      </w:r>
      <w:r>
        <w:t xml:space="preserve">only constant</w:t>
      </w:r>
      <w:r>
        <w:t xml:space="preserve"> </w:t>
      </w:r>
      <m:oMath>
        <m:r>
          <m:t>ρ</m:t>
        </m:r>
        <m:r>
          <m:rPr>
            <m:sty m:val="p"/>
          </m:rPr>
          <m:t>≈</m:t>
        </m:r>
        <m:sSub>
          <m:e>
            <m:r>
              <m:t>σ</m:t>
            </m:r>
          </m:e>
          <m:sub>
            <m:r>
              <m:t>i</m:t>
            </m:r>
          </m:sub>
        </m:sSub>
      </m:oMath>
    </w:p>
    <w:p>
      <w:pPr>
        <w:pStyle w:val="Compact"/>
        <w:numPr>
          <w:ilvl w:val="0"/>
          <w:numId w:val="1002"/>
        </w:numPr>
      </w:pPr>
      <w:r>
        <w:rPr>
          <w:b/>
          <w:bCs/>
        </w:rPr>
        <w:t xml:space="preserve">Case 2:</w:t>
      </w:r>
      <w:r>
        <w:t xml:space="preserve"> </w:t>
      </w:r>
      <w:r>
        <w:t xml:space="preserve">now judges are separated by using</w:t>
      </w:r>
      <w:r>
        <w:t xml:space="preserve"> </w:t>
      </w:r>
      <m:oMath>
        <m:sSub>
          <m:e>
            <m:r>
              <m:t>γ</m:t>
            </m:r>
          </m:e>
          <m:sub>
            <m:r>
              <m:t>k</m:t>
            </m:r>
          </m:sub>
        </m:sSub>
      </m:oMath>
    </w:p>
    <w:p>
      <w:pPr>
        <w:pStyle w:val="Compact"/>
        <w:numPr>
          <w:ilvl w:val="0"/>
          <w:numId w:val="1002"/>
        </w:numPr>
      </w:pPr>
      <w:r>
        <w:rPr>
          <w:b/>
          <w:bCs/>
        </w:rPr>
        <w:t xml:space="preserve">Case 3:</w:t>
      </w:r>
      <w:r>
        <w:t xml:space="preserve"> </w:t>
      </w:r>
      <m:oMath>
        <m:r>
          <m:t>ρ</m:t>
        </m:r>
        <m:r>
          <m:rPr>
            <m:sty m:val="p"/>
          </m:rPr>
          <m:t>≈</m:t>
        </m:r>
        <m:sSub>
          <m:e>
            <m:r>
              <m:t>σ</m:t>
            </m:r>
          </m:e>
          <m:sub>
            <m:sSub>
              <m:e>
                <m:r>
                  <m:t>e</m:t>
                </m:r>
              </m:e>
              <m:sub>
                <m:r>
                  <m:t>i</m:t>
                </m:r>
              </m:sub>
            </m:sSub>
          </m:sub>
        </m:sSub>
        <m:r>
          <m:rPr>
            <m:sty m:val="p"/>
          </m:rPr>
          <m:t>=</m:t>
        </m:r>
        <m:r>
          <m:t>0</m:t>
        </m:r>
      </m:oMath>
      <w:r>
        <w:t xml:space="preserve"> </w:t>
      </w:r>
      <w:r>
        <w:t xml:space="preserve">(no nesting of texts on students),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2"/>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2"/>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But now can we see other scenarios than just those 5 cases?</w:t>
      </w:r>
    </w:p>
    <w:p>
      <w:pPr>
        <w:pStyle w:val="Compact"/>
        <w:numPr>
          <w:ilvl w:val="0"/>
          <w:numId w:val="1003"/>
        </w:numPr>
      </w:pPr>
      <w:r>
        <w:t xml:space="preserve">consider different</w:t>
      </w:r>
      <w:r>
        <w:t xml:space="preserve"> </w:t>
      </w:r>
      <m:oMath>
        <m:r>
          <m:t>ρ</m:t>
        </m:r>
        <m:r>
          <m:rPr>
            <m:sty m:val="p"/>
          </m:rPr>
          <m:t>≈</m:t>
        </m:r>
        <m:nary>
          <m:naryPr>
            <m:chr m:val="∑"/>
            <m:limLoc m:val="undOvr"/>
            <m:subHide m:val="off"/>
            <m:supHide m:val="off"/>
          </m:naryPr>
          <m:sub>
            <m:r>
              <m:t>p</m:t>
            </m:r>
            <m:r>
              <m:rPr>
                <m:sty m:val="p"/>
              </m:rPr>
              <m:t>=</m:t>
            </m:r>
            <m:r>
              <m:t>1</m:t>
            </m:r>
          </m:sub>
          <m:sup>
            <m:r>
              <m:t>P</m:t>
            </m:r>
          </m:sup>
          <m:e>
            <m:sSub>
              <m:e>
                <m:r>
                  <m:t>σ</m:t>
                </m:r>
              </m:e>
              <m:sub>
                <m:r>
                  <m:t>p</m:t>
                </m:r>
              </m:sub>
            </m:sSub>
          </m:e>
        </m:nary>
      </m:oMath>
      <w:r>
        <w:t xml:space="preserve">, depending on</w:t>
      </w:r>
      <w:r>
        <w:t xml:space="preserve"> </w:t>
      </w:r>
      <m:oMath>
        <m:r>
          <m:t>P</m:t>
        </m:r>
      </m:oMath>
      <w:r>
        <w:t xml:space="preserve"> </w:t>
      </w:r>
      <w:r>
        <w:t xml:space="preserve">nesting structures</w:t>
      </w:r>
    </w:p>
    <w:p>
      <w:pPr>
        <w:pStyle w:val="Compact"/>
        <w:numPr>
          <w:ilvl w:val="0"/>
          <w:numId w:val="1003"/>
        </w:numPr>
      </w:pPr>
      <w:r>
        <w:t xml:space="preserve">we can now investigate</w:t>
      </w:r>
      <w:r>
        <w:t xml:space="preserve"> </w:t>
      </w:r>
      <m:oMath>
        <m:sSub>
          <m:e>
            <m:r>
              <m:t>γ</m:t>
            </m:r>
          </m:e>
          <m:sub>
            <m:r>
              <m:t>k</m:t>
            </m:r>
          </m:sub>
        </m:sSub>
      </m:oMath>
    </w:p>
    <w:p>
      <w:pPr>
        <w:pStyle w:val="Compact"/>
        <w:numPr>
          <w:ilvl w:val="0"/>
          <w:numId w:val="1003"/>
        </w:numPr>
      </w:pPr>
      <w:r>
        <w:t xml:space="preserve">we can assume</w:t>
      </w:r>
      <w:r>
        <w:t xml:space="preserve"> </w:t>
      </w:r>
      <m:oMath>
        <m:sSub>
          <m:e>
            <m:r>
              <m:t>σ</m:t>
            </m:r>
          </m:e>
          <m:sub>
            <m:r>
              <m:t>B</m:t>
            </m:r>
          </m:sub>
        </m:sSub>
        <m:r>
          <m:rPr>
            <m:sty m:val="p"/>
          </m:rPr>
          <m:t>≠</m:t>
        </m:r>
        <m:sSub>
          <m:e>
            <m:r>
              <m:t>σ</m:t>
            </m:r>
          </m:e>
          <m:sub>
            <m:r>
              <m:t>A</m:t>
            </m:r>
          </m:sub>
        </m:sSub>
      </m:oMath>
      <w:r>
        <w:t xml:space="preserve">, no need for results on the limit</w:t>
      </w:r>
    </w:p>
    <w:bookmarkEnd w:id="55"/>
    <w:bookmarkEnd w:id="56"/>
    <w:bookmarkStart w:id="59" w:name="sec-discuss"/>
    <w:p>
      <w:pPr>
        <w:pStyle w:val="Heading1"/>
      </w:pPr>
      <w:r>
        <w:t xml:space="preserve">Discussion</w:t>
      </w:r>
    </w:p>
    <w:bookmarkStart w:id="57" w:name="sec-discuss-finding"/>
    <w:p>
      <w:pPr>
        <w:pStyle w:val="Heading2"/>
      </w:pPr>
      <w:r>
        <w:t xml:space="preserve">Findings</w:t>
      </w:r>
    </w:p>
    <w:bookmarkEnd w:id="57"/>
    <w:bookmarkStart w:id="58" w:name="sec-discuss-limitations"/>
    <w:p>
      <w:pPr>
        <w:pStyle w:val="Heading2"/>
      </w:pPr>
      <w:r>
        <w:t xml:space="preserve">Limitations and further research</w:t>
      </w:r>
    </w:p>
    <w:bookmarkEnd w:id="58"/>
    <w:bookmarkEnd w:id="59"/>
    <w:bookmarkStart w:id="60" w:name="sec-conclusion"/>
    <w:p>
      <w:pPr>
        <w:pStyle w:val="Heading1"/>
      </w:pPr>
      <w:r>
        <w:t xml:space="preserve">Conclusion</w:t>
      </w:r>
    </w:p>
    <w:p>
      <w:r>
        <w:br w:type="page"/>
      </w:r>
    </w:p>
    <w:bookmarkEnd w:id="60"/>
    <w:bookmarkStart w:id="62"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1">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2"/>
    <w:bookmarkStart w:id="115" w:name="sec-appendix"/>
    <w:p>
      <w:pPr>
        <w:pStyle w:val="Heading1"/>
      </w:pPr>
      <w:r>
        <w:t xml:space="preserve">Appendix</w:t>
      </w:r>
    </w:p>
    <w:bookmarkStart w:id="63" w:name="sec-appA"/>
    <w:p>
      <w:pPr>
        <w:pStyle w:val="Heading2"/>
      </w:pPr>
      <w:r>
        <w:t xml:space="preserve">Why do we need to estimate judges’ abilities?</w:t>
      </w:r>
    </w:p>
    <w:p>
      <w:r>
        <w:br w:type="page"/>
      </w:r>
    </w:p>
    <w:bookmarkEnd w:id="63"/>
    <w:bookmarkStart w:id="114" w:name="references"/>
    <w:p>
      <w:pPr>
        <w:pStyle w:val="Heading2"/>
      </w:pPr>
      <w:r>
        <w:t xml:space="preserve">References</w:t>
      </w:r>
    </w:p>
    <w:bookmarkStart w:id="113" w:name="refs"/>
    <w:bookmarkStart w:id="65"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4">
        <w:r>
          <w:rPr>
            <w:rStyle w:val="Hyperlink"/>
          </w:rPr>
          <w:t xml:space="preserve">https://doi.org/10.2307/2347562</w:t>
        </w:r>
      </w:hyperlink>
      <w:r>
        <w:t xml:space="preserve">.</w:t>
      </w:r>
    </w:p>
    <w:bookmarkEnd w:id="65"/>
    <w:bookmarkStart w:id="6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6">
        <w:r>
          <w:rPr>
            <w:rStyle w:val="Hyperlink"/>
          </w:rPr>
          <w:t xml:space="preserve">https://doi.org/10.1080/10627197.2018.1444986</w:t>
        </w:r>
      </w:hyperlink>
      <w:r>
        <w:t xml:space="preserve">.</w:t>
      </w:r>
    </w:p>
    <w:bookmarkEnd w:id="67"/>
    <w:bookmarkStart w:id="6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8">
        <w:r>
          <w:rPr>
            <w:rStyle w:val="Hyperlink"/>
          </w:rPr>
          <w:t xml:space="preserve">https://doi.org/10.1007/978-3-030-52229-2_18</w:t>
        </w:r>
      </w:hyperlink>
      <w:r>
        <w:t xml:space="preserve">.</w:t>
      </w:r>
    </w:p>
    <w:bookmarkEnd w:id="69"/>
    <w:bookmarkStart w:id="7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0">
        <w:r>
          <w:rPr>
            <w:rStyle w:val="Hyperlink"/>
          </w:rPr>
          <w:t xml:space="preserve">https://doi.org/10.1016/j.jcomdis.2019.105969</w:t>
        </w:r>
      </w:hyperlink>
      <w:r>
        <w:t xml:space="preserve">.</w:t>
      </w:r>
    </w:p>
    <w:bookmarkEnd w:id="71"/>
    <w:bookmarkStart w:id="7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2">
        <w:r>
          <w:rPr>
            <w:rStyle w:val="Hyperlink"/>
          </w:rPr>
          <w:t xml:space="preserve">https://doi.org/10.2307/2334029</w:t>
        </w:r>
      </w:hyperlink>
      <w:r>
        <w:t xml:space="preserve">.</w:t>
      </w:r>
    </w:p>
    <w:bookmarkEnd w:id="73"/>
    <w:bookmarkStart w:id="75" w:name="ref-Bramley_2015"/>
    <w:p>
      <w:pPr>
        <w:pStyle w:val="Bibliography"/>
      </w:pPr>
      <w:r>
        <w:t xml:space="preserve">Bramley, T. 2015.</w:t>
      </w:r>
      <w:r>
        <w:t xml:space="preserve"> </w:t>
      </w:r>
      <w:r>
        <w:t xml:space="preserve">“Investigating the Reliability of Adaptive Comparative Judgment.”</w:t>
      </w:r>
      <w:r>
        <w:t xml:space="preserve"> </w:t>
      </w:r>
      <w:hyperlink r:id="rId74">
        <w:r>
          <w:rPr>
            <w:rStyle w:val="Hyperlink"/>
          </w:rPr>
          <w:t xml:space="preserve">http://www.cambridgeassessment.org.uk/Images/232694-investigating-the-reliability-of-adaptive-comparative-judgment.pdf</w:t>
        </w:r>
      </w:hyperlink>
      <w:r>
        <w:t xml:space="preserve">.</w:t>
      </w:r>
    </w:p>
    <w:bookmarkEnd w:id="75"/>
    <w:bookmarkStart w:id="77"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6">
        <w:r>
          <w:rPr>
            <w:rStyle w:val="Hyperlink"/>
          </w:rPr>
          <w:t xml:space="preserve">https://doi.org/10.1080/0969594X.2017.1418734</w:t>
        </w:r>
      </w:hyperlink>
      <w:r>
        <w:t xml:space="preserve">.</w:t>
      </w:r>
    </w:p>
    <w:bookmarkEnd w:id="77"/>
    <w:bookmarkStart w:id="7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0">
        <w:r>
          <w:rPr>
            <w:rStyle w:val="Hyperlink"/>
          </w:rPr>
          <w:t xml:space="preserve">https://doi.org/10.3389/feduc.2020.582800</w:t>
        </w:r>
      </w:hyperlink>
      <w:r>
        <w:t xml:space="preserve">.</w:t>
      </w:r>
    </w:p>
    <w:bookmarkEnd w:id="81"/>
    <w:bookmarkStart w:id="83"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2">
        <w:r>
          <w:rPr>
            <w:rStyle w:val="Hyperlink"/>
          </w:rPr>
          <w:t xml:space="preserve">https://doi.org/10.1201/9780429425134</w:t>
        </w:r>
        <w:r>
          <w:rPr>
            <w:rStyle w:val="Hyperlink"/>
          </w:rPr>
          <w:t xml:space="preserve"> </w:t>
        </w:r>
      </w:hyperlink>
      <w:r>
        <w:t xml:space="preserve">.</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6"/>
    <w:bookmarkStart w:id="88"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87">
        <w:r>
          <w:rPr>
            <w:rStyle w:val="Hyperlink"/>
          </w:rPr>
          <w:t xml:space="preserve">https://doi.org/10.1037/h0043178</w:t>
        </w:r>
      </w:hyperlink>
      <w:r>
        <w:t xml:space="preserve">.</w:t>
      </w:r>
    </w:p>
    <w:bookmarkEnd w:id="88"/>
    <w:bookmarkStart w:id="90"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89">
        <w:r>
          <w:rPr>
            <w:rStyle w:val="Hyperlink"/>
          </w:rPr>
          <w:t xml:space="preserve">https://doi.org/10.1007/s40841-020-00163-3</w:t>
        </w:r>
      </w:hyperlink>
      <w:r>
        <w:t xml:space="preserve">.</w:t>
      </w:r>
    </w:p>
    <w:bookmarkEnd w:id="90"/>
    <w:bookmarkStart w:id="92" w:name="ref-Neal_2020"/>
    <w:p>
      <w:pPr>
        <w:pStyle w:val="Bibliography"/>
      </w:pPr>
      <w:r>
        <w:t xml:space="preserve">Neal, B. 2020.</w:t>
      </w:r>
      <w:r>
        <w:t xml:space="preserve"> </w:t>
      </w:r>
      <w:r>
        <w:t xml:space="preserve">“Introduction to Causal Inference from a Machine Learning Perspective.”</w:t>
      </w:r>
      <w:r>
        <w:t xml:space="preserve"> </w:t>
      </w:r>
      <w:hyperlink r:id="rId91">
        <w:r>
          <w:rPr>
            <w:rStyle w:val="Hyperlink"/>
          </w:rPr>
          <w:t xml:space="preserve">https://www.bradyneal.com/Introduction_to_Causal_Inference-Dec17_2020-Neal.pdf</w:t>
        </w:r>
      </w:hyperlink>
      <w:r>
        <w:t xml:space="preserve">.</w:t>
      </w:r>
    </w:p>
    <w:bookmarkEnd w:id="92"/>
    <w:bookmarkStart w:id="94" w:name="ref-Pearl_2009"/>
    <w:p>
      <w:pPr>
        <w:pStyle w:val="Bibliography"/>
      </w:pPr>
      <w:r>
        <w:t xml:space="preserve">Pearl, J. 2009.</w:t>
      </w:r>
      <w:r>
        <w:t xml:space="preserve"> </w:t>
      </w:r>
      <w:hyperlink r:id="rId93">
        <w:r>
          <w:rPr>
            <w:rStyle w:val="Hyperlink"/>
            <w:i/>
            <w:iCs/>
          </w:rPr>
          <w:t xml:space="preserve">Causality: Models, Reasoning and Inference</w:t>
        </w:r>
      </w:hyperlink>
      <w:r>
        <w:t xml:space="preserve">. Cambrige University Press.</w:t>
      </w:r>
    </w:p>
    <w:bookmarkEnd w:id="94"/>
    <w:bookmarkStart w:id="95" w:name="ref-Pearl_et_al_2016"/>
    <w:p>
      <w:pPr>
        <w:pStyle w:val="Bibliography"/>
      </w:pPr>
      <w:r>
        <w:t xml:space="preserve">Pearl, J., M. Glymour, and N. Jewell. 2016.</w:t>
      </w:r>
      <w:r>
        <w:t xml:space="preserve"> </w:t>
      </w:r>
      <w:hyperlink r:id="rId93">
        <w:r>
          <w:rPr>
            <w:rStyle w:val="Hyperlink"/>
            <w:i/>
            <w:iCs/>
          </w:rPr>
          <w:t xml:space="preserve">Causal Inference in Statistics: A Primer</w:t>
        </w:r>
      </w:hyperlink>
      <w:r>
        <w:t xml:space="preserve">. John Wiley &amp; Sons, Inc.</w:t>
      </w:r>
    </w:p>
    <w:bookmarkEnd w:id="95"/>
    <w:bookmarkStart w:id="97"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96">
        <w:r>
          <w:rPr>
            <w:rStyle w:val="Hyperlink"/>
          </w:rPr>
          <w:t xml:space="preserve">https://doi.org/10.2307/2346567</w:t>
        </w:r>
      </w:hyperlink>
      <w:r>
        <w:t xml:space="preserve">.</w:t>
      </w:r>
    </w:p>
    <w:bookmarkEnd w:id="97"/>
    <w:bookmarkStart w:id="9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98">
        <w:r>
          <w:rPr>
            <w:rStyle w:val="Hyperlink"/>
          </w:rPr>
          <w:t xml:space="preserve">https://doi.org/10.1007/s10798-011-9189-x</w:t>
        </w:r>
      </w:hyperlink>
      <w:r>
        <w:t xml:space="preserve">.</w:t>
      </w:r>
    </w:p>
    <w:bookmarkEnd w:id="99"/>
    <w:bookmarkStart w:id="10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0">
        <w:r>
          <w:rPr>
            <w:rStyle w:val="Hyperlink"/>
          </w:rPr>
          <w:t xml:space="preserve">https://doi.org/10.1080/0969594X.2012.665354</w:t>
        </w:r>
      </w:hyperlink>
      <w:r>
        <w:t xml:space="preserve">.</w:t>
      </w:r>
    </w:p>
    <w:bookmarkEnd w:id="101"/>
    <w:bookmarkStart w:id="10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2">
        <w:r>
          <w:rPr>
            <w:rStyle w:val="Hyperlink"/>
          </w:rPr>
          <w:t xml:space="preserve">https://doi.org/10.1037/h0070288</w:t>
        </w:r>
      </w:hyperlink>
      <w:r>
        <w:t xml:space="preserve">.</w:t>
      </w:r>
    </w:p>
    <w:bookmarkEnd w:id="103"/>
    <w:bookmarkStart w:id="10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04">
        <w:r>
          <w:rPr>
            <w:rStyle w:val="Hyperlink"/>
          </w:rPr>
          <w:t xml:space="preserve">https://doi.org/10.1016/0022-2496(86)90034-9</w:t>
        </w:r>
      </w:hyperlink>
      <w:r>
        <w:t xml:space="preserve">.</w:t>
      </w:r>
    </w:p>
    <w:bookmarkEnd w:id="105"/>
    <w:bookmarkStart w:id="10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06"/>
    <w:bookmarkStart w:id="10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7">
        <w:r>
          <w:rPr>
            <w:rStyle w:val="Hyperlink"/>
          </w:rPr>
          <w:t xml:space="preserve">https://doi.org/10.1080/0969594X.2016.1253542</w:t>
        </w:r>
      </w:hyperlink>
      <w:r>
        <w:t xml:space="preserve">.</w:t>
      </w:r>
    </w:p>
    <w:bookmarkEnd w:id="108"/>
    <w:bookmarkStart w:id="11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9">
        <w:r>
          <w:rPr>
            <w:rStyle w:val="Hyperlink"/>
          </w:rPr>
          <w:t xml:space="preserve">https://doi.org/10.3389/feduc.2017.00044</w:t>
        </w:r>
      </w:hyperlink>
      <w:r>
        <w:t xml:space="preserve">.</w:t>
      </w:r>
    </w:p>
    <w:bookmarkEnd w:id="110"/>
    <w:bookmarkStart w:id="11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1">
        <w:r>
          <w:rPr>
            <w:rStyle w:val="Hyperlink"/>
          </w:rPr>
          <w:t xml:space="preserve">https://doi.org/10.1080/0969594X.2019.1602027</w:t>
        </w:r>
      </w:hyperlink>
      <w:r>
        <w:t xml:space="preserve">.</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3" Target="" TargetMode="External" /><Relationship Type="http://schemas.openxmlformats.org/officeDocument/2006/relationships/hyperlink" Id="rId74" Target="http://www.cambridgeassessment.org.uk/Images/232694-investigating-the-reliability-of-adaptive-comparative-judgment.pdf" TargetMode="External" /><Relationship Type="http://schemas.openxmlformats.org/officeDocument/2006/relationships/hyperlink" Id="rId68"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98"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04" Target="https://doi.org/10.1016/0022-2496(86)90034-9" TargetMode="External" /><Relationship Type="http://schemas.openxmlformats.org/officeDocument/2006/relationships/hyperlink" Id="rId70" Target="https://doi.org/10.1016/j.jcomdis.2019.105969" TargetMode="External" /><Relationship Type="http://schemas.openxmlformats.org/officeDocument/2006/relationships/hyperlink" Id="rId87" Target="https://doi.org/10.1037/h0043178" TargetMode="External" /><Relationship Type="http://schemas.openxmlformats.org/officeDocument/2006/relationships/hyperlink" Id="rId102" Target="https://doi.org/10.1037/h0070288" TargetMode="External" /><Relationship Type="http://schemas.openxmlformats.org/officeDocument/2006/relationships/hyperlink" Id="rId100"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6" Target="https://doi.org/10.1080/0969594X.2017.1418734" TargetMode="External" /><Relationship Type="http://schemas.openxmlformats.org/officeDocument/2006/relationships/hyperlink" Id="rId111" Target="https://doi.org/10.1080/0969594X.2019.1602027" TargetMode="External" /><Relationship Type="http://schemas.openxmlformats.org/officeDocument/2006/relationships/hyperlink" Id="rId66"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72" Target="https://doi.org/10.2307/2334029" TargetMode="External" /><Relationship Type="http://schemas.openxmlformats.org/officeDocument/2006/relationships/hyperlink" Id="rId96" Target="https://doi.org/10.2307/2346567" TargetMode="External" /><Relationship Type="http://schemas.openxmlformats.org/officeDocument/2006/relationships/hyperlink" Id="rId64" Target="https://doi.org/10.2307/2347562" TargetMode="External" /><Relationship Type="http://schemas.openxmlformats.org/officeDocument/2006/relationships/hyperlink" Id="rId10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91" Target="https://www.bradyneal.com/Introduction_to_Causal_Inference-Dec17_2020-Neal.pdf" TargetMode="External" /></Relationships>
</file>

<file path=word/_rels/footnotes.xml.rels><?xml version="1.0" encoding="UTF-8"?><Relationships xmlns="http://schemas.openxmlformats.org/package/2006/relationships"><Relationship Type="http://schemas.openxmlformats.org/officeDocument/2006/relationships/hyperlink" Id="rId93" Target="" TargetMode="External" /><Relationship Type="http://schemas.openxmlformats.org/officeDocument/2006/relationships/hyperlink" Id="rId74" Target="http://www.cambridgeassessment.org.uk/Images/232694-investigating-the-reliability-of-adaptive-comparative-judgment.pdf" TargetMode="External" /><Relationship Type="http://schemas.openxmlformats.org/officeDocument/2006/relationships/hyperlink" Id="rId68"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98"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04" Target="https://doi.org/10.1016/0022-2496(86)90034-9" TargetMode="External" /><Relationship Type="http://schemas.openxmlformats.org/officeDocument/2006/relationships/hyperlink" Id="rId70" Target="https://doi.org/10.1016/j.jcomdis.2019.105969" TargetMode="External" /><Relationship Type="http://schemas.openxmlformats.org/officeDocument/2006/relationships/hyperlink" Id="rId87" Target="https://doi.org/10.1037/h0043178" TargetMode="External" /><Relationship Type="http://schemas.openxmlformats.org/officeDocument/2006/relationships/hyperlink" Id="rId102" Target="https://doi.org/10.1037/h0070288" TargetMode="External" /><Relationship Type="http://schemas.openxmlformats.org/officeDocument/2006/relationships/hyperlink" Id="rId100"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6" Target="https://doi.org/10.1080/0969594X.2017.1418734" TargetMode="External" /><Relationship Type="http://schemas.openxmlformats.org/officeDocument/2006/relationships/hyperlink" Id="rId111" Target="https://doi.org/10.1080/0969594X.2019.1602027" TargetMode="External" /><Relationship Type="http://schemas.openxmlformats.org/officeDocument/2006/relationships/hyperlink" Id="rId66"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72" Target="https://doi.org/10.2307/2334029" TargetMode="External" /><Relationship Type="http://schemas.openxmlformats.org/officeDocument/2006/relationships/hyperlink" Id="rId96" Target="https://doi.org/10.2307/2346567" TargetMode="External" /><Relationship Type="http://schemas.openxmlformats.org/officeDocument/2006/relationships/hyperlink" Id="rId64" Target="https://doi.org/10.2307/2347562" TargetMode="External" /><Relationship Type="http://schemas.openxmlformats.org/officeDocument/2006/relationships/hyperlink" Id="rId10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91" Target="https://www.bradyneal.com/Introduction_to_Causal_Inference-Dec17_2020-Ne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2024-07-19T13:02:50Z</dcterms:created>
  <dcterms:modified xsi:type="dcterms:W3CDTF">2024-07-19T13:02:50Z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Nevertheless, despite the method’s widespread use, the literature lacks a transparent depiction of the DCJ system and the plausible mechanisms that generate the DCJ data. Particularly, there is no detailed explanation of how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