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8.png" ContentType="image/png"/>
  <Override PartName="/word/media/rId34.png" ContentType="image/png"/>
  <Override PartName="/word/media/rId25.png" ContentType="image/png"/>
  <Override PartName="/word/media/rId21.png" ContentType="image/png"/>
  <Override PartName="/word/media/rId4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2024-12-07</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approach to trait measurement and hypothesis testing. The following sections begin with a brief overview of Thurstone’s theory and a detailed examination of these issues. Subsequently, the study introduces a theoretical model for CJ that builds upon Thurstone’s theory, alongside its statistical translation, designed to address the two concerns simultaneously.</w:t>
      </w:r>
    </w:p>
    <w:bookmarkEnd w:id="20"/>
    <w:bookmarkStart w:id="29" w:name="sec-thurstone_theory"/>
    <w:p>
      <w:pPr>
        <w:pStyle w:val="Heading1"/>
      </w:pPr>
      <w:r>
        <w:t xml:space="preserve">Thurstone’s theory</w:t>
      </w:r>
    </w:p>
    <w:p>
      <w:pPr>
        <w:pStyle w:val="FirstParagraph"/>
      </w:pPr>
      <w:r>
        <w:t xml:space="preserve">In its most general form, Thurstone’s theory addresses pairwise comparisons of stimuli made by a single judge</w:t>
      </w:r>
      <w:r>
        <w:t xml:space="preserve"> </w:t>
      </w:r>
      <w:r>
        <w:t xml:space="preserve">(Thurstone 1927a, 267)</w:t>
      </w:r>
      <w:r>
        <w:t xml:space="preserve">. The theory posits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perception of the stimulus trait. According to the theory, the discriminal process for each stimulus follows a Normal distribution, where its mode (mean), called the</w:t>
      </w:r>
      <w:r>
        <w:t xml:space="preserve"> </w:t>
      </w:r>
      <w:r>
        <w:rPr>
          <w:i/>
          <w:iCs/>
        </w:rPr>
        <w:t xml:space="preserve">modal discriminal process</w:t>
      </w:r>
      <w:r>
        <w:t xml:space="preserve">, indicates the stimulus position on the trait continuum, while its dispersion, known as the</w:t>
      </w:r>
      <w:r>
        <w:t xml:space="preserve"> </w:t>
      </w:r>
      <w:r>
        <w:rPr>
          <w:i/>
          <w:iCs/>
        </w:rPr>
        <w:t xml:space="preserve">discriminal dispersion</w:t>
      </w:r>
      <w:r>
        <w:t xml:space="preserve">, reflects variability in the perceived trait of the stimulus.</w:t>
      </w:r>
    </w:p>
    <w:p>
      <w:pPr>
        <w:pStyle w:val="BodyText"/>
      </w:pPr>
      <w:hyperlink w:anchor="fig-discriminal_process">
        <w:r>
          <w:rPr>
            <w:rStyle w:val="Hyperlink"/>
          </w:rPr>
          <w:t xml:space="preserve">Figure 1</w:t>
        </w:r>
      </w:hyperlink>
      <w:r>
        <w:t xml:space="preserve"> </w:t>
      </w:r>
      <w:r>
        <w:t xml:space="preserve">illustrates the discriminal processes along a quality trait continuum for two written texts. The figure shows that these processes individually follow a Normal distribution. Furthermore, it shows that the modal discriminal process for Text B is positioned further along the continuum than Text A</w:t>
      </w:r>
      <w:r>
        <w:t xml:space="preserve"> </w:t>
      </w:r>
      <m:oMath>
        <m:d>
          <m:dPr>
            <m:begChr m:val="("/>
            <m:endChr m:val=")"/>
            <m:sepChr m:val=""/>
            <m:grow/>
          </m:dPr>
          <m:e>
            <m:sSub>
              <m:e>
                <m:r>
                  <m:t>S</m:t>
                </m:r>
              </m:e>
              <m:sub>
                <m:r>
                  <m:t>B</m:t>
                </m:r>
              </m:sub>
            </m:sSub>
            <m:r>
              <m:rPr>
                <m:sty m:val="p"/>
              </m:rPr>
              <m:t>&gt;</m:t>
            </m:r>
            <m:sSub>
              <m:e>
                <m:r>
                  <m:t>S</m:t>
                </m:r>
              </m:e>
              <m:sub>
                <m:r>
                  <m:t>A</m:t>
                </m:r>
              </m:sub>
            </m:sSub>
          </m:e>
        </m:d>
      </m:oMath>
      <w:r>
        <w:t xml:space="preserve">. Additionally, the figure highlights the broader distribution of Text B compared to Text A as a result of its larger discriminal dispersion</w:t>
      </w:r>
      <w:r>
        <w:t xml:space="preserve"> </w:t>
      </w:r>
      <m:oMath>
        <m:d>
          <m:dPr>
            <m:begChr m:val="("/>
            <m:endChr m:val=")"/>
            <m:sepChr m:val=""/>
            <m:grow/>
          </m:dPr>
          <m:e>
            <m:sSub>
              <m:e>
                <m:r>
                  <m:t>σ</m:t>
                </m:r>
              </m:e>
              <m:sub>
                <m:r>
                  <m:t>B</m:t>
                </m:r>
              </m:sub>
            </m:sSub>
            <m:r>
              <m:rPr>
                <m:sty m:val="p"/>
              </m:rPr>
              <m:t>&gt;</m:t>
            </m:r>
            <m:sSub>
              <m:e>
                <m:r>
                  <m:t>σ</m:t>
                </m:r>
              </m:e>
              <m:sub>
                <m:r>
                  <m:t>A</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Discriminal processes for two written texts</w:t>
            </w:r>
          </w:p>
          <w:bookmarkEnd w:id="24"/>
        </w:tc>
      </w:tr>
    </w:tbl>
    <w:p>
      <w:pPr>
        <w:pStyle w:val="BodyText"/>
      </w:pPr>
      <w:r>
        <w:t xml:space="preserve">However, since the discriminal processes of the stimuli are not directly observable, the theory introduces the</w:t>
      </w:r>
      <w:r>
        <w:t xml:space="preserve"> </w:t>
      </w:r>
      <w:r>
        <w:rPr>
          <w:i/>
          <w:iCs/>
        </w:rPr>
        <w:t xml:space="preserve">law of comparative judgment</w:t>
      </w:r>
      <w:r>
        <w:t xml:space="preserve">. This law states that in pairwise comparisons, a judge perceives the stimulus positioned further along the trait continuum as having a higher level of that trait. This law emphasizes that the relative distance between stimuli, rather than their absolute positions on the continuum, determines the outcome of the pairwise comparison. Indeed, the theory assumes that the observed dichotomous outcome arises from the difference between the underlying discriminal processes of the stimuli, referred to as the</w:t>
      </w:r>
      <w:r>
        <w:t xml:space="preserve"> </w:t>
      </w:r>
      <w:r>
        <w:rPr>
          <w:i/>
          <w:iCs/>
        </w:rPr>
        <w:t xml:space="preserve">discriminal difference</w:t>
      </w:r>
      <w:r>
        <w:t xml:space="preserve">. Since the individual discriminal processes follow a Normal distribution, the discriminal difference also follows a Normal distribution</w:t>
      </w:r>
      <w:r>
        <w:t xml:space="preserve"> </w:t>
      </w:r>
      <w:r>
        <w:t xml:space="preserve">(Andrich 1978)</w:t>
      </w:r>
      <w:r>
        <w:t xml:space="preserve">. In this distribution, the mode (mean) represents the relative separation between the stimuli and the dispersion captures the variability of that relative separation.</w:t>
      </w:r>
    </w:p>
    <w:p>
      <w:pPr>
        <w:pStyle w:val="BodyText"/>
      </w:pPr>
      <w:hyperlink w:anchor="fig-discriminal_difference">
        <w:r>
          <w:rPr>
            <w:rStyle w:val="Hyperlink"/>
          </w:rPr>
          <w:t xml:space="preserve">Figure 2</w:t>
        </w:r>
      </w:hyperlink>
      <w:r>
        <w:t xml:space="preserve"> </w:t>
      </w:r>
      <w:r>
        <w:t xml:space="preserve">illustrates the distribution of the discriminal difference for the texts presented in</w:t>
      </w:r>
      <w:r>
        <w:t xml:space="preserve"> </w:t>
      </w:r>
      <w:hyperlink w:anchor="fig-discriminal_process">
        <w:r>
          <w:rPr>
            <w:rStyle w:val="Hyperlink"/>
          </w:rPr>
          <w:t xml:space="preserve">Figure 1</w:t>
        </w:r>
      </w:hyperlink>
      <w:r>
        <w:t xml:space="preserve">. The figure indicates that the judge perceives Text B as having significantly higher quality than Text A. This conclusion is evident from the positive difference in the modal discriminal processes of the texts</w:t>
      </w:r>
      <w:r>
        <w:t xml:space="preserve"> </w:t>
      </w:r>
      <m:oMath>
        <m:d>
          <m:dPr>
            <m:begChr m:val="("/>
            <m:endChr m:val=")"/>
            <m:sepChr m:val=""/>
            <m:grow/>
          </m:dPr>
          <m:e>
            <m:sSub>
              <m:e>
                <m:r>
                  <m:t>S</m:t>
                </m:r>
              </m:e>
              <m:sub>
                <m:r>
                  <m:t>B</m:t>
                </m:r>
              </m:sub>
            </m:sSub>
            <m:r>
              <m:rPr>
                <m:sty m:val="p"/>
              </m:rPr>
              <m:t>−</m:t>
            </m:r>
            <m:sSub>
              <m:e>
                <m:r>
                  <m:t>S</m:t>
                </m:r>
              </m:e>
              <m:sub>
                <m:r>
                  <m:t>A</m:t>
                </m:r>
              </m:sub>
            </m:sSub>
            <m:r>
              <m:rPr>
                <m:sty m:val="p"/>
              </m:rPr>
              <m:t>&gt;</m:t>
            </m:r>
            <m:r>
              <m:t>0</m:t>
            </m:r>
          </m:e>
        </m:d>
      </m:oMath>
      <w:r>
        <w:t xml:space="preserve"> </w:t>
      </w:r>
      <w:r>
        <w:t xml:space="preserve">and the area under the curve where the discriminal difference distinctly favors Text B over Text A, denoted as</w:t>
      </w:r>
      <w:r>
        <w:t xml:space="preserve"> </w:t>
      </w:r>
      <m:oMath>
        <m:r>
          <m:t>P</m:t>
        </m:r>
        <m:d>
          <m:dPr>
            <m:begChr m:val="("/>
            <m:endChr m:val=")"/>
            <m:sepChr m:val=""/>
            <m:grow/>
          </m:dPr>
          <m:e>
            <m:r>
              <m:t>B</m:t>
            </m:r>
            <m:r>
              <m:rPr>
                <m:sty m:val="p"/>
              </m:rPr>
              <m:t>&gt;</m:t>
            </m:r>
            <m:r>
              <m:t>A</m:t>
            </m:r>
          </m:e>
        </m:d>
      </m:oMath>
      <w:r>
        <w:t xml:space="preserve"> </w:t>
      </w:r>
      <w:r>
        <w:t xml:space="preserve">(shaded gray area). As a result, the dichotomous outcome of this comparison is more likely to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Discriminal difference for two written texts</w:t>
            </w:r>
          </w:p>
          <w:bookmarkEnd w:id="28"/>
        </w:tc>
      </w:tr>
    </w:tbl>
    <w:bookmarkEnd w:id="29"/>
    <w:bookmarkStart w:id="55" w:name="sec-theory-issues"/>
    <w:p>
      <w:pPr>
        <w:pStyle w:val="Heading1"/>
      </w:pPr>
      <w:r>
        <w:t xml:space="preserve">The two critical issues in CJ literature</w:t>
      </w:r>
    </w:p>
    <w:p>
      <w:pPr>
        <w:pStyle w:val="FirstParagraph"/>
      </w:pPr>
      <w:r>
        <w:t xml:space="preserve">This section examines the two critical issues in the CJ literature that serve as the primary focus of this study. The first is the overreliance on Thurstone’s Case V assumptions in the statistical analysis of CJ data. The second is the apparent disconnect between CJ’s approach to trait measurement and hypothesis testing.</w:t>
      </w:r>
    </w:p>
    <w:bookmarkStart w:id="53"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3</w:t>
        </w:r>
      </w:hyperlink>
      <w:r>
        <w:t xml:space="preserve">).</w:t>
      </w:r>
    </w:p>
    <w:bookmarkStart w:id="42"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7" w:name="fig-density"/>
                <w:p>
                  <w:pPr>
                    <w:pStyle w:val="Compact"/>
                    <w:jc w:val="center"/>
                    <w:jc w:val="left"/>
                  </w:pPr>
                  <w:r>
                    <w:drawing>
                      <wp:inline>
                        <wp:extent cx="2971800" cy="1980361"/>
                        <wp:effectExtent b="0" l="0" r="0" t="0"/>
                        <wp:docPr descr="" title="" id="35" name="Picture"/>
                        <a:graphic>
                          <a:graphicData uri="http://schemas.openxmlformats.org/drawingml/2006/picture">
                            <pic:pic>
                              <pic:nvPicPr>
                                <pic:cNvPr descr="./images/figures/density.png" id="36" name="Picture"/>
                                <pic:cNvPicPr>
                                  <a:picLocks noChangeArrowheads="1" noChangeAspect="1"/>
                                </pic:cNvPicPr>
                              </pic:nvPicPr>
                              <pic:blipFill>
                                <a:blip r:embed="rId34"/>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cumulative"/>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cummulative.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1"/>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2"/>
    <w:p>
      <w:pPr>
        <w:pStyle w:val="BodyText"/>
      </w:pPr>
      <w:r>
        <w:t xml:space="preserve">Nevertheless,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He explicitly warned against its untested application, stating that its use</w:t>
      </w:r>
      <w:r>
        <w:t xml:space="preserve"> </w:t>
      </w:r>
      <w:r>
        <w:t xml:space="preserve">“should not be made without (an) experimental test”</w:t>
      </w:r>
      <w:r>
        <w:t xml:space="preserve"> </w:t>
      </w:r>
      <w:r>
        <w:t xml:space="preserve">(Thurstone 1927a, 270)</w:t>
      </w:r>
      <w:r>
        <w:t xml:space="preserve">, acknowledging that some assumptions might be problematic when complex traits or heterogeneous stimuli are involved</w:t>
      </w:r>
      <w:r>
        <w:t xml:space="preserve"> </w:t>
      </w:r>
      <w:r>
        <w:t xml:space="preserve">(Thurstone 1927b, 376)</w:t>
      </w:r>
      <w:r>
        <w:t xml:space="preserve">. Consequently, given that modern CJ applications frequently involve such traits and stimuli, two main assumptions of Case V and, by extension, of the BTL model may not consistently hold in theory or practice: the assumption of equal dispersion and zero correlation between stimuli.</w:t>
      </w:r>
    </w:p>
    <w:bookmarkStart w:id="47" w:name="sec-theory-issue1a"/>
    <w:p>
      <w:pPr>
        <w:pStyle w:val="Heading3"/>
      </w:pPr>
      <w:r>
        <w:t xml:space="preserve">The assumption of equal dispersions between stimuli</w:t>
      </w:r>
    </w:p>
    <w:p>
      <w:pPr>
        <w:pStyle w:val="FirstParagraph"/>
      </w:pPr>
      <w:r>
        <w:t xml:space="preserve">The discriminal dispersions of stimuli are crucial in determining the dichotomous outcomes of pairwise comparisons. Discrepancies in these dispersions shape the distribution of the discriminal difference, directly influencing the comparison outcome.</w:t>
      </w:r>
      <w:r>
        <w:t xml:space="preserve"> </w:t>
      </w:r>
      <w:hyperlink w:anchor="fig-dispersion">
        <w:r>
          <w:rPr>
            <w:rStyle w:val="Hyperlink"/>
          </w:rPr>
          <w:t xml:space="preserve">Figure 4</w:t>
        </w:r>
      </w:hyperlink>
      <w:r>
        <w:t xml:space="preserve"> </w:t>
      </w:r>
      <w:r>
        <w:t xml:space="preserve">illustrates how more uncertainty in the trait perception of one text relative to another broadens the distribution of their discriminal difference. This broadening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Additionally, the figure shows that when the discriminal dispersions of the texts are equal</w:t>
      </w:r>
      <w:r>
        <w:t xml:space="preserve"> </w:t>
      </w:r>
      <m:oMath>
        <m:d>
          <m:dPr>
            <m:begChr m:val="("/>
            <m:endChr m:val=")"/>
            <m:sepChr m:val=""/>
            <m:grow/>
          </m:dPr>
          <m:e>
            <m:sSub>
              <m:e>
                <m:r>
                  <m:t>σ</m:t>
                </m:r>
              </m:e>
              <m:sub>
                <m:r>
                  <m:t>B</m:t>
                </m:r>
              </m:sub>
            </m:sSub>
            <m:r>
              <m:rPr>
                <m:sty m:val="p"/>
              </m:rPr>
              <m:t>−</m:t>
            </m:r>
            <m:sSub>
              <m:e>
                <m:r>
                  <m:t>σ</m:t>
                </m:r>
              </m:e>
              <m:sub>
                <m:r>
                  <m:t>A</m:t>
                </m:r>
              </m:sub>
            </m:sSub>
            <m:r>
              <m:rPr>
                <m:sty m:val="p"/>
              </m:rPr>
              <m:t>=</m:t>
            </m:r>
            <m:r>
              <m:t>0</m:t>
            </m:r>
          </m:e>
        </m:d>
      </m:oMath>
      <w:r>
        <w:t xml:space="preserve">, the discriminal difference is more likely to favor one text over the other than when their dispersions differ (shaded gray area).</w:t>
      </w:r>
    </w:p>
    <w:tbl>
      <w:tblPr>
        <w:tblStyle w:val="Table"/>
        <w:tblW w:type="pct" w:w="5000"/>
        <w:tblLayout w:type="fixed"/>
        <w:tblLook w:firstRow="0" w:lastRow="0" w:firstColumn="0" w:lastColumn="0" w:noHBand="0" w:noVBand="0" w:val="0000"/>
      </w:tblPr>
      <w:tblGrid>
        <w:gridCol w:w="7920"/>
      </w:tblGrid>
      <w:tr>
        <w:tc>
          <w:tcPr/>
          <w:bookmarkStart w:id="46" w:name="fig-dispersion"/>
          <w:p>
            <w:pPr>
              <w:pStyle w:val="Compact"/>
              <w:jc w:val="center"/>
            </w:pPr>
            <w:r>
              <w:drawing>
                <wp:inline>
                  <wp:extent cx="3733800" cy="2488146"/>
                  <wp:effectExtent b="0" l="0" r="0" t="0"/>
                  <wp:docPr descr="" title="" id="44" name="Picture"/>
                  <a:graphic>
                    <a:graphicData uri="http://schemas.openxmlformats.org/drawingml/2006/picture">
                      <pic:pic>
                        <pic:nvPicPr>
                          <pic:cNvPr descr="./images/figures/dispersion.png" id="45" name="Picture"/>
                          <pic:cNvPicPr>
                            <a:picLocks noChangeArrowheads="1" noChangeAspect="1"/>
                          </pic:cNvPicPr>
                        </pic:nvPicPr>
                        <pic:blipFill>
                          <a:blip r:embed="rId43"/>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effect of different dispersions between stimuli on the distribution of the discriminal difference</w:t>
            </w:r>
          </w:p>
          <w:bookmarkEnd w:id="46"/>
        </w:tc>
      </w:tr>
    </w:tbl>
    <w:p>
      <w:pPr>
        <w:pStyle w:val="BodyText"/>
      </w:pPr>
      <w:r>
        <w:t xml:space="preserve">However, Thurstone contended that the assumption of equal dispersions may not hold when researchers assess complex traits or heterogeneous stimuli</w:t>
      </w:r>
      <w:r>
        <w:t xml:space="preserve"> </w:t>
      </w:r>
      <w:r>
        <w:t xml:space="preserve">(Thurstone 1927b, 376)</w:t>
      </w:r>
      <w:r>
        <w:t xml:space="preserve">, as these traits and stimuli can introduce judgment discrepancies due to their unique features</w:t>
      </w:r>
      <w:r>
        <w:t xml:space="preserve"> </w:t>
      </w:r>
      <w:r>
        <w:t xml:space="preserve">(van Daal et al. 2016; Lesterhuis 2018b; Chambers and Cunningham 2022)</w:t>
      </w:r>
      <w:r>
        <w:t xml:space="preserve">. Indeed, evidence of such violation may already exist in the CJ literature as misfit statistics. These statistics measure the judgment discrepancies associated with a given stimulus</w:t>
      </w:r>
      <w:r>
        <w:t xml:space="preserve"> </w:t>
      </w:r>
      <w:r>
        <w:t xml:space="preserve">(Pollitt 2004, 12; Goossens and De Maeyer 2018, 20)</w:t>
      </w:r>
      <w:r>
        <w:t xml:space="preserve">. For instance, labeling texts as</w:t>
      </w:r>
      <w:r>
        <w:t xml:space="preserve"> </w:t>
      </w:r>
      <w:r>
        <w:t xml:space="preserve">“misfits”</w:t>
      </w:r>
      <w:r>
        <w:t xml:space="preserve"> </w:t>
      </w:r>
      <w:r>
        <w:t xml:space="preserve">indicates that comparisons involving these texts result in more judgment discrepancies than others</w:t>
      </w:r>
      <w:r>
        <w:t xml:space="preserve"> </w:t>
      </w:r>
      <w:r>
        <w:t xml:space="preserve">(Pollitt 2012a, 2012b; van Daal et al. 2016; Goossens and De Maeyer 2018)</w:t>
      </w:r>
      <w:r>
        <w:t xml:space="preserve">. This finding implies that discriminal differences associated with</w:t>
      </w:r>
      <w:r>
        <w:t xml:space="preserve"> </w:t>
      </w:r>
      <w:r>
        <w:t xml:space="preserve">“misfits”</w:t>
      </w:r>
      <w:r>
        <w:t xml:space="preserve"> </w:t>
      </w:r>
      <w:r>
        <w:t xml:space="preserve">texts usually display a broader dispersion, suggesting that their discriminal processes also exhibit more variation than other texts. Notably, this reasoning also applies to</w:t>
      </w:r>
      <w:r>
        <w:t xml:space="preserve"> </w:t>
      </w:r>
      <w:r>
        <w:t xml:space="preserve">“misfit”</w:t>
      </w:r>
      <w:r>
        <w:t xml:space="preserve"> </w:t>
      </w:r>
      <w:r>
        <w:t xml:space="preserve">judges, whose evaluations reflect substantial deviations from the shared consensus due to the unique characteristics of the stimuli or the judges themselves. Moreover, the presence of these</w:t>
      </w:r>
      <w:r>
        <w:t xml:space="preserve"> </w:t>
      </w:r>
      <w:r>
        <w:t xml:space="preserve">“misfit”</w:t>
      </w:r>
      <w:r>
        <w:t xml:space="preserve"> </w:t>
      </w:r>
      <w:r>
        <w:t xml:space="preserve">judges and their deviations can introduce additional statistical and measurement issues, as discussed in</w:t>
      </w:r>
      <w:r>
        <w:t xml:space="preserve"> </w:t>
      </w:r>
      <w:hyperlink w:anchor="sec-theory-issue1b">
        <w:r>
          <w:rPr>
            <w:rStyle w:val="Hyperlink"/>
          </w:rPr>
          <w:t xml:space="preserve">Section 3.1.2</w:t>
        </w:r>
      </w:hyperlink>
      <w:r>
        <w:t xml:space="preserve">.</w:t>
      </w:r>
    </w:p>
    <w:p>
      <w:pPr>
        <w:pStyle w:val="BodyText"/>
      </w:pPr>
      <w:r>
        <w:t xml:space="preserve">Therefore, assuming equal dispersions between stimuli, despite its violation, can cause Case V (and the BTL model) to inflate the reliability of the comparison outcome. Moreover, ignoring the difference in dispersions can lead to the neglect of critical differences in the reliability of the trait across stimuli, resulting in inaccurate conclusions about the trait’s estimates</w:t>
      </w:r>
      <w:r>
        <w:t xml:space="preserve"> </w:t>
      </w:r>
      <w:r>
        <w:t xml:space="preserve">(McElreath 2020, 370)</w:t>
      </w:r>
      <w:r>
        <w:t xml:space="preserve">. Furthermore, if researchers acknowledge that misfit statistics help identify these critical differences, the usual practice in the CJ literature of excluding stimuli based on these statistics</w:t>
      </w:r>
      <w:r>
        <w:t xml:space="preserve"> </w:t>
      </w:r>
      <w:r>
        <w:t xml:space="preserve">(Pollitt 2012b; van Daal et al. 2017; Goossens and De Maeyer 2018)</w:t>
      </w:r>
      <w:r>
        <w:t xml:space="preserve"> </w:t>
      </w:r>
      <w:r>
        <w:t xml:space="preserve">risks discarding valuable information and introducing bias into the trait’s estimates</w:t>
      </w:r>
      <w:r>
        <w:t xml:space="preserve"> </w:t>
      </w:r>
      <w:r>
        <w:t xml:space="preserve">(Zimmerman 1994; McElreath 2020, chap. 12)</w:t>
      </w:r>
      <w:r>
        <w:t xml:space="preserve">. The direction and magnitude of these biases are unpredictable, as they depend on the specific stimuli researchers exclude from the analysis. Together, these oversights undermine the reliability of the trait and ultimately compromise its validity</w:t>
      </w:r>
      <w:r>
        <w:t xml:space="preserve"> </w:t>
      </w:r>
      <w:r>
        <w:t xml:space="preserve">(Perron and Gillespie 2015, 2)</w:t>
      </w:r>
      <w:r>
        <w:t xml:space="preserve">.</w:t>
      </w:r>
    </w:p>
    <w:bookmarkEnd w:id="47"/>
    <w:bookmarkStart w:id="52" w:name="sec-theory-issue1b"/>
    <w:p>
      <w:pPr>
        <w:pStyle w:val="Heading3"/>
      </w:pPr>
      <w:r>
        <w:t xml:space="preserve">The assumption of zero correlation between stimuli</w:t>
      </w:r>
    </w:p>
    <w:p>
      <w:pPr>
        <w:pStyle w:val="FirstParagraph"/>
      </w:pPr>
      <w:r>
        <w:t xml:space="preserve">Similar to the discriminal dispersions, the correlation between discriminal processes plays a crucial role in determining the dichotomous outcomes of pairwise comparisons. This correlation also shapes the distribution of the discriminal difference, directly influencing the comparison outcome.</w:t>
      </w:r>
      <w:r>
        <w:t xml:space="preserve"> </w:t>
      </w:r>
      <w:hyperlink w:anchor="fig-correlation">
        <w:r>
          <w:rPr>
            <w:rStyle w:val="Hyperlink"/>
          </w:rPr>
          <w:t xml:space="preserve">Figure 5</w:t>
        </w:r>
      </w:hyperlink>
      <w:r>
        <w:t xml:space="preserve"> </w:t>
      </w:r>
      <w:r>
        <w:t xml:space="preserve">illustrates how the dependence in trait perception between two texts narrows the distribution of their discriminal difference. This narrowing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Moreover, the figure shows that when two texts are independent or uncorrelated</w:t>
      </w:r>
      <w:r>
        <w:t xml:space="preserve"> </w:t>
      </w:r>
      <m:oMath>
        <m:d>
          <m:dPr>
            <m:begChr m:val="("/>
            <m:endChr m:val=")"/>
            <m:sepChr m:val=""/>
            <m:grow/>
          </m:dPr>
          <m:e>
            <m:r>
              <m:t>ρ</m:t>
            </m:r>
            <m:r>
              <m:rPr>
                <m:sty m:val="p"/>
              </m:rPr>
              <m:t>=</m:t>
            </m:r>
            <m:r>
              <m:t>0</m:t>
            </m:r>
          </m:e>
        </m:d>
      </m:oMath>
      <w:r>
        <w:t xml:space="preserve">, their discriminal difference is less likely to favor one text over the other than when the texts are highly correlated (shaded gray area).</w:t>
      </w:r>
    </w:p>
    <w:tbl>
      <w:tblPr>
        <w:tblStyle w:val="Table"/>
        <w:tblW w:type="pct" w:w="5000"/>
        <w:tblLayout w:type="fixed"/>
        <w:tblLook w:firstRow="0" w:lastRow="0" w:firstColumn="0" w:lastColumn="0" w:noHBand="0" w:noVBand="0" w:val="0000"/>
      </w:tblPr>
      <w:tblGrid>
        <w:gridCol w:w="7920"/>
      </w:tblGrid>
      <w:tr>
        <w:tc>
          <w:tcPr/>
          <w:bookmarkStart w:id="51" w:name="fig-correlation"/>
          <w:p>
            <w:pPr>
              <w:pStyle w:val="Compact"/>
              <w:jc w:val="center"/>
            </w:pPr>
            <w:r>
              <w:drawing>
                <wp:inline>
                  <wp:extent cx="3733800" cy="2488146"/>
                  <wp:effectExtent b="0" l="0" r="0" t="0"/>
                  <wp:docPr descr="" title="" id="49" name="Picture"/>
                  <a:graphic>
                    <a:graphicData uri="http://schemas.openxmlformats.org/drawingml/2006/picture">
                      <pic:pic>
                        <pic:nvPicPr>
                          <pic:cNvPr descr="./images/figures/correlation.png" id="50" name="Picture"/>
                          <pic:cNvPicPr>
                            <a:picLocks noChangeArrowheads="1" noChangeAspect="1"/>
                          </pic:cNvPicPr>
                        </pic:nvPicPr>
                        <pic:blipFill>
                          <a:blip r:embed="rId48"/>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effect of correlation on the distribution of the discriminal difference</w:t>
            </w:r>
          </w:p>
          <w:bookmarkEnd w:id="51"/>
        </w:tc>
      </w:tr>
    </w:tbl>
    <w:p>
      <w:pPr>
        <w:pStyle w:val="BodyText"/>
      </w:pPr>
      <w:r>
        <w:t xml:space="preserve">Notably, Thurstone’s Case V and the BTL model assume independent trait perceptions across stimuli.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its grammatical accuracy than other judges,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can introduce additional statistical and measurement issues, as discussed in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need to address factors that create dependencies between stimuli, as failing to do so can affect the reliability of the comparison outcomes and lead to inaccurate conclusions about the trait’s estimates. For instance, researchers who overlook additional relevant traits, such as judges’ biases, can cause dimensional mismatches in the statistical model used for analysis. This mismatch can artificially inflate the reliability of the trait</w:t>
      </w:r>
      <w:r>
        <w:t xml:space="preserve"> </w:t>
      </w:r>
      <w:r>
        <w:t xml:space="preserve">(Hoyle 2023, 341)</w:t>
      </w:r>
      <w:r>
        <w:t xml:space="preserve"> </w:t>
      </w:r>
      <w:r>
        <w:t xml:space="preserve">or, even worse, introduce bias into the trait’s estimates</w:t>
      </w:r>
      <w:r>
        <w:t xml:space="preserve"> </w:t>
      </w:r>
      <w:r>
        <w:t xml:space="preserve">(Ackerman 1989)</w:t>
      </w:r>
      <w:r>
        <w:t xml:space="preserve">. Furthermore, as discussed in</w:t>
      </w:r>
      <w:r>
        <w:t xml:space="preserve"> </w:t>
      </w:r>
      <w:hyperlink w:anchor="sec-theory-issue1a">
        <w:r>
          <w:rPr>
            <w:rStyle w:val="Hyperlink"/>
          </w:rPr>
          <w:t xml:space="preserve">Section 3.1.1</w:t>
        </w:r>
      </w:hyperlink>
      <w:r>
        <w:t xml:space="preserve">, researchers who exclude judges based on misfit statistics can risk discarding valuable information, further biasing the trait’s estimates</w:t>
      </w:r>
      <w:r>
        <w:t xml:space="preserve"> </w:t>
      </w:r>
      <w:r>
        <w:t xml:space="preserve">(Zimmerman 1994; McElreath 2020, chap. 12)</w:t>
      </w:r>
      <w:r>
        <w:t xml:space="preserve">. Lastly, researchers who fail to account for hierarchical (grouping) structures can reduce the precision of model parameter estimates, which may amplify the overestimation of reliability</w:t>
      </w:r>
      <w:r>
        <w:t xml:space="preserve"> </w:t>
      </w:r>
      <w:r>
        <w:t xml:space="preserve">(Hoyle 2023, 482)</w:t>
      </w:r>
      <w:r>
        <w:t xml:space="preserve">. Together, these issues undermine the reliability of the trait and compromise the validity of its estimates</w:t>
      </w:r>
      <w:r>
        <w:t xml:space="preserve"> </w:t>
      </w:r>
      <w:r>
        <w:t xml:space="preserve">(Perron and Gillespie 2015, 2)</w:t>
      </w:r>
      <w:r>
        <w:t xml:space="preserve">.</w:t>
      </w:r>
    </w:p>
    <w:bookmarkEnd w:id="52"/>
    <w:bookmarkEnd w:id="53"/>
    <w:bookmarkStart w:id="54" w:name="sec-theory-issue2"/>
    <w:p>
      <w:pPr>
        <w:pStyle w:val="Heading2"/>
      </w:pPr>
      <w:r>
        <w:t xml:space="preserve">The disconnect between trait measurement and hypothesis testing</w:t>
      </w:r>
    </w:p>
    <w:p>
      <w:pPr>
        <w:pStyle w:val="FirstParagraph"/>
      </w:pPr>
      <w:r>
        <w:t xml:space="preserve">Building on the previous section, it is clear that, despite its limitations, the BTL model is commonly used as the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bookmarkEnd w:id="54"/>
    <w:bookmarkEnd w:id="55"/>
    <w:bookmarkStart w:id="58" w:name="sec-theory"/>
    <w:p>
      <w:pPr>
        <w:pStyle w:val="Heading1"/>
      </w:pPr>
      <w:r>
        <w:t xml:space="preserve">An updated theoretical and statistical model for CJ</w:t>
      </w:r>
    </w:p>
    <w:bookmarkStart w:id="56" w:name="sec-theory-theoretical"/>
    <w:p>
      <w:pPr>
        <w:pStyle w:val="Heading2"/>
      </w:pPr>
      <w:r>
        <w:t xml:space="preserve">The theoretical model</w:t>
      </w:r>
    </w:p>
    <w:bookmarkEnd w:id="56"/>
    <w:bookmarkStart w:id="57" w:name="sec-theory-statistics"/>
    <w:p>
      <w:pPr>
        <w:pStyle w:val="Heading2"/>
      </w:pPr>
      <w:r>
        <w:t xml:space="preserve">From theory to statistics</w:t>
      </w:r>
    </w:p>
    <w:bookmarkEnd w:id="57"/>
    <w:bookmarkEnd w:id="58"/>
    <w:bookmarkStart w:id="61" w:name="sec-discuss"/>
    <w:p>
      <w:pPr>
        <w:pStyle w:val="Heading1"/>
      </w:pPr>
      <w:r>
        <w:t xml:space="preserve">Discussion</w:t>
      </w:r>
    </w:p>
    <w:bookmarkStart w:id="59" w:name="sec-discuss-finding"/>
    <w:p>
      <w:pPr>
        <w:pStyle w:val="Heading2"/>
      </w:pPr>
      <w:r>
        <w:t xml:space="preserve">Findings</w:t>
      </w:r>
    </w:p>
    <w:bookmarkEnd w:id="59"/>
    <w:bookmarkStart w:id="60" w:name="sec-discuss-limitations"/>
    <w:p>
      <w:pPr>
        <w:pStyle w:val="Heading2"/>
      </w:pPr>
      <w:r>
        <w:t xml:space="preserve">Limitations and further research</w:t>
      </w:r>
    </w:p>
    <w:bookmarkEnd w:id="60"/>
    <w:bookmarkEnd w:id="61"/>
    <w:bookmarkStart w:id="62" w:name="sec-conclusion"/>
    <w:p>
      <w:pPr>
        <w:pStyle w:val="Heading1"/>
      </w:pPr>
      <w:r>
        <w:t xml:space="preserve">Conclusion</w:t>
      </w:r>
    </w:p>
    <w:p>
      <w:r>
        <w:br w:type="page"/>
      </w:r>
    </w:p>
    <w:bookmarkEnd w:id="62"/>
    <w:bookmarkStart w:id="6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4"/>
    <w:bookmarkStart w:id="147" w:name="references"/>
    <w:p>
      <w:pPr>
        <w:pStyle w:val="Heading1"/>
      </w:pPr>
      <w:r>
        <w:t xml:space="preserve">References</w:t>
      </w:r>
    </w:p>
    <w:bookmarkStart w:id="146" w:name="refs"/>
    <w:bookmarkStart w:id="66"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65">
        <w:r>
          <w:rPr>
            <w:rStyle w:val="Hyperlink"/>
          </w:rPr>
          <w:t xml:space="preserve">https://doi.org/10.1177/014662168901300201</w:t>
        </w:r>
      </w:hyperlink>
      <w:r>
        <w:t xml:space="preserve">.</w:t>
      </w:r>
    </w:p>
    <w:bookmarkEnd w:id="66"/>
    <w:bookmarkStart w:id="68"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7">
        <w:r>
          <w:rPr>
            <w:rStyle w:val="Hyperlink"/>
          </w:rPr>
          <w:t xml:space="preserve">https://doi.org/10.1177/014662167800200319</w:t>
        </w:r>
      </w:hyperlink>
      <w:r>
        <w:t xml:space="preserve">.</w:t>
      </w:r>
    </w:p>
    <w:bookmarkEnd w:id="68"/>
    <w:bookmarkStart w:id="70"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9">
        <w:r>
          <w:rPr>
            <w:rStyle w:val="Hyperlink"/>
          </w:rPr>
          <w:t xml:space="preserve">https://doi.org/10.1080/10627197.2018.1444986</w:t>
        </w:r>
      </w:hyperlink>
      <w:r>
        <w:t xml:space="preserve">.</w:t>
      </w:r>
    </w:p>
    <w:bookmarkEnd w:id="70"/>
    <w:bookmarkStart w:id="72"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71">
        <w:r>
          <w:rPr>
            <w:rStyle w:val="Hyperlink"/>
          </w:rPr>
          <w:t xml:space="preserve">https://doi.org/10.1007/978-3-030-52229-2_18</w:t>
        </w:r>
      </w:hyperlink>
      <w:r>
        <w:t xml:space="preserve">.</w:t>
      </w:r>
    </w:p>
    <w:bookmarkEnd w:id="72"/>
    <w:bookmarkStart w:id="74"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3">
        <w:r>
          <w:rPr>
            <w:rStyle w:val="Hyperlink"/>
          </w:rPr>
          <w:t xml:space="preserve">https://doi.org/10.1016/j.jcomdis.2019.105969</w:t>
        </w:r>
      </w:hyperlink>
      <w:r>
        <w:t xml:space="preserve">.</w:t>
      </w:r>
    </w:p>
    <w:bookmarkEnd w:id="74"/>
    <w:bookmarkStart w:id="76"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75">
        <w:r>
          <w:rPr>
            <w:rStyle w:val="Hyperlink"/>
          </w:rPr>
          <w:t xml:space="preserve">https://doi.org/10.17239/jowr-2024.15.03.03</w:t>
        </w:r>
      </w:hyperlink>
      <w:r>
        <w:t xml:space="preserve">.</w:t>
      </w:r>
    </w:p>
    <w:bookmarkEnd w:id="76"/>
    <w:bookmarkStart w:id="78"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7">
        <w:r>
          <w:rPr>
            <w:rStyle w:val="Hyperlink"/>
          </w:rPr>
          <w:t xml:space="preserve">https://doi.org/10.2307/2334029</w:t>
        </w:r>
      </w:hyperlink>
      <w:r>
        <w:t xml:space="preserve">.</w:t>
      </w:r>
    </w:p>
    <w:bookmarkEnd w:id="78"/>
    <w:bookmarkStart w:id="80"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9">
        <w:r>
          <w:rPr>
            <w:rStyle w:val="Hyperlink"/>
          </w:rPr>
          <w:t xml:space="preserve">https://assets.publishing.service.gov.uk/media/5a80d75940f0b62305b8d734/2007-comparability-exam-standards-i-chapter7.pdf</w:t>
        </w:r>
      </w:hyperlink>
      <w:r>
        <w:t xml:space="preserve">.</w:t>
      </w:r>
    </w:p>
    <w:bookmarkEnd w:id="80"/>
    <w:bookmarkStart w:id="8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81">
        <w:r>
          <w:rPr>
            <w:rStyle w:val="Hyperlink"/>
          </w:rPr>
          <w:t xml:space="preserve">https://doi.org/10.1080/0969594X.2017.1418734</w:t>
        </w:r>
      </w:hyperlink>
      <w:r>
        <w:t xml:space="preserve">.</w:t>
      </w:r>
    </w:p>
    <w:bookmarkEnd w:id="82"/>
    <w:bookmarkStart w:id="84"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83">
        <w:r>
          <w:rPr>
            <w:rStyle w:val="Hyperlink"/>
          </w:rPr>
          <w:t xml:space="preserve">https://doi.org/10.3389/feduc.2022.802392</w:t>
        </w:r>
      </w:hyperlink>
      <w:r>
        <w:t xml:space="preserve">.</w:t>
      </w:r>
    </w:p>
    <w:bookmarkEnd w:id="84"/>
    <w:bookmarkStart w:id="86"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85">
        <w:r>
          <w:rPr>
            <w:rStyle w:val="Hyperlink"/>
          </w:rPr>
          <w:t xml:space="preserve">https://repository.uantwerpen.be/docman/irua/e71ea9/147930.pdf</w:t>
        </w:r>
      </w:hyperlink>
      <w:r>
        <w:t xml:space="preserve">.</w:t>
      </w:r>
    </w:p>
    <w:bookmarkEnd w:id="86"/>
    <w:bookmarkStart w:id="88"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7">
        <w:r>
          <w:rPr>
            <w:rStyle w:val="Hyperlink"/>
          </w:rPr>
          <w:t xml:space="preserve">https://doi.org/10.3389/feduc.2021.788202</w:t>
        </w:r>
      </w:hyperlink>
      <w:r>
        <w:t xml:space="preserve">.</w:t>
      </w:r>
    </w:p>
    <w:bookmarkEnd w:id="88"/>
    <w:bookmarkStart w:id="90" w:name="ref-Everitt_et_al_2010"/>
    <w:p>
      <w:pPr>
        <w:pStyle w:val="Bibliography"/>
      </w:pPr>
      <w:r>
        <w:t xml:space="preserve">Everitt, B., and A. Skrondal. 2010.</w:t>
      </w:r>
      <w:r>
        <w:t xml:space="preserve"> </w:t>
      </w:r>
      <w:hyperlink r:id="rId89">
        <w:r>
          <w:rPr>
            <w:rStyle w:val="Hyperlink"/>
            <w:i/>
            <w:iCs/>
          </w:rPr>
          <w:t xml:space="preserve">The Cambridge Dictionary of Statistics</w:t>
        </w:r>
      </w:hyperlink>
      <w:r>
        <w:t xml:space="preserve">. Cambridge University Press.</w:t>
      </w:r>
    </w:p>
    <w:bookmarkEnd w:id="90"/>
    <w:bookmarkStart w:id="9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91">
        <w:r>
          <w:rPr>
            <w:rStyle w:val="Hyperlink"/>
          </w:rPr>
          <w:t xml:space="preserve">https://doi.org/10.3389/feduc.2020.582800</w:t>
        </w:r>
      </w:hyperlink>
      <w:r>
        <w:t xml:space="preserve">.</w:t>
      </w:r>
    </w:p>
    <w:bookmarkEnd w:id="92"/>
    <w:bookmarkStart w:id="94"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93">
        <w:r>
          <w:rPr>
            <w:rStyle w:val="Hyperlink"/>
          </w:rPr>
          <w:t xml:space="preserve">https://doi.org/10.1007/978-3-319-97807-9_2</w:t>
        </w:r>
      </w:hyperlink>
      <w:r>
        <w:t xml:space="preserve">.</w:t>
      </w:r>
    </w:p>
    <w:bookmarkEnd w:id="94"/>
    <w:bookmarkStart w:id="95" w:name="ref-Hoyle_et_al_2023"/>
    <w:p>
      <w:pPr>
        <w:pStyle w:val="Bibliography"/>
      </w:pPr>
      <w:r>
        <w:t xml:space="preserve">Hoyle, R. (eds.). 2023.</w:t>
      </w:r>
      <w:r>
        <w:t xml:space="preserve"> </w:t>
      </w:r>
      <w:hyperlink r:id="rId89">
        <w:r>
          <w:rPr>
            <w:rStyle w:val="Hyperlink"/>
            <w:i/>
            <w:iCs/>
          </w:rPr>
          <w:t xml:space="preserve">Handbook of Structural Equation Modeling</w:t>
        </w:r>
      </w:hyperlink>
      <w:r>
        <w:t xml:space="preserve">. Guilford Press.</w:t>
      </w:r>
    </w:p>
    <w:bookmarkEnd w:id="95"/>
    <w:bookmarkStart w:id="9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6">
        <w:r>
          <w:rPr>
            <w:rStyle w:val="Hyperlink"/>
          </w:rPr>
          <w:t xml:space="preserve">https://doi.org/10.1002/berj.3519</w:t>
        </w:r>
      </w:hyperlink>
      <w:r>
        <w:t xml:space="preserve">.</w:t>
      </w:r>
    </w:p>
    <w:bookmarkEnd w:id="97"/>
    <w:bookmarkStart w:id="99"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8">
        <w:r>
          <w:rPr>
            <w:rStyle w:val="Hyperlink"/>
          </w:rPr>
          <w:t xml:space="preserve">https://doi.org/10.1007/s10649-015-9607-1</w:t>
        </w:r>
      </w:hyperlink>
      <w:r>
        <w:t xml:space="preserve">.</w:t>
      </w:r>
    </w:p>
    <w:bookmarkEnd w:id="99"/>
    <w:bookmarkStart w:id="101"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100">
        <w:r>
          <w:rPr>
            <w:rStyle w:val="Hyperlink"/>
          </w:rPr>
          <w:t xml:space="preserve">https://doi.org/10.1080/0969594X.2022.2147901</w:t>
        </w:r>
      </w:hyperlink>
      <w:r>
        <w:t xml:space="preserve">.</w:t>
      </w:r>
    </w:p>
    <w:bookmarkEnd w:id="101"/>
    <w:bookmarkStart w:id="103"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102">
        <w:r>
          <w:rPr>
            <w:rStyle w:val="Hyperlink"/>
          </w:rPr>
          <w:t xml:space="preserve">https://doi.org/10.1007/s10798-011-9190-4</w:t>
        </w:r>
      </w:hyperlink>
      <w:r>
        <w:t xml:space="preserve">.</w:t>
      </w:r>
    </w:p>
    <w:bookmarkEnd w:id="103"/>
    <w:bookmarkStart w:id="104" w:name="ref-Kline_et_al_2023"/>
    <w:p>
      <w:pPr>
        <w:pStyle w:val="Bibliography"/>
      </w:pPr>
      <w:r>
        <w:t xml:space="preserve">Kline, R. 2023.</w:t>
      </w:r>
      <w:r>
        <w:t xml:space="preserve"> </w:t>
      </w:r>
      <w:hyperlink r:id="rId89">
        <w:r>
          <w:rPr>
            <w:rStyle w:val="Hyperlink"/>
            <w:i/>
            <w:iCs/>
          </w:rPr>
          <w:t xml:space="preserve">Principles and Practice of Structural Equation Modeling</w:t>
        </w:r>
      </w:hyperlink>
      <w:r>
        <w:t xml:space="preserve">. Methodology in the Social Sciences. Guilford Press.</w:t>
      </w:r>
    </w:p>
    <w:bookmarkEnd w:id="104"/>
    <w:bookmarkStart w:id="106"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5">
        <w:r>
          <w:rPr>
            <w:rStyle w:val="Hyperlink"/>
          </w:rPr>
          <w:t xml:space="preserve">https://doi.org/10.2304/plat.2003.3.2.89</w:t>
        </w:r>
      </w:hyperlink>
      <w:r>
        <w:t xml:space="preserve">.</w:t>
      </w:r>
    </w:p>
    <w:bookmarkEnd w:id="106"/>
    <w:bookmarkStart w:id="108"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7">
        <w:r>
          <w:rPr>
            <w:rStyle w:val="Hyperlink"/>
          </w:rPr>
          <w:t xml:space="preserve">https://hdl.handle.net/10067/1548280151162165141</w:t>
        </w:r>
      </w:hyperlink>
      <w:r>
        <w:t xml:space="preserve">.</w:t>
      </w:r>
    </w:p>
    <w:bookmarkEnd w:id="108"/>
    <w:bookmarkStart w:id="110"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9">
        <w:r>
          <w:rPr>
            <w:rStyle w:val="Hyperlink"/>
          </w:rPr>
          <w:t xml:space="preserve">https://doi.org/10.17239/L1ESLL-2018.18.01.02</w:t>
        </w:r>
      </w:hyperlink>
      <w:r>
        <w:t xml:space="preserve">.</w:t>
      </w:r>
    </w:p>
    <w:bookmarkEnd w:id="110"/>
    <w:bookmarkStart w:id="11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11">
        <w:r>
          <w:rPr>
            <w:rStyle w:val="Hyperlink"/>
          </w:rPr>
          <w:t xml:space="preserve">https://doi.org/10.1037/h0043178</w:t>
        </w:r>
      </w:hyperlink>
      <w:r>
        <w:t xml:space="preserve">.</w:t>
      </w:r>
    </w:p>
    <w:bookmarkEnd w:id="112"/>
    <w:bookmarkStart w:id="11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13">
        <w:r>
          <w:rPr>
            <w:rStyle w:val="Hyperlink"/>
          </w:rPr>
          <w:t xml:space="preserve">https://doi.org/10.1007/s40841-020-00163-3</w:t>
        </w:r>
      </w:hyperlink>
      <w:r>
        <w:t xml:space="preserve">.</w:t>
      </w:r>
    </w:p>
    <w:bookmarkEnd w:id="114"/>
    <w:bookmarkStart w:id="115" w:name="ref-McElreath_2020"/>
    <w:p>
      <w:pPr>
        <w:pStyle w:val="Bibliography"/>
      </w:pPr>
      <w:r>
        <w:t xml:space="preserve">McElreath, R. 2020.</w:t>
      </w:r>
      <w:r>
        <w:t xml:space="preserve"> </w:t>
      </w:r>
      <w:hyperlink r:id="rId89">
        <w:r>
          <w:rPr>
            <w:rStyle w:val="Hyperlink"/>
            <w:i/>
            <w:iCs/>
          </w:rPr>
          <w:t xml:space="preserve">Statistical Rethinking: A Bayesian Course with Examples in r and STAN</w:t>
        </w:r>
      </w:hyperlink>
      <w:r>
        <w:t xml:space="preserve">. Chapman; Hall/CRC.</w:t>
      </w:r>
    </w:p>
    <w:bookmarkEnd w:id="115"/>
    <w:bookmarkStart w:id="117"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6">
        <w:r>
          <w:rPr>
            <w:rStyle w:val="Hyperlink"/>
          </w:rPr>
          <w:t xml:space="preserve">https://doi.org/10.1109/ICPR48806.2021.9412676</w:t>
        </w:r>
      </w:hyperlink>
      <w:r>
        <w:t xml:space="preserve">.</w:t>
      </w:r>
    </w:p>
    <w:bookmarkEnd w:id="117"/>
    <w:bookmarkStart w:id="119"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8">
        <w:r>
          <w:rPr>
            <w:rStyle w:val="Hyperlink"/>
          </w:rPr>
          <w:t xml:space="preserve">https://doi.org/10.1093/acprof:oso/9780199855483.003.0004</w:t>
        </w:r>
      </w:hyperlink>
      <w:r>
        <w:t xml:space="preserve">.</w:t>
      </w:r>
    </w:p>
    <w:bookmarkEnd w:id="119"/>
    <w:bookmarkStart w:id="121"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20">
        <w:r>
          <w:rPr>
            <w:rStyle w:val="Hyperlink"/>
          </w:rPr>
          <w:t xml:space="preserve">https://www.cambridgeassessment.org.uk/images/109719-let-s-stop-marking-exams.pdf</w:t>
        </w:r>
      </w:hyperlink>
      <w:r>
        <w:t xml:space="preserve">.</w:t>
      </w:r>
    </w:p>
    <w:bookmarkEnd w:id="121"/>
    <w:bookmarkStart w:id="123"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22">
        <w:r>
          <w:rPr>
            <w:rStyle w:val="Hyperlink"/>
          </w:rPr>
          <w:t xml:space="preserve">https://doi.org/10.1007/s10798-011-9189-x</w:t>
        </w:r>
      </w:hyperlink>
      <w:r>
        <w:t xml:space="preserve">.</w:t>
      </w:r>
    </w:p>
    <w:bookmarkEnd w:id="123"/>
    <w:bookmarkStart w:id="125"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24">
        <w:r>
          <w:rPr>
            <w:rStyle w:val="Hyperlink"/>
          </w:rPr>
          <w:t xml:space="preserve">https://doi.org/10.1080/0969594X.2012.665354</w:t>
        </w:r>
      </w:hyperlink>
      <w:r>
        <w:t xml:space="preserve">.</w:t>
      </w:r>
    </w:p>
    <w:bookmarkEnd w:id="125"/>
    <w:bookmarkStart w:id="127"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6">
        <w:r>
          <w:rPr>
            <w:rStyle w:val="Hyperlink"/>
          </w:rPr>
          <w:t xml:space="preserve">https://www.cambridgeassessment.org.uk/Images/109707-monitoring-and-investigating-comparability-a-proper-role-for-human-judgement.pdf</w:t>
        </w:r>
      </w:hyperlink>
      <w:r>
        <w:t xml:space="preserve">.</w:t>
      </w:r>
    </w:p>
    <w:bookmarkEnd w:id="127"/>
    <w:bookmarkStart w:id="129"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8">
        <w:r>
          <w:rPr>
            <w:rStyle w:val="Hyperlink"/>
          </w:rPr>
          <w:t xml:space="preserve">https://doi.org/10.1037/h0070288</w:t>
        </w:r>
      </w:hyperlink>
      <w:r>
        <w:t xml:space="preserve">.</w:t>
      </w:r>
    </w:p>
    <w:bookmarkEnd w:id="129"/>
    <w:bookmarkStart w:id="131"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30">
        <w:r>
          <w:rPr>
            <w:rStyle w:val="Hyperlink"/>
          </w:rPr>
          <w:t xml:space="preserve">https://brocku.ca/MeadProject/Thurstone/Thurstone_1927g.html</w:t>
        </w:r>
      </w:hyperlink>
      <w:r>
        <w:t xml:space="preserve">.</w:t>
      </w:r>
    </w:p>
    <w:bookmarkEnd w:id="131"/>
    <w:bookmarkStart w:id="133"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32">
        <w:r>
          <w:rPr>
            <w:rStyle w:val="Hyperlink"/>
          </w:rPr>
          <w:t xml:space="preserve">https://doi.org/10.1080/0969594X.2016.1253542</w:t>
        </w:r>
      </w:hyperlink>
      <w:r>
        <w:t xml:space="preserve">.</w:t>
      </w:r>
    </w:p>
    <w:bookmarkEnd w:id="133"/>
    <w:bookmarkStart w:id="135"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34">
        <w:r>
          <w:rPr>
            <w:rStyle w:val="Hyperlink"/>
          </w:rPr>
          <w:t xml:space="preserve">https://doi.org/10.3389/feduc.2017.00044</w:t>
        </w:r>
      </w:hyperlink>
      <w:r>
        <w:t xml:space="preserve">.</w:t>
      </w:r>
    </w:p>
    <w:bookmarkEnd w:id="135"/>
    <w:bookmarkStart w:id="136" w:name="ref-vanderLinden_et_al_2017_I"/>
    <w:p>
      <w:pPr>
        <w:pStyle w:val="Bibliography"/>
      </w:pPr>
      <w:r>
        <w:t xml:space="preserve">van der Linden, W., ed. 2017a.</w:t>
      </w:r>
      <w:r>
        <w:t xml:space="preserve"> </w:t>
      </w:r>
      <w:hyperlink r:id="rId89">
        <w:r>
          <w:rPr>
            <w:rStyle w:val="Hyperlink"/>
            <w:i/>
            <w:iCs/>
          </w:rPr>
          <w:t xml:space="preserve">Handbook of Item Response Theory: Models</w:t>
        </w:r>
      </w:hyperlink>
      <w:r>
        <w:t xml:space="preserve">. Vol. 1. Statistics in the Social and Behavioral Sciences Series. CRC Press.</w:t>
      </w:r>
    </w:p>
    <w:bookmarkEnd w:id="136"/>
    <w:bookmarkStart w:id="137" w:name="ref-vanderLinden_et_al_2017_II"/>
    <w:p>
      <w:pPr>
        <w:pStyle w:val="Bibliography"/>
      </w:pPr>
      <w:r>
        <w:t xml:space="preserve">———, ed. 2017b.</w:t>
      </w:r>
      <w:r>
        <w:t xml:space="preserve"> </w:t>
      </w:r>
      <w:hyperlink r:id="rId89">
        <w:r>
          <w:rPr>
            <w:rStyle w:val="Hyperlink"/>
            <w:i/>
            <w:iCs/>
          </w:rPr>
          <w:t xml:space="preserve">Handbook of Item Response Theory: Statistical Tools</w:t>
        </w:r>
      </w:hyperlink>
      <w:r>
        <w:t xml:space="preserve">. Vol. 2. Statistics in the Social and Behavioral Sciences Series. CRC Press.</w:t>
      </w:r>
    </w:p>
    <w:bookmarkEnd w:id="137"/>
    <w:bookmarkStart w:id="13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8">
        <w:r>
          <w:rPr>
            <w:rStyle w:val="Hyperlink"/>
          </w:rPr>
          <w:t xml:space="preserve">https://doi.org/10.1080/0969594X.2019.1602027</w:t>
        </w:r>
      </w:hyperlink>
      <w:r>
        <w:t xml:space="preserve">.</w:t>
      </w:r>
    </w:p>
    <w:bookmarkEnd w:id="139"/>
    <w:bookmarkStart w:id="141"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40">
        <w:r>
          <w:rPr>
            <w:rStyle w:val="Hyperlink"/>
          </w:rPr>
          <w:t xml:space="preserve">https://doi.org/10.3389/feduc.2021.785919</w:t>
        </w:r>
      </w:hyperlink>
      <w:r>
        <w:t xml:space="preserve">.</w:t>
      </w:r>
    </w:p>
    <w:bookmarkEnd w:id="141"/>
    <w:bookmarkStart w:id="143"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42">
        <w:r>
          <w:rPr>
            <w:rStyle w:val="Hyperlink"/>
          </w:rPr>
          <w:t xml:space="preserve">https://filestore.aqa.org.uk/content/research/CERP_RP_CW_24102012_0.pdf?download=1</w:t>
        </w:r>
      </w:hyperlink>
      <w:r>
        <w:t xml:space="preserve">.</w:t>
      </w:r>
    </w:p>
    <w:bookmarkEnd w:id="143"/>
    <w:bookmarkStart w:id="145"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4">
        <w:r>
          <w:rPr>
            <w:rStyle w:val="Hyperlink"/>
          </w:rPr>
          <w:t xml:space="preserve">https://doi.org/10.1080/00221309.1994.9921213</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2024-12-07T15:49:46Z</dcterms:created>
  <dcterms:modified xsi:type="dcterms:W3CDTF">2024-12-07T15:49:46Z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2024-12-07</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