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2024-07-25</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are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a</w:t>
      </w:r>
      <w:r>
        <w:t xml:space="preserve"> </w:t>
      </w:r>
      <w:r>
        <w:t xml:space="preserve">structural</w:t>
      </w:r>
      <w:r>
        <w:t xml:space="preserve"> </w:t>
      </w:r>
      <w:r>
        <w:t xml:space="preserve">approach</w:t>
      </w:r>
      <w:r>
        <w:t xml:space="preserve"> </w:t>
      </w:r>
      <w:r>
        <w:t xml:space="preserve">to</w:t>
      </w:r>
      <w:r>
        <w:t xml:space="preserve"> </w:t>
      </w:r>
      <w:r>
        <w:t xml:space="preserve">causal</w:t>
      </w:r>
      <w:r>
        <w:t xml:space="preserve"> </w:t>
      </w:r>
      <w:r>
        <w:t xml:space="preserve">inference,</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It</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connections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are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a structural approach to causal inference</w:t>
      </w:r>
      <w:r>
        <w:t xml:space="preserve"> </w:t>
      </w:r>
      <w:r>
        <w:t xml:space="preserve">(Wright 1927; Pearl 2009; Pearl, Glymour, and Jewell 2016)</w:t>
      </w:r>
      <w:r>
        <w:t xml:space="preserve">, the study develops a scientific model to clarify the causal assumptions and mechanisms inherent in the DCJ system. Next, using a minimal set of assumptions, the study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32"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According to</w:t>
      </w:r>
      <w:r>
        <w:t xml:space="preserve"> </w:t>
      </w:r>
      <w:r>
        <w:t xml:space="preserve">Pearl and Mackenzie (2018)</w:t>
      </w:r>
      <w:r>
        <w:t xml:space="preserve">, counterfactuals occupy the highest level of cognitive abstraction in the ladder of causation, followed by intervention and association, and form the foundation of causal inference. 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utilizes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 key advantage over the potential outcomes approach: it enables the graphical representation of systems through directed acyclic graphs</w:t>
      </w:r>
      <w:r>
        <w:t xml:space="preserve"> </w:t>
      </w:r>
      <w:r>
        <w:t xml:space="preserve">(DAG, Gross, Yellen, and Anderson 2018; Neal 2020)</w:t>
      </w:r>
      <w:r>
        <w:t xml:space="preserve">. DAGs are heuristics that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26" w:name="sec-background-dag"/>
    <w:p>
      <w:pPr>
        <w:pStyle w:val="Heading2"/>
      </w:pPr>
      <w:r>
        <w:t xml:space="preserve">DAGs, SCMs, and the flow of association and causation</w:t>
      </w:r>
    </w:p>
    <w:p>
      <w:pPr>
        <w:pStyle w:val="FirstParagraph"/>
      </w:pPr>
      <w:r>
        <w:t xml:space="preserve">Graph theory is the branch of mathematics focused on the study of graphs. Graphs are mathematical structures used to model pairwise relations between objects</w:t>
      </w:r>
      <w:r>
        <w:t xml:space="preserve"> </w:t>
      </w:r>
      <w:r>
        <w:t xml:space="preserve">(Gross, Yellen, and Anderson 2018)</w:t>
      </w:r>
      <w:r>
        <w:t xml:space="preserve">. While graph theory covers a wide array of topics, the field of causal inference, particularly its structural approach, has incorporated some of its concepts to represent causes and counterfactuals formally and transparently. A causal graph, or Directed Acyclic Graph (DAG), as its name suggest, is a directed graph without cycles. A</w:t>
      </w:r>
      <w:r>
        <w:t xml:space="preserve"> </w:t>
      </w:r>
      <w:r>
        <w:rPr>
          <w:i/>
          <w:iCs/>
        </w:rPr>
        <w:t xml:space="preserve">graph</w:t>
      </w:r>
      <w:r>
        <w:t xml:space="preserve"> </w:t>
      </w:r>
      <w:r>
        <w:t xml:space="preserve">is a collection of nodes connected by edges. In a</w:t>
      </w:r>
      <w:r>
        <w:t xml:space="preserve"> </w:t>
      </w:r>
      <w:r>
        <w:rPr>
          <w:i/>
          <w:iCs/>
        </w:rPr>
        <w:t xml:space="preserve">directed graph</w:t>
      </w:r>
      <w:r>
        <w:t xml:space="preserve">, edges extend from a node to another node, with arrows indicating the direction of causal influence. In a directed</w:t>
      </w:r>
      <w:r>
        <w:t xml:space="preserve"> </w:t>
      </w:r>
      <w:r>
        <w:rPr>
          <w:i/>
          <w:iCs/>
        </w:rPr>
        <w:t xml:space="preserve">acyclic</w:t>
      </w:r>
      <w:r>
        <w:t xml:space="preserve"> </w:t>
      </w:r>
      <w:r>
        <w:t xml:space="preserve">graph, the direction of causal influences does not loop back on itself, ensuring that the graph contains no cycles</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Start w:id="31"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0" w:name="fig-IEflow"/>
          <w:p>
            <w:pPr>
              <w:pStyle w:val="Compact"/>
              <w:jc w:val="center"/>
            </w:pPr>
            <w:r>
              <w:drawing>
                <wp:inline>
                  <wp:extent cx="2133600" cy="1502761"/>
                  <wp:effectExtent b="0" l="0" r="0" t="0"/>
                  <wp:docPr descr="" title="" id="28" name="Picture"/>
                  <a:graphic>
                    <a:graphicData uri="http://schemas.openxmlformats.org/drawingml/2006/picture">
                      <pic:pic>
                        <pic:nvPicPr>
                          <pic:cNvPr descr="images/figures/IEflow.png" id="29" name="Picture"/>
                          <pic:cNvPicPr>
                            <a:picLocks noChangeArrowheads="1" noChangeAspect="1"/>
                          </pic:cNvPicPr>
                        </pic:nvPicPr>
                        <pic:blipFill>
                          <a:blip r:embed="rId27"/>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0"/>
        </w:tc>
      </w:tr>
    </w:tbl>
    <w:bookmarkEnd w:id="31"/>
    <w:bookmarkEnd w:id="32"/>
    <w:bookmarkStart w:id="56"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1" w:name="sec-theory-probability"/>
    <w:p>
      <w:pPr>
        <w:pStyle w:val="Heading2"/>
      </w:pPr>
      <w:r>
        <w:t xml:space="preserve">Probabilitics assumptions of the scientific model</w:t>
      </w:r>
    </w:p>
    <w:p>
      <w:pPr>
        <w:pStyle w:val="FirstParagraph"/>
      </w:pPr>
      <w:bookmarkStart w:id="50" w:name="eq-StructuralMode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box>
                  <m:boxPr>
                    <m:opEmu m:val="on"/>
                  </m:boxPr>
                  <m:e>
                    <m:r>
                      <m:rPr>
                        <m:sty m:val="p"/>
                      </m:rPr>
                      <m:t>:=</m:t>
                    </m:r>
                  </m:e>
                </m:box>
              </m:e>
              <m:e>
                <m:r>
                  <m:t> </m:t>
                </m:r>
                <m:sSub>
                  <m:e>
                    <m:r>
                      <m:t>f</m:t>
                    </m:r>
                  </m:e>
                  <m:sub>
                    <m:r>
                      <m:t>D</m:t>
                    </m:r>
                  </m:sub>
                </m:sSub>
                <m:d>
                  <m:dPr>
                    <m:begChr m:val="("/>
                    <m:endChr m:val=")"/>
                    <m:sepChr m:val=""/>
                    <m:grow/>
                  </m:dPr>
                  <m:e>
                    <m:sSub>
                      <m:e>
                        <m:r>
                          <m:t>γ</m:t>
                        </m:r>
                      </m:e>
                      <m:sub>
                        <m:r>
                          <m:t>k</m:t>
                        </m:r>
                      </m:sub>
                    </m:sSub>
                    <m:r>
                      <m:rPr>
                        <m:sty m:val="p"/>
                      </m:rPr>
                      <m:t>,</m:t>
                    </m:r>
                    <m:sSub>
                      <m:e>
                        <m:r>
                          <m:t>θ</m:t>
                        </m:r>
                      </m:e>
                      <m:sub>
                        <m:r>
                          <m:t>i</m:t>
                        </m:r>
                        <m:sSub>
                          <m:e>
                            <m:r>
                              <m:t>r</m:t>
                            </m:r>
                          </m:e>
                          <m:sub>
                            <m:r>
                              <m:t>i</m:t>
                            </m:r>
                          </m:sub>
                        </m:sSub>
                      </m:sub>
                    </m:sSub>
                  </m:e>
                </m:d>
              </m:e>
            </m:mr>
            <m:mr>
              <m:e>
                <m:sSub>
                  <m:e>
                    <m:r>
                      <m:t>γ</m:t>
                    </m:r>
                  </m:e>
                  <m:sub>
                    <m:r>
                      <m:t>k</m:t>
                    </m:r>
                  </m:sub>
                </m:sSub>
                <m:box>
                  <m:boxPr>
                    <m:opEmu m:val="on"/>
                  </m:boxPr>
                  <m:e>
                    <m:r>
                      <m:rPr>
                        <m:sty m:val="p"/>
                      </m:rPr>
                      <m:t>:=</m:t>
                    </m:r>
                  </m:e>
                </m:box>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box>
                  <m:boxPr>
                    <m:opEmu m:val="on"/>
                  </m:boxPr>
                  <m:e>
                    <m:r>
                      <m:rPr>
                        <m:sty m:val="p"/>
                      </m:rPr>
                      <m:t>:=</m:t>
                    </m:r>
                  </m:e>
                </m:box>
              </m:e>
              <m:e>
                <m:r>
                  <m:t> </m:t>
                </m:r>
                <m:sSub>
                  <m:e>
                    <m:r>
                      <m:t>f</m:t>
                    </m:r>
                  </m:e>
                  <m:sub>
                    <m:r>
                      <m:t>R</m:t>
                    </m:r>
                  </m:sub>
                </m:sSub>
                <m:d>
                  <m:dPr>
                    <m:begChr m:val="("/>
                    <m:endChr m:val=")"/>
                    <m:sepChr m:val=""/>
                    <m:grow/>
                  </m:dPr>
                  <m:e>
                    <m:sSub>
                      <m:e>
                        <m:r>
                          <m:t>θ</m:t>
                        </m:r>
                      </m:e>
                      <m:sub>
                        <m:r>
                          <m:t>i</m:t>
                        </m:r>
                      </m:sub>
                    </m:sSub>
                    <m:r>
                      <m:rPr>
                        <m:sty m:val="p"/>
                      </m:rPr>
                      <m:t>,</m:t>
                    </m:r>
                    <m:sSub>
                      <m:e>
                        <m:r>
                          <m:t>Y</m:t>
                        </m:r>
                      </m:e>
                      <m:sub>
                        <m:r>
                          <m:t>r</m:t>
                        </m:r>
                      </m:sub>
                    </m:sSub>
                    <m:r>
                      <m:rPr>
                        <m:sty m:val="p"/>
                      </m:rPr>
                      <m:t>,</m:t>
                    </m:r>
                    <m:sSub>
                      <m:e>
                        <m:r>
                          <m:t>e</m:t>
                        </m:r>
                      </m:e>
                      <m:sub>
                        <m:sSub>
                          <m:e>
                            <m:r>
                              <m:t>r</m:t>
                            </m:r>
                          </m:e>
                          <m:sub>
                            <m:r>
                              <m:t>i</m:t>
                            </m:r>
                          </m:sub>
                        </m:sSub>
                      </m:sub>
                    </m:sSub>
                  </m:e>
                </m:d>
              </m:e>
            </m:mr>
            <m:mr>
              <m:e>
                <m:sSub>
                  <m:e>
                    <m:r>
                      <m:t>θ</m:t>
                    </m:r>
                  </m:e>
                  <m:sub>
                    <m:r>
                      <m:t>i</m:t>
                    </m:r>
                  </m:sub>
                </m:sSub>
                <m:box>
                  <m:boxPr>
                    <m:opEmu m:val="on"/>
                  </m:boxPr>
                  <m:e>
                    <m:r>
                      <m:rPr>
                        <m:sty m:val="p"/>
                      </m:rPr>
                      <m:t>:=</m:t>
                    </m:r>
                  </m:e>
                </m:box>
              </m:e>
              <m:e>
                <m:r>
                  <m:t> </m:t>
                </m:r>
                <m:sSub>
                  <m:e>
                    <m:r>
                      <m:t>f</m:t>
                    </m:r>
                  </m:e>
                  <m:sub>
                    <m:r>
                      <m:t>T</m:t>
                    </m:r>
                  </m:sub>
                </m:sSub>
                <m:d>
                  <m:dPr>
                    <m:begChr m:val="("/>
                    <m:endChr m:val=")"/>
                    <m:sepChr m:val=""/>
                    <m:grow/>
                  </m:dPr>
                  <m:e>
                    <m:sSub>
                      <m:e>
                        <m:r>
                          <m:t>X</m:t>
                        </m:r>
                      </m:e>
                      <m:sub>
                        <m:r>
                          <m:t>i</m:t>
                        </m:r>
                      </m:sub>
                    </m:sSub>
                    <m:r>
                      <m:rPr>
                        <m:sty m:val="p"/>
                      </m:rPr>
                      <m:t>,</m:t>
                    </m:r>
                    <m:sSub>
                      <m:e>
                        <m:r>
                          <m:t>e</m:t>
                        </m:r>
                      </m:e>
                      <m:sub>
                        <m:r>
                          <m:t>i</m:t>
                        </m:r>
                      </m:sub>
                    </m:sSub>
                  </m:e>
                </m:d>
              </m:e>
            </m:mr>
            <m:mr>
              <m:e/>
              <m:e>
                <m:r>
                  <m:t> </m:t>
                </m:r>
                <m:sSub>
                  <m:e>
                    <m:r>
                      <m:t>e</m:t>
                    </m:r>
                  </m:e>
                  <m:sub>
                    <m:r>
                      <m:t>k</m:t>
                    </m:r>
                  </m:sub>
                </m:sSub>
                <m:r>
                  <m:rPr>
                    <m:sty m:val="p"/>
                  </m:rPr>
                  <m:t>⊥</m:t>
                </m:r>
                <m:r>
                  <m:t>​</m:t>
                </m:r>
                <m:r>
                  <m:t>​</m:t>
                </m:r>
                <m:r>
                  <m:t>​</m:t>
                </m:r>
                <m:r>
                  <m:rPr>
                    <m:sty m:val="p"/>
                  </m:rPr>
                  <m:t>⊥</m:t>
                </m:r>
                <m:sSub>
                  <m:e>
                    <m:r>
                      <m:t>e</m:t>
                    </m:r>
                  </m:e>
                  <m:sub>
                    <m:r>
                      <m:t>i</m:t>
                    </m:r>
                  </m:sub>
                </m:sSub>
              </m:e>
            </m:mr>
            <m:mr>
              <m:e/>
              <m:e>
                <m:r>
                  <m:t> </m:t>
                </m:r>
                <m:sSub>
                  <m:e>
                    <m:r>
                      <m:t>e</m:t>
                    </m:r>
                  </m:e>
                  <m:sub>
                    <m:r>
                      <m:t>k</m:t>
                    </m:r>
                  </m:sub>
                </m:sSub>
                <m:r>
                  <m:rPr>
                    <m:sty m:val="p"/>
                  </m:rPr>
                  <m:t>⊥</m:t>
                </m:r>
                <m:r>
                  <m:t>​</m:t>
                </m:r>
                <m:r>
                  <m:t>​</m:t>
                </m:r>
                <m:r>
                  <m:t>​</m:t>
                </m:r>
                <m:r>
                  <m:rPr>
                    <m:sty m:val="p"/>
                  </m:rPr>
                  <m:t>⊥</m:t>
                </m:r>
                <m:sSub>
                  <m:e>
                    <m:r>
                      <m:t>e</m:t>
                    </m:r>
                  </m:e>
                  <m:sub>
                    <m:sSub>
                      <m:e>
                        <m:r>
                          <m:t>r</m:t>
                        </m:r>
                      </m:e>
                      <m:sub>
                        <m:r>
                          <m:t>i</m:t>
                        </m:r>
                      </m:sub>
                    </m:sSub>
                  </m:sub>
                </m:sSub>
              </m:e>
            </m:mr>
            <m:mr>
              <m:e/>
              <m:e>
                <m:r>
                  <m:t> </m:t>
                </m:r>
                <m:sSub>
                  <m:e>
                    <m:r>
                      <m:t>e</m:t>
                    </m:r>
                  </m:e>
                  <m:sub>
                    <m:r>
                      <m:t>i</m:t>
                    </m:r>
                  </m:sub>
                </m:sSub>
                <m:r>
                  <m:rPr>
                    <m:sty m:val="p"/>
                  </m:rPr>
                  <m:t>⊥</m:t>
                </m:r>
                <m:r>
                  <m:t>​</m:t>
                </m:r>
                <m:r>
                  <m:t>​</m:t>
                </m:r>
                <m:r>
                  <m:t>​</m:t>
                </m:r>
                <m:r>
                  <m:rPr>
                    <m:sty m:val="p"/>
                  </m:rPr>
                  <m:t>⊥</m:t>
                </m:r>
                <m:sSub>
                  <m:e>
                    <m:r>
                      <m:t>e</m:t>
                    </m:r>
                  </m:e>
                  <m:sub>
                    <m:sSub>
                      <m:e>
                        <m:r>
                          <m:t>r</m:t>
                        </m:r>
                      </m:e>
                      <m:sub>
                        <m:r>
                          <m:t>i</m:t>
                        </m:r>
                      </m:sub>
                    </m:sSub>
                  </m:sub>
                </m:sSub>
              </m:e>
            </m:mr>
          </m:m>
          <m:r>
            <m:t>  </m:t>
          </m:r>
          <m:d>
            <m:dPr>
              <m:begChr m:val="("/>
              <m:endChr m:val=")"/>
              <m:sepChr m:val=""/>
              <m:grow/>
            </m:dPr>
            <m:e>
              <m:r>
                <m:t>1</m:t>
              </m:r>
            </m:e>
          </m:d>
        </m:oMath>
      </m:oMathPara>
      <w:bookmarkEnd w:id="50"/>
    </w:p>
    <w:bookmarkEnd w:id="51"/>
    <w:bookmarkStart w:id="53" w:name="sec-theory-statistics"/>
    <w:p>
      <w:pPr>
        <w:pStyle w:val="Heading2"/>
      </w:pPr>
      <w:r>
        <w:t xml:space="preserve">From the scientific to statistical model</w:t>
      </w:r>
    </w:p>
    <w:p>
      <w:pPr>
        <w:pStyle w:val="FirstParagraph"/>
      </w:pPr>
      <w:bookmarkStart w:id="52" w:name="eq-StatModel_general"/>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r>
                  <m:rPr>
                    <m:sty m:val="p"/>
                  </m:rPr>
                  <m:t>∼</m:t>
                </m:r>
              </m:e>
              <m:e>
                <m:r>
                  <m:t> </m:t>
                </m:r>
                <m:r>
                  <m:rPr>
                    <m:nor/>
                    <m:sty m:val="p"/>
                  </m:rPr>
                  <m:t>Bernoulli</m:t>
                </m:r>
                <m:d>
                  <m:dPr>
                    <m:begChr m:val="["/>
                    <m:endChr m:val="]"/>
                    <m:sepChr m:val=""/>
                    <m:grow/>
                  </m:dPr>
                  <m:e>
                    <m:r>
                      <m:t> </m:t>
                    </m:r>
                    <m:r>
                      <m:t>l</m:t>
                    </m:r>
                    <m:r>
                      <m:t>o</m:t>
                    </m:r>
                    <m:r>
                      <m:t>g</m:t>
                    </m:r>
                    <m:r>
                      <m:t>i</m:t>
                    </m:r>
                    <m:sSup>
                      <m:e>
                        <m:r>
                          <m:t>t</m:t>
                        </m:r>
                      </m:e>
                      <m:sup>
                        <m:r>
                          <m:rPr>
                            <m:sty m:val="p"/>
                          </m:rPr>
                          <m:t>−</m:t>
                        </m:r>
                        <m:r>
                          <m:t>1</m:t>
                        </m:r>
                      </m:sup>
                    </m:sSup>
                    <m:d>
                      <m:dPr>
                        <m:begChr m:val="("/>
                        <m:endChr m:val=")"/>
                        <m:sepChr m:val=""/>
                        <m:grow/>
                      </m:dPr>
                      <m:e>
                        <m:sSub>
                          <m:e>
                            <m:r>
                              <m:t>δ</m:t>
                            </m:r>
                          </m:e>
                          <m:sub>
                            <m:r>
                              <m:t>k</m:t>
                            </m:r>
                            <m:r>
                              <m:t>i</m:t>
                            </m:r>
                            <m:r>
                              <m:t>j</m:t>
                            </m:r>
                            <m:sSub>
                              <m:e>
                                <m:r>
                                  <m:t>r</m:t>
                                </m:r>
                              </m:e>
                              <m:sub>
                                <m:r>
                                  <m:t>i</m:t>
                                </m:r>
                                <m:r>
                                  <m:t>j</m:t>
                                </m:r>
                              </m:sub>
                            </m:sSub>
                          </m:sub>
                        </m:sSub>
                      </m:e>
                    </m:d>
                    <m:r>
                      <m:t> </m:t>
                    </m:r>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r>
                  <m:t>l</m:t>
                </m:r>
                <m:r>
                  <m:t>o</m:t>
                </m:r>
                <m:r>
                  <m:t>g</m:t>
                </m:r>
                <m:r>
                  <m:t>i</m:t>
                </m:r>
                <m:sSup>
                  <m:e>
                    <m:r>
                      <m:t>t</m:t>
                    </m:r>
                  </m:e>
                  <m:sup>
                    <m:r>
                      <m:rPr>
                        <m:sty m:val="p"/>
                      </m:rPr>
                      <m:t>−</m:t>
                    </m:r>
                    <m:r>
                      <m:t>1</m:t>
                    </m:r>
                  </m:sup>
                </m:sSup>
                <m:d>
                  <m:dPr>
                    <m:begChr m:val="["/>
                    <m:endChr m:val="]"/>
                    <m:sepChr m:val=""/>
                    <m:grow/>
                  </m:dPr>
                  <m:e>
                    <m:sSub>
                      <m:e>
                        <m:r>
                          <m:t>β</m:t>
                        </m:r>
                      </m:e>
                      <m:sub>
                        <m:r>
                          <m:t>Z</m:t>
                        </m:r>
                      </m:sub>
                    </m:sSub>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2</m:t>
              </m:r>
            </m:e>
          </m:d>
        </m:oMath>
      </m:oMathPara>
      <w:bookmarkEnd w:id="52"/>
    </w:p>
    <w:p>
      <w:pPr>
        <w:pStyle w:val="FirstParagraph"/>
      </w:pPr>
      <w:r>
        <w:t xml:space="preserve">for identification purposes we can set</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k</m:t>
                </m:r>
                <m:d>
                  <m:dPr>
                    <m:begChr m:val="("/>
                    <m:endChr m:val=")"/>
                    <m:sepChr m:val=""/>
                    <m:grow/>
                  </m:dPr>
                  <m:e>
                    <m:r>
                      <m:t>g</m:t>
                    </m:r>
                  </m:e>
                </m:d>
              </m:sub>
            </m:sSub>
          </m:e>
        </m:nary>
        <m:r>
          <m:rPr>
            <m:sty m:val="p"/>
          </m:rPr>
          <m:t>=</m:t>
        </m:r>
        <m:r>
          <m:t>0.02</m:t>
        </m:r>
      </m:oMath>
      <w:r>
        <w:t xml:space="preserve">,</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i</m:t>
                </m:r>
                <m:d>
                  <m:dPr>
                    <m:begChr m:val="("/>
                    <m:endChr m:val=")"/>
                    <m:sepChr m:val=""/>
                    <m:grow/>
                  </m:dPr>
                  <m:e>
                    <m:r>
                      <m:t>g</m:t>
                    </m:r>
                  </m:e>
                </m:d>
              </m:sub>
            </m:sSub>
          </m:e>
        </m:nary>
        <m:r>
          <m:rPr>
            <m:sty m:val="p"/>
          </m:rPr>
          <m:t>=</m:t>
        </m:r>
        <m:r>
          <m:t>1</m:t>
        </m:r>
      </m:oMath>
      <w:r>
        <w:t xml:space="preserve">, and</w:t>
      </w:r>
      <w:r>
        <w:t xml:space="preserve"> </w:t>
      </w:r>
      <m:oMath>
        <m:f>
          <m:fPr>
            <m:type m:val="bar"/>
          </m:fPr>
          <m:num>
            <m:r>
              <m:t>1</m:t>
            </m:r>
          </m:num>
          <m:den>
            <m:r>
              <m:t>G</m:t>
            </m:r>
          </m:den>
        </m:f>
        <m:nary>
          <m:naryPr>
            <m:chr m:val="∑"/>
            <m:limLoc m:val="undOvr"/>
            <m:subHide m:val="off"/>
            <m:supHide m:val="off"/>
          </m:naryPr>
          <m:sub>
            <m:r>
              <m:t>g</m:t>
            </m:r>
            <m:r>
              <m:rPr>
                <m:sty m:val="p"/>
              </m:rPr>
              <m:t>=</m:t>
            </m:r>
            <m:r>
              <m:t>1</m:t>
            </m:r>
          </m:sub>
          <m:sup>
            <m:r>
              <m:t>G</m:t>
            </m:r>
          </m:sup>
          <m:e>
            <m:sSub>
              <m:e>
                <m:r>
                  <m:t>σ</m:t>
                </m:r>
              </m:e>
              <m:sub>
                <m:r>
                  <m:t>r</m:t>
                </m:r>
                <m:d>
                  <m:dPr>
                    <m:begChr m:val="("/>
                    <m:endChr m:val=")"/>
                    <m:sepChr m:val=""/>
                    <m:grow/>
                  </m:dPr>
                  <m:e>
                    <m:r>
                      <m:t>g</m:t>
                    </m:r>
                  </m:e>
                </m:d>
              </m:sub>
            </m:sSub>
          </m:e>
        </m:nary>
        <m:r>
          <m:rPr>
            <m:sty m:val="p"/>
          </m:rPr>
          <m:t>=</m:t>
        </m:r>
        <m:r>
          <m:t>1</m:t>
        </m:r>
      </m:oMath>
      <w:r>
        <w:t xml:space="preserve">. A special case of this would be to assume that the data comes from the same population, in that case,</w:t>
      </w:r>
      <w:r>
        <w:t xml:space="preserve"> </w:t>
      </w:r>
      <m:oMath>
        <m:sSub>
          <m:e>
            <m:r>
              <m:t>σ</m:t>
            </m:r>
          </m:e>
          <m:sub>
            <m:r>
              <m:t>k</m:t>
            </m:r>
            <m:d>
              <m:dPr>
                <m:begChr m:val="("/>
                <m:endChr m:val=")"/>
                <m:sepChr m:val=""/>
                <m:grow/>
              </m:dPr>
              <m:e>
                <m:r>
                  <m:t>g</m:t>
                </m:r>
              </m:e>
            </m:d>
          </m:sub>
        </m:sSub>
        <m:r>
          <m:rPr>
            <m:sty m:val="p"/>
          </m:rPr>
          <m:t>=</m:t>
        </m:r>
        <m:sSub>
          <m:e>
            <m:r>
              <m:t>σ</m:t>
            </m:r>
          </m:e>
          <m:sub>
            <m:r>
              <m:t>k</m:t>
            </m:r>
          </m:sub>
        </m:sSub>
        <m:r>
          <m:rPr>
            <m:sty m:val="p"/>
          </m:rPr>
          <m:t>=</m:t>
        </m:r>
        <m:r>
          <m:t>0.02</m:t>
        </m:r>
      </m:oMath>
      <w:r>
        <w:t xml:space="preserve">,</w:t>
      </w:r>
      <w:r>
        <w:t xml:space="preserve"> </w:t>
      </w:r>
      <m:oMath>
        <m:sSub>
          <m:e>
            <m:r>
              <m:t>σ</m:t>
            </m:r>
          </m:e>
          <m:sub>
            <m:r>
              <m:t>i</m:t>
            </m:r>
            <m:d>
              <m:dPr>
                <m:begChr m:val="("/>
                <m:endChr m:val=")"/>
                <m:sepChr m:val=""/>
                <m:grow/>
              </m:dPr>
              <m:e>
                <m:r>
                  <m:t>g</m:t>
                </m:r>
              </m:e>
            </m:d>
          </m:sub>
        </m:sSub>
        <m:r>
          <m:rPr>
            <m:sty m:val="p"/>
          </m:rPr>
          <m:t>=</m:t>
        </m:r>
        <m:sSub>
          <m:e>
            <m:r>
              <m:t>σ</m:t>
            </m:r>
          </m:e>
          <m:sub>
            <m:r>
              <m:t>i</m:t>
            </m:r>
          </m:sub>
        </m:sSub>
        <m:r>
          <m:rPr>
            <m:sty m:val="p"/>
          </m:rPr>
          <m:t>=</m:t>
        </m:r>
        <m:r>
          <m:t>1</m:t>
        </m:r>
      </m:oMath>
    </w:p>
    <w:bookmarkEnd w:id="53"/>
    <w:bookmarkStart w:id="55" w:name="sec-theory-thurstone"/>
    <w:p>
      <w:pPr>
        <w:pStyle w:val="Heading2"/>
      </w:pPr>
      <w:r>
        <w:t xml:space="preserve">Let’s talk about Thurstone</w:t>
      </w:r>
    </w:p>
    <w:p>
      <w:pPr>
        <w:pStyle w:val="FirstParagraph"/>
      </w:pPr>
      <w:r>
        <w:t xml:space="preserve">Thurstone’s comparative judgment</w:t>
      </w:r>
      <w:r>
        <w:t xml:space="preserve"> </w:t>
      </w:r>
      <w:r>
        <w:t xml:space="preserve">Thurstone (1927)</w:t>
      </w:r>
      <w:r>
        <w:t xml:space="preserve"> </w:t>
      </w:r>
      <w:r>
        <w:t xml:space="preserve">is based on the formula:</w:t>
      </w:r>
    </w:p>
    <w:p>
      <w:pPr>
        <w:pStyle w:val="BodyText"/>
      </w:pPr>
      <m:oMathPara>
        <m:oMathParaPr>
          <m:jc m:val="center"/>
        </m:oMathParaPr>
        <m:oMath>
          <m:sSub>
            <m:e>
              <m:r>
                <m:t>X</m:t>
              </m:r>
            </m:e>
            <m:sub>
              <m:r>
                <m:t>A</m:t>
              </m:r>
              <m:r>
                <m:t>B</m:t>
              </m:r>
            </m:sub>
          </m:sSub>
          <m:r>
            <m:rPr>
              <m:sty m:val="p"/>
            </m:rPr>
            <m:t>=</m:t>
          </m:r>
          <m:f>
            <m:fPr>
              <m:type m:val="bar"/>
            </m:fPr>
            <m:num>
              <m:sSub>
                <m:e>
                  <m:r>
                    <m:t>S</m:t>
                  </m:r>
                </m:e>
                <m:sub>
                  <m:r>
                    <m:t>A</m:t>
                  </m:r>
                </m:sub>
              </m:sSub>
              <m:r>
                <m:rPr>
                  <m:sty m:val="p"/>
                </m:rPr>
                <m:t>−</m:t>
              </m:r>
              <m:sSub>
                <m:e>
                  <m:r>
                    <m:t>S</m:t>
                  </m:r>
                </m:e>
                <m:sub>
                  <m:r>
                    <m:t>B</m:t>
                  </m:r>
                </m:sub>
              </m:sSub>
            </m:num>
            <m:den>
              <m:sSub>
                <m:e>
                  <m:r>
                    <m:t>σ</m:t>
                  </m:r>
                </m:e>
                <m:sub>
                  <m:r>
                    <m:t>A</m:t>
                  </m:r>
                  <m:r>
                    <m:t>B</m:t>
                  </m:r>
                </m:sub>
              </m:sSub>
            </m:den>
          </m:f>
        </m:oMath>
      </m:oMathPara>
    </w:p>
    <w:p>
      <w:pPr>
        <w:pStyle w:val="FirstParagraph"/>
      </w:pPr>
      <w:r>
        <w:t xml:space="preserve">where</w:t>
      </w:r>
      <w:r>
        <w:t xml:space="preserve"> </w:t>
      </w:r>
      <m:oMath>
        <m:sSub>
          <m:e>
            <m:r>
              <m:t>X</m:t>
            </m:r>
          </m:e>
          <m:sub>
            <m:r>
              <m:t>A</m:t>
            </m:r>
            <m:r>
              <m:t>B</m:t>
            </m:r>
          </m:sub>
        </m:sSub>
      </m:oMath>
      <w:r>
        <w:t xml:space="preserve"> </w:t>
      </w:r>
      <w:r>
        <w:t xml:space="preserve">defines the comparative judgment outcome,</w:t>
      </w:r>
      <w:r>
        <w:t xml:space="preserve"> </w:t>
      </w:r>
      <m:oMath>
        <m:sSub>
          <m:e>
            <m:r>
              <m:t>S</m:t>
            </m:r>
          </m:e>
          <m:sub>
            <m:r>
              <m:t>A</m:t>
            </m:r>
          </m:sub>
        </m:sSub>
      </m:oMath>
      <w:r>
        <w:t xml:space="preserve"> </w:t>
      </w:r>
      <w:r>
        <w:t xml:space="preserve">and</w:t>
      </w:r>
      <w:r>
        <w:t xml:space="preserve"> </w:t>
      </w:r>
      <m:oMath>
        <m:sSub>
          <m:e>
            <m:r>
              <m:t>S</m:t>
            </m:r>
          </m:e>
          <m:sub>
            <m:r>
              <m:t>B</m:t>
            </m:r>
          </m:sub>
        </m:sSub>
      </m:oMath>
      <w:r>
        <w:t xml:space="preserve"> </w:t>
      </w:r>
      <w:r>
        <w:t xml:space="preserve">are the modal discriminal processes,</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r>
              <m:rPr>
                <m:sty m:val="p"/>
              </m:rPr>
              <m:t>+</m:t>
            </m:r>
            <m:r>
              <m:t>2</m:t>
            </m:r>
            <m:r>
              <m:t>ρ</m:t>
            </m:r>
            <m:sSub>
              <m:e>
                <m:r>
                  <m:t>σ</m:t>
                </m:r>
              </m:e>
              <m:sub>
                <m:r>
                  <m:t>A</m:t>
                </m:r>
              </m:sub>
            </m:sSub>
            <m:sSub>
              <m:e>
                <m:r>
                  <m:t>σ</m:t>
                </m:r>
              </m:e>
              <m:sub>
                <m:r>
                  <m:t>B</m:t>
                </m:r>
              </m:sub>
            </m:sSub>
          </m:e>
        </m:rad>
      </m:oMath>
      <w:r>
        <w:t xml:space="preserve">, with</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being the dispersion of discriminal processes</w:t>
      </w:r>
      <w:r>
        <w:t xml:space="preserve"> </w:t>
      </w:r>
      <m:oMath>
        <m:r>
          <m:t>A</m:t>
        </m:r>
      </m:oMath>
      <w:r>
        <w:t xml:space="preserve"> </w:t>
      </w:r>
      <w:r>
        <w:t xml:space="preserve">and</w:t>
      </w:r>
      <w:r>
        <w:t xml:space="preserve"> </w:t>
      </w:r>
      <m:oMath>
        <m:r>
          <m:t>B</m:t>
        </m:r>
      </m:oMath>
      <w:r>
        <w:t xml:space="preserve">, respectively, and</w:t>
      </w:r>
      <w:r>
        <w:t xml:space="preserve"> </w:t>
      </w:r>
      <m:oMath>
        <m:r>
          <m:t>ρ</m:t>
        </m:r>
      </m:oMath>
      <w:r>
        <w:t xml:space="preserve"> </w:t>
      </w:r>
      <w:r>
        <w:t xml:space="preserve">the correlation between discriminal processes.</w:t>
      </w:r>
    </w:p>
    <w:p>
      <w:pPr>
        <w:pStyle w:val="BodyText"/>
      </w:pPr>
      <w:r>
        <w:t xml:space="preserve">The theory identifies five cases:</w:t>
      </w:r>
    </w:p>
    <w:p>
      <w:pPr>
        <w:pStyle w:val="Compact"/>
        <w:numPr>
          <w:ilvl w:val="0"/>
          <w:numId w:val="1001"/>
        </w:numPr>
      </w:pPr>
      <w:r>
        <w:rPr>
          <w:b/>
          <w:bCs/>
        </w:rPr>
        <w:t xml:space="preserve">Case 1:</w:t>
      </w:r>
      <w:r>
        <w:t xml:space="preserve"> </w:t>
      </w:r>
      <w:r>
        <w:t xml:space="preserve">only constant</w:t>
      </w:r>
      <w:r>
        <w:t xml:space="preserve"> </w:t>
      </w:r>
      <m:oMath>
        <m:r>
          <m:t>ρ</m:t>
        </m:r>
      </m:oMath>
      <w:r>
        <w:t xml:space="preserve"> </w:t>
      </w:r>
      <w:r>
        <w:t xml:space="preserve">(not</w:t>
      </w:r>
      <w:r>
        <w:t xml:space="preserve"> </w:t>
      </w:r>
      <m:oMath>
        <m:sSub>
          <m:e>
            <m:r>
              <m:t>ρ</m:t>
            </m:r>
          </m:e>
          <m:sub>
            <m:r>
              <m:t>i</m:t>
            </m:r>
            <m:r>
              <m:t>j</m:t>
            </m:r>
          </m:sub>
        </m:sSub>
      </m:oMath>
      <w:r>
        <w:t xml:space="preserve">)</w:t>
      </w:r>
    </w:p>
    <w:p>
      <w:pPr>
        <w:pStyle w:val="Compact"/>
        <w:numPr>
          <w:ilvl w:val="0"/>
          <w:numId w:val="1001"/>
        </w:numPr>
      </w:pPr>
      <w:r>
        <w:rPr>
          <w:b/>
          <w:bCs/>
        </w:rPr>
        <w:t xml:space="preserve">Case 2:</w:t>
      </w:r>
      <w:r>
        <w:t xml:space="preserve"> </w:t>
      </w:r>
      <m:oMath>
        <m:sSub>
          <m:e>
            <m:r>
              <m:t>X</m:t>
            </m:r>
          </m:e>
          <m:sub>
            <m:r>
              <m:t>i</m:t>
            </m:r>
            <m:r>
              <m:t>j</m:t>
            </m:r>
          </m:sub>
        </m:sSub>
      </m:oMath>
      <w:r>
        <w:t xml:space="preserve"> </w:t>
      </w:r>
      <w:r>
        <w:t xml:space="preserve">becomes</w:t>
      </w:r>
      <w:r>
        <w:t xml:space="preserve"> </w:t>
      </w:r>
      <m:oMath>
        <m:sSub>
          <m:e>
            <m:r>
              <m:t>X</m:t>
            </m:r>
          </m:e>
          <m:sub>
            <m:r>
              <m:t>k</m:t>
            </m:r>
            <m:r>
              <m:t>i</m:t>
            </m:r>
            <m:r>
              <m:t>j</m:t>
            </m:r>
          </m:sub>
        </m:sSub>
      </m:oMath>
      <w:r>
        <w:t xml:space="preserve"> </w:t>
      </w:r>
      <w:r>
        <w:t xml:space="preserve">with</w:t>
      </w:r>
      <w:r>
        <w:t xml:space="preserve"> </w:t>
      </w:r>
      <m:oMath>
        <m:r>
          <m:t>k</m:t>
        </m:r>
        <m:r>
          <m:rPr>
            <m:sty m:val="p"/>
          </m:rPr>
          <m:t>=</m:t>
        </m:r>
        <m:r>
          <m:t>1</m:t>
        </m:r>
        <m:r>
          <m:rPr>
            <m:sty m:val="p"/>
          </m:rPr>
          <m:t>,</m:t>
        </m:r>
        <m:r>
          <m:rPr>
            <m:sty m:val="p"/>
          </m:rPr>
          <m:t>…</m:t>
        </m:r>
        <m:r>
          <m:rPr>
            <m:sty m:val="p"/>
          </m:rPr>
          <m:t>,</m:t>
        </m:r>
        <m:r>
          <m:t>K</m:t>
        </m:r>
      </m:oMath>
      <w:r>
        <w:t xml:space="preserve"> </w:t>
      </w:r>
      <w:r>
        <w:t xml:space="preserve">judges (replication, not duplication)</w:t>
      </w:r>
    </w:p>
    <w:p>
      <w:pPr>
        <w:pStyle w:val="Compact"/>
        <w:numPr>
          <w:ilvl w:val="0"/>
          <w:numId w:val="1001"/>
        </w:numPr>
      </w:pPr>
      <w:r>
        <w:rPr>
          <w:b/>
          <w:bCs/>
        </w:rPr>
        <w:t xml:space="preserve">Case 3:</w:t>
      </w:r>
      <w:r>
        <w:t xml:space="preserve"> </w:t>
      </w:r>
      <m:oMath>
        <m:r>
          <m:t>ρ</m:t>
        </m:r>
        <m:r>
          <m:rPr>
            <m:sty m:val="p"/>
          </m:rPr>
          <m:t>=</m:t>
        </m:r>
        <m:r>
          <m:t>0</m:t>
        </m:r>
      </m:oMath>
      <w:r>
        <w:t xml:space="preserve">,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1"/>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1"/>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Now using the DAG and statistical notation</w:t>
      </w:r>
    </w:p>
    <w:p>
      <w:pPr>
        <w:pStyle w:val="BodyText"/>
      </w:pPr>
      <w:bookmarkStart w:id="54" w:name="eq-StatModel_thurstone"/>
      <m:oMathPara>
        <m:oMathParaPr>
          <m:jc m:val="center"/>
        </m:oMathParaPr>
        <m:oMath>
          <m:m>
            <m:mPr>
              <m:baseJc m:val="center"/>
              <m:plcHide m:val="on"/>
              <m:mcs>
                <m:mc>
                  <m:mcPr>
                    <m:mcJc m:val="right"/>
                    <m:count m:val="1"/>
                  </m:mcPr>
                </m:mc>
                <m:mc>
                  <m:mcPr>
                    <m:mcJc m:val="left"/>
                    <m:count m:val="1"/>
                  </m:mcPr>
                </m:mc>
              </m:mcs>
            </m:mPr>
            <m:mr>
              <m:e>
                <m:sSub>
                  <m:e>
                    <m:r>
                      <m:t>O</m:t>
                    </m:r>
                  </m:e>
                  <m:sub>
                    <m:r>
                      <m:t>k</m:t>
                    </m:r>
                    <m:r>
                      <m:t>i</m:t>
                    </m:r>
                    <m:r>
                      <m:t>j</m:t>
                    </m:r>
                    <m:sSub>
                      <m:e>
                        <m:r>
                          <m:t>r</m:t>
                        </m:r>
                      </m:e>
                      <m:sub>
                        <m:r>
                          <m:t>i</m:t>
                        </m:r>
                        <m:r>
                          <m:t>j</m:t>
                        </m:r>
                      </m:sub>
                    </m:sSub>
                  </m:sub>
                </m:sSub>
                <m:box>
                  <m:boxPr>
                    <m:opEmu m:val="on"/>
                  </m:boxPr>
                  <m:e>
                    <m:r>
                      <m:rPr>
                        <m:sty m:val="p"/>
                      </m:rPr>
                      <m:t>:=</m:t>
                    </m:r>
                  </m:e>
                </m:box>
              </m:e>
              <m:e>
                <m:r>
                  <m:t> </m:t>
                </m:r>
                <m:sSub>
                  <m:e>
                    <m:r>
                      <m:t>f</m:t>
                    </m:r>
                  </m:e>
                  <m:sub>
                    <m:r>
                      <m:t>O</m:t>
                    </m:r>
                  </m:sub>
                </m:sSub>
                <m:d>
                  <m:dPr>
                    <m:begChr m:val="("/>
                    <m:endChr m:val=")"/>
                    <m:sepChr m:val=""/>
                    <m:grow/>
                  </m:dPr>
                  <m:e>
                    <m:sSub>
                      <m:e>
                        <m:r>
                          <m:t>δ</m:t>
                        </m:r>
                      </m:e>
                      <m:sub>
                        <m:r>
                          <m:t>k</m:t>
                        </m:r>
                        <m:r>
                          <m:t>i</m:t>
                        </m:r>
                        <m:r>
                          <m:t>j</m:t>
                        </m:r>
                        <m:sSub>
                          <m:e>
                            <m:r>
                              <m:t>r</m:t>
                            </m:r>
                          </m:e>
                          <m:sub>
                            <m:r>
                              <m:t>i</m:t>
                            </m:r>
                            <m:r>
                              <m:t>j</m:t>
                            </m:r>
                          </m:sub>
                        </m:sSub>
                      </m:sub>
                    </m:sSub>
                  </m:e>
                </m:d>
              </m:e>
            </m:mr>
            <m:mr>
              <m:e>
                <m:sSub>
                  <m:e>
                    <m:r>
                      <m:t>δ</m:t>
                    </m:r>
                  </m:e>
                  <m:sub>
                    <m:r>
                      <m:t>k</m:t>
                    </m:r>
                    <m:r>
                      <m:t>i</m:t>
                    </m:r>
                    <m:r>
                      <m:t>j</m:t>
                    </m:r>
                    <m:sSub>
                      <m:e>
                        <m:r>
                          <m:t>r</m:t>
                        </m:r>
                      </m:e>
                      <m:sub>
                        <m:r>
                          <m:t>i</m:t>
                        </m:r>
                        <m:r>
                          <m:t>j</m:t>
                        </m:r>
                      </m:sub>
                    </m:sSub>
                  </m:sub>
                </m:sSub>
                <m:r>
                  <m:rPr>
                    <m:sty m:val="p"/>
                  </m:rPr>
                  <m:t>=</m:t>
                </m:r>
              </m:e>
              <m:e>
                <m:r>
                  <m:t> </m:t>
                </m:r>
                <m:sSub>
                  <m:e>
                    <m:r>
                      <m:t>γ</m:t>
                    </m:r>
                  </m:e>
                  <m:sub>
                    <m:r>
                      <m:t>k</m:t>
                    </m:r>
                  </m:sub>
                </m:sSub>
                <m:d>
                  <m:dPr>
                    <m:begChr m:val="("/>
                    <m:endChr m:val=")"/>
                    <m:sepChr m:val=""/>
                    <m:grow/>
                  </m:dPr>
                  <m:e>
                    <m:sSub>
                      <m:e>
                        <m:r>
                          <m:t>θ</m:t>
                        </m:r>
                      </m:e>
                      <m:sub>
                        <m:r>
                          <m:t>i</m:t>
                        </m:r>
                        <m:sSub>
                          <m:e>
                            <m:r>
                              <m:t>r</m:t>
                            </m:r>
                          </m:e>
                          <m:sub>
                            <m:r>
                              <m:t>i</m:t>
                            </m:r>
                          </m:sub>
                        </m:sSub>
                      </m:sub>
                    </m:sSub>
                    <m:r>
                      <m:rPr>
                        <m:sty m:val="p"/>
                      </m:rPr>
                      <m:t>−</m:t>
                    </m:r>
                    <m:sSub>
                      <m:e>
                        <m:r>
                          <m:t>θ</m:t>
                        </m:r>
                      </m:e>
                      <m:sub>
                        <m:r>
                          <m:t>j</m:t>
                        </m:r>
                        <m:sSub>
                          <m:e>
                            <m:r>
                              <m:t>r</m:t>
                            </m:r>
                          </m:e>
                          <m:sub>
                            <m:r>
                              <m:t>j</m:t>
                            </m:r>
                          </m:sub>
                        </m:sSub>
                      </m:sub>
                    </m:sSub>
                  </m:e>
                </m:d>
              </m:e>
            </m:mr>
            <m:mr>
              <m:e>
                <m:sSub>
                  <m:e>
                    <m:r>
                      <m:t>γ</m:t>
                    </m:r>
                  </m:e>
                  <m:sub>
                    <m:r>
                      <m:t>k</m:t>
                    </m:r>
                  </m:sub>
                </m:sSub>
                <m:r>
                  <m:rPr>
                    <m:sty m:val="p"/>
                  </m:rPr>
                  <m:t>=</m:t>
                </m:r>
              </m:e>
              <m:e>
                <m:r>
                  <m:t> </m:t>
                </m:r>
                <m:sSub>
                  <m:e>
                    <m:r>
                      <m:t>f</m:t>
                    </m:r>
                  </m:e>
                  <m:sub>
                    <m:r>
                      <m:t>G</m:t>
                    </m:r>
                  </m:sub>
                </m:sSub>
                <m:d>
                  <m:dPr>
                    <m:begChr m:val="("/>
                    <m:endChr m:val=")"/>
                    <m:sepChr m:val=""/>
                    <m:grow/>
                  </m:dPr>
                  <m:e>
                    <m:sSub>
                      <m:e>
                        <m:r>
                          <m:t>Z</m:t>
                        </m:r>
                      </m:e>
                      <m:sub>
                        <m:r>
                          <m:t>k</m:t>
                        </m:r>
                      </m:sub>
                    </m:sSub>
                    <m:r>
                      <m:rPr>
                        <m:sty m:val="p"/>
                      </m:rPr>
                      <m:t>,</m:t>
                    </m:r>
                    <m:sSub>
                      <m:e>
                        <m:r>
                          <m:t>e</m:t>
                        </m:r>
                      </m:e>
                      <m:sub>
                        <m:r>
                          <m:t>k</m:t>
                        </m:r>
                      </m:sub>
                    </m:sSub>
                  </m:e>
                </m:d>
              </m:e>
            </m:mr>
            <m:mr>
              <m:e>
                <m:sSub>
                  <m:e>
                    <m:r>
                      <m:t>θ</m:t>
                    </m:r>
                  </m:e>
                  <m:sub>
                    <m:r>
                      <m:t>i</m:t>
                    </m:r>
                    <m:sSub>
                      <m:e>
                        <m:r>
                          <m:t>r</m:t>
                        </m:r>
                      </m:e>
                      <m:sub>
                        <m:r>
                          <m:t>i</m:t>
                        </m:r>
                      </m:sub>
                    </m:sSub>
                  </m:sub>
                </m:sSub>
                <m:r>
                  <m:rPr>
                    <m:sty m:val="p"/>
                  </m:rPr>
                  <m:t>=</m:t>
                </m:r>
              </m:e>
              <m:e>
                <m:r>
                  <m:t> </m:t>
                </m:r>
                <m:sSub>
                  <m:e>
                    <m:r>
                      <m:t>θ</m:t>
                    </m:r>
                  </m:e>
                  <m:sub>
                    <m:r>
                      <m:t>i</m:t>
                    </m:r>
                  </m:sub>
                </m:sSub>
                <m:r>
                  <m:rPr>
                    <m:sty m:val="p"/>
                  </m:rPr>
                  <m:t>+</m:t>
                </m:r>
                <m:sSub>
                  <m:e>
                    <m:r>
                      <m:t>β</m:t>
                    </m:r>
                  </m:e>
                  <m:sub>
                    <m:r>
                      <m:t>Y</m:t>
                    </m:r>
                  </m:sub>
                </m:sSub>
                <m:sSub>
                  <m:e>
                    <m:r>
                      <m:t>Y</m:t>
                    </m:r>
                  </m:e>
                  <m:sub>
                    <m:r>
                      <m:t>r</m:t>
                    </m:r>
                  </m:sub>
                </m:sSub>
                <m:r>
                  <m:rPr>
                    <m:sty m:val="p"/>
                  </m:rPr>
                  <m:t>+</m:t>
                </m:r>
                <m:sSub>
                  <m:e>
                    <m:r>
                      <m:t>e</m:t>
                    </m:r>
                  </m:e>
                  <m:sub>
                    <m:sSub>
                      <m:e>
                        <m:r>
                          <m:t>r</m:t>
                        </m:r>
                      </m:e>
                      <m:sub>
                        <m:r>
                          <m:t>i</m:t>
                        </m:r>
                      </m:sub>
                    </m:sSub>
                  </m:sub>
                </m:sSub>
              </m:e>
            </m:mr>
            <m:mr>
              <m:e>
                <m:sSub>
                  <m:e>
                    <m:r>
                      <m:t>θ</m:t>
                    </m:r>
                  </m:e>
                  <m:sub>
                    <m:r>
                      <m:t>i</m:t>
                    </m:r>
                  </m:sub>
                </m:sSub>
                <m:r>
                  <m:rPr>
                    <m:sty m:val="p"/>
                  </m:rPr>
                  <m:t>=</m:t>
                </m:r>
              </m:e>
              <m:e>
                <m:r>
                  <m:t> </m:t>
                </m:r>
                <m:sSub>
                  <m:e>
                    <m:r>
                      <m:t>β</m:t>
                    </m:r>
                  </m:e>
                  <m:sub>
                    <m:r>
                      <m:t>X</m:t>
                    </m:r>
                  </m:sub>
                </m:sSub>
                <m:sSub>
                  <m:e>
                    <m:r>
                      <m:t>X</m:t>
                    </m:r>
                  </m:e>
                  <m:sub>
                    <m:r>
                      <m:t>i</m:t>
                    </m:r>
                  </m:sub>
                </m:sSub>
                <m:r>
                  <m:rPr>
                    <m:sty m:val="p"/>
                  </m:rPr>
                  <m:t>+</m:t>
                </m:r>
                <m:sSub>
                  <m:e>
                    <m:r>
                      <m:t>e</m:t>
                    </m:r>
                  </m:e>
                  <m:sub>
                    <m:r>
                      <m:t>i</m:t>
                    </m:r>
                  </m:sub>
                </m:sSub>
              </m:e>
            </m:mr>
            <m:mr>
              <m:e>
                <m:sSub>
                  <m:e>
                    <m:r>
                      <m:t>e</m:t>
                    </m:r>
                  </m:e>
                  <m:sub>
                    <m:r>
                      <m:t>k</m:t>
                    </m:r>
                  </m:sub>
                </m:sSub>
                <m:r>
                  <m:rPr>
                    <m:sty m:val="p"/>
                  </m:rPr>
                  <m:t>∼</m:t>
                </m:r>
              </m:e>
              <m:e>
                <m:r>
                  <m:t> </m:t>
                </m:r>
                <m:r>
                  <m:rPr>
                    <m:nor/>
                    <m:sty m:val="p"/>
                  </m:rPr>
                  <m:t>Normal</m:t>
                </m:r>
                <m:d>
                  <m:dPr>
                    <m:begChr m:val="("/>
                    <m:endChr m:val=")"/>
                    <m:sepChr m:val=""/>
                    <m:grow/>
                  </m:dPr>
                  <m:e>
                    <m:r>
                      <m:t>0</m:t>
                    </m:r>
                    <m:r>
                      <m:rPr>
                        <m:sty m:val="p"/>
                      </m:rPr>
                      <m:t>,</m:t>
                    </m:r>
                    <m:sSub>
                      <m:e>
                        <m:r>
                          <m:t>σ</m:t>
                        </m:r>
                      </m:e>
                      <m:sub>
                        <m:r>
                          <m:t>k</m:t>
                        </m:r>
                        <m:d>
                          <m:dPr>
                            <m:begChr m:val="("/>
                            <m:endChr m:val=")"/>
                            <m:sepChr m:val=""/>
                            <m:grow/>
                          </m:dPr>
                          <m:e>
                            <m:r>
                              <m:t>g</m:t>
                            </m:r>
                          </m:e>
                        </m:d>
                      </m:sub>
                    </m:sSub>
                  </m:e>
                </m:d>
              </m:e>
            </m:mr>
            <m:mr>
              <m:e>
                <m:sSub>
                  <m:e>
                    <m:r>
                      <m:t>e</m:t>
                    </m:r>
                  </m:e>
                  <m:sub>
                    <m:r>
                      <m:t>i</m:t>
                    </m:r>
                  </m:sub>
                </m:sSub>
                <m:r>
                  <m:rPr>
                    <m:sty m:val="p"/>
                  </m:rPr>
                  <m:t>∼</m:t>
                </m:r>
              </m:e>
              <m:e>
                <m:r>
                  <m:t> </m:t>
                </m:r>
                <m:r>
                  <m:rPr>
                    <m:nor/>
                    <m:sty m:val="p"/>
                  </m:rPr>
                  <m:t>Normal</m:t>
                </m:r>
                <m:d>
                  <m:dPr>
                    <m:begChr m:val="("/>
                    <m:endChr m:val=")"/>
                    <m:sepChr m:val=""/>
                    <m:grow/>
                  </m:dPr>
                  <m:e>
                    <m:r>
                      <m:t>0</m:t>
                    </m:r>
                    <m:r>
                      <m:rPr>
                        <m:sty m:val="p"/>
                      </m:rPr>
                      <m:t>,</m:t>
                    </m:r>
                    <m:sSub>
                      <m:e>
                        <m:r>
                          <m:t>σ</m:t>
                        </m:r>
                      </m:e>
                      <m:sub>
                        <m:r>
                          <m:t>i</m:t>
                        </m:r>
                        <m:d>
                          <m:dPr>
                            <m:begChr m:val="("/>
                            <m:endChr m:val=")"/>
                            <m:sepChr m:val=""/>
                            <m:grow/>
                          </m:dPr>
                          <m:e>
                            <m:r>
                              <m:t>g</m:t>
                            </m:r>
                          </m:e>
                        </m:d>
                      </m:sub>
                    </m:sSub>
                  </m:e>
                </m:d>
              </m:e>
            </m:mr>
            <m:mr>
              <m:e>
                <m:sSub>
                  <m:e>
                    <m:r>
                      <m:t>e</m:t>
                    </m:r>
                  </m:e>
                  <m:sub>
                    <m:sSub>
                      <m:e>
                        <m:r>
                          <m:t>r</m:t>
                        </m:r>
                      </m:e>
                      <m:sub>
                        <m:r>
                          <m:t>i</m:t>
                        </m:r>
                      </m:sub>
                    </m:sSub>
                  </m:sub>
                </m:sSub>
                <m:r>
                  <m:rPr>
                    <m:sty m:val="p"/>
                  </m:rPr>
                  <m:t>∼</m:t>
                </m:r>
              </m:e>
              <m:e>
                <m:r>
                  <m:t> </m:t>
                </m:r>
                <m:r>
                  <m:rPr>
                    <m:nor/>
                    <m:sty m:val="p"/>
                  </m:rPr>
                  <m:t>Normal</m:t>
                </m:r>
                <m:d>
                  <m:dPr>
                    <m:begChr m:val="("/>
                    <m:endChr m:val=")"/>
                    <m:sepChr m:val=""/>
                    <m:grow/>
                  </m:dPr>
                  <m:e>
                    <m:r>
                      <m:t>0</m:t>
                    </m:r>
                    <m:r>
                      <m:rPr>
                        <m:sty m:val="p"/>
                      </m:rPr>
                      <m:t>,</m:t>
                    </m:r>
                    <m:sSub>
                      <m:e>
                        <m:r>
                          <m:t>σ</m:t>
                        </m:r>
                      </m:e>
                      <m:sub>
                        <m:r>
                          <m:t>r</m:t>
                        </m:r>
                        <m:d>
                          <m:dPr>
                            <m:begChr m:val="("/>
                            <m:endChr m:val=")"/>
                            <m:sepChr m:val=""/>
                            <m:grow/>
                          </m:dPr>
                          <m:e>
                            <m:r>
                              <m:t>g</m:t>
                            </m:r>
                          </m:e>
                        </m:d>
                      </m:sub>
                    </m:sSub>
                  </m:e>
                </m:d>
              </m:e>
            </m:mr>
          </m:m>
          <m:r>
            <m:t>  </m:t>
          </m:r>
          <m:d>
            <m:dPr>
              <m:begChr m:val="("/>
              <m:endChr m:val=")"/>
              <m:sepChr m:val=""/>
              <m:grow/>
            </m:dPr>
            <m:e>
              <m:r>
                <m:t>3</m:t>
              </m:r>
            </m:e>
          </m:d>
        </m:oMath>
      </m:oMathPara>
      <w:bookmarkEnd w:id="54"/>
    </w:p>
    <w:p>
      <w:pPr>
        <w:pStyle w:val="FirstParagraph"/>
      </w:pPr>
      <w:r>
        <w:t xml:space="preserve">The theory identifies five cases:</w:t>
      </w:r>
    </w:p>
    <w:p>
      <w:pPr>
        <w:pStyle w:val="Compact"/>
        <w:numPr>
          <w:ilvl w:val="0"/>
          <w:numId w:val="1002"/>
        </w:numPr>
      </w:pPr>
      <w:r>
        <w:rPr>
          <w:b/>
          <w:bCs/>
        </w:rPr>
        <w:t xml:space="preserve">Case 1:</w:t>
      </w:r>
      <w:r>
        <w:t xml:space="preserve"> </w:t>
      </w:r>
      <w:r>
        <w:t xml:space="preserve">only constant</w:t>
      </w:r>
      <w:r>
        <w:t xml:space="preserve"> </w:t>
      </w:r>
      <m:oMath>
        <m:r>
          <m:t>ρ</m:t>
        </m:r>
        <m:r>
          <m:rPr>
            <m:sty m:val="p"/>
          </m:rPr>
          <m:t>≈</m:t>
        </m:r>
        <m:sSub>
          <m:e>
            <m:r>
              <m:t>σ</m:t>
            </m:r>
          </m:e>
          <m:sub>
            <m:r>
              <m:t>i</m:t>
            </m:r>
          </m:sub>
        </m:sSub>
      </m:oMath>
    </w:p>
    <w:p>
      <w:pPr>
        <w:pStyle w:val="Compact"/>
        <w:numPr>
          <w:ilvl w:val="0"/>
          <w:numId w:val="1002"/>
        </w:numPr>
      </w:pPr>
      <w:r>
        <w:rPr>
          <w:b/>
          <w:bCs/>
        </w:rPr>
        <w:t xml:space="preserve">Case 2:</w:t>
      </w:r>
      <w:r>
        <w:t xml:space="preserve"> </w:t>
      </w:r>
      <w:r>
        <w:t xml:space="preserve">now judges are separated by using</w:t>
      </w:r>
      <w:r>
        <w:t xml:space="preserve"> </w:t>
      </w:r>
      <m:oMath>
        <m:sSub>
          <m:e>
            <m:r>
              <m:t>γ</m:t>
            </m:r>
          </m:e>
          <m:sub>
            <m:r>
              <m:t>k</m:t>
            </m:r>
          </m:sub>
        </m:sSub>
      </m:oMath>
    </w:p>
    <w:p>
      <w:pPr>
        <w:pStyle w:val="Compact"/>
        <w:numPr>
          <w:ilvl w:val="0"/>
          <w:numId w:val="1002"/>
        </w:numPr>
      </w:pPr>
      <w:r>
        <w:rPr>
          <w:b/>
          <w:bCs/>
        </w:rPr>
        <w:t xml:space="preserve">Case 3:</w:t>
      </w:r>
      <w:r>
        <w:t xml:space="preserve"> </w:t>
      </w:r>
      <m:oMath>
        <m:r>
          <m:t>ρ</m:t>
        </m:r>
        <m:r>
          <m:rPr>
            <m:sty m:val="p"/>
          </m:rPr>
          <m:t>≈</m:t>
        </m:r>
        <m:sSub>
          <m:e>
            <m:r>
              <m:t>σ</m:t>
            </m:r>
          </m:e>
          <m:sub>
            <m:sSub>
              <m:e>
                <m:r>
                  <m:t>e</m:t>
                </m:r>
              </m:e>
              <m:sub>
                <m:r>
                  <m:t>i</m:t>
                </m:r>
              </m:sub>
            </m:sSub>
          </m:sub>
        </m:sSub>
        <m:r>
          <m:rPr>
            <m:sty m:val="p"/>
          </m:rPr>
          <m:t>=</m:t>
        </m:r>
        <m:r>
          <m:t>0</m:t>
        </m:r>
      </m:oMath>
      <w:r>
        <w:t xml:space="preserve"> </w:t>
      </w:r>
      <w:r>
        <w:t xml:space="preserve">(no nesting of texts on students), then</w:t>
      </w:r>
      <w:r>
        <w:t xml:space="preserve"> </w:t>
      </w:r>
      <m:oMath>
        <m:sSub>
          <m:e>
            <m:r>
              <m:t>σ</m:t>
            </m:r>
          </m:e>
          <m:sub>
            <m:r>
              <m:t>A</m:t>
            </m:r>
            <m:r>
              <m:t>B</m:t>
            </m:r>
          </m:sub>
        </m:sSub>
        <m:r>
          <m:rPr>
            <m:sty m:val="p"/>
          </m:rPr>
          <m:t>=</m:t>
        </m:r>
        <m:rad>
          <m:radPr>
            <m:degHide m:val="on"/>
          </m:radPr>
          <m:deg/>
          <m:e>
            <m:sSubSup>
              <m:e>
                <m:r>
                  <m:t>σ</m:t>
                </m:r>
              </m:e>
              <m:sub>
                <m:r>
                  <m:t>A</m:t>
                </m:r>
              </m:sub>
              <m:sup>
                <m:r>
                  <m:t>2</m:t>
                </m:r>
              </m:sup>
            </m:sSubSup>
            <m:r>
              <m:rPr>
                <m:sty m:val="p"/>
              </m:rPr>
              <m:t>+</m:t>
            </m:r>
            <m:sSubSup>
              <m:e>
                <m:r>
                  <m:t>σ</m:t>
                </m:r>
              </m:e>
              <m:sub>
                <m:r>
                  <m:t>B</m:t>
                </m:r>
              </m:sub>
              <m:sup>
                <m:r>
                  <m:t>2</m:t>
                </m:r>
              </m:sup>
            </m:sSubSup>
          </m:e>
        </m:rad>
      </m:oMath>
    </w:p>
    <w:p>
      <w:pPr>
        <w:pStyle w:val="Compact"/>
        <w:numPr>
          <w:ilvl w:val="0"/>
          <w:numId w:val="1002"/>
        </w:numPr>
      </w:pPr>
      <w:r>
        <w:rPr>
          <w:b/>
          <w:bCs/>
        </w:rPr>
        <w:t xml:space="preserve">Case 4:</w:t>
      </w:r>
      <w:r>
        <w:t xml:space="preserve"> </w:t>
      </w:r>
      <m:oMath>
        <m:sSub>
          <m:e>
            <m:r>
              <m:t>σ</m:t>
            </m:r>
          </m:e>
          <m:sub>
            <m:r>
              <m:t>B</m:t>
            </m:r>
          </m:sub>
        </m:sSub>
        <m:r>
          <m:rPr>
            <m:sty m:val="p"/>
          </m:rPr>
          <m:t>=</m:t>
        </m:r>
        <m:sSub>
          <m:e>
            <m:r>
              <m:t>σ</m:t>
            </m:r>
          </m:e>
          <m:sub>
            <m:r>
              <m:t>A</m:t>
            </m:r>
          </m:sub>
        </m:sSub>
        <m:r>
          <m:rPr>
            <m:sty m:val="p"/>
          </m:rPr>
          <m:t>+</m:t>
        </m:r>
        <m:r>
          <m:t>d</m:t>
        </m:r>
      </m:oMath>
      <w:r>
        <w:t xml:space="preserve">, then</w:t>
      </w:r>
      <w:r>
        <w:t xml:space="preserve"> </w:t>
      </w:r>
      <m:oMath>
        <m:sSub>
          <m:e>
            <m:r>
              <m:rPr>
                <m:sty m:val="p"/>
              </m:rPr>
              <m:t>lim</m:t>
            </m:r>
          </m:e>
          <m:sub>
            <m:r>
              <m:t>d</m:t>
            </m:r>
            <m:r>
              <m:rPr>
                <m:sty m:val="p"/>
              </m:rPr>
              <m:t>≤</m:t>
            </m:r>
            <m:r>
              <m:t>0.1</m:t>
            </m:r>
            <m:sSub>
              <m:e>
                <m:r>
                  <m:t>σ</m:t>
                </m:r>
              </m:e>
              <m:sub>
                <m:r>
                  <m:t>A</m:t>
                </m:r>
              </m:sub>
            </m:sSub>
          </m:sub>
        </m:sSub>
        <m:sSub>
          <m:e>
            <m:r>
              <m:t>σ</m:t>
            </m:r>
          </m:e>
          <m:sub>
            <m:r>
              <m:t>A</m:t>
            </m:r>
            <m:r>
              <m:t>B</m:t>
            </m:r>
          </m:sub>
        </m:sSub>
        <m:r>
          <m:rPr>
            <m:sty m:val="p"/>
          </m:rPr>
          <m:t>=</m:t>
        </m:r>
        <m:d>
          <m:dPr>
            <m:begChr m:val="("/>
            <m:endChr m:val=")"/>
            <m:sepChr m:val=""/>
            <m:grow/>
          </m:dPr>
          <m:e>
            <m:sSub>
              <m:e>
                <m:r>
                  <m:t>σ</m:t>
                </m:r>
              </m:e>
              <m:sub>
                <m:r>
                  <m:t>A</m:t>
                </m:r>
              </m:sub>
            </m:sSub>
            <m:r>
              <m:rPr>
                <m:sty m:val="p"/>
              </m:rPr>
              <m:t>+</m:t>
            </m:r>
            <m:sSub>
              <m:e>
                <m:r>
                  <m:t>σ</m:t>
                </m:r>
              </m:e>
              <m:sub>
                <m:r>
                  <m:t>B</m:t>
                </m:r>
              </m:sub>
            </m:sSub>
          </m:e>
        </m:d>
        <m:r>
          <m:rPr>
            <m:sty m:val="p"/>
          </m:rPr>
          <m:t>/</m:t>
        </m:r>
        <m:rad>
          <m:radPr>
            <m:degHide m:val="on"/>
          </m:radPr>
          <m:deg/>
          <m:e>
            <m:r>
              <m:t>2</m:t>
            </m:r>
          </m:e>
        </m:rad>
      </m:oMath>
    </w:p>
    <w:p>
      <w:pPr>
        <w:pStyle w:val="Compact"/>
        <w:numPr>
          <w:ilvl w:val="0"/>
          <w:numId w:val="1002"/>
        </w:numPr>
      </w:pPr>
      <w:r>
        <w:rPr>
          <w:b/>
          <w:bCs/>
        </w:rPr>
        <w:t xml:space="preserve">Case 5:</w:t>
      </w:r>
      <w:r>
        <w:t xml:space="preserve"> </w:t>
      </w:r>
      <m:oMath>
        <m:sSub>
          <m:e>
            <m:r>
              <m:t>σ</m:t>
            </m:r>
          </m:e>
          <m:sub>
            <m:r>
              <m:t>B</m:t>
            </m:r>
          </m:sub>
        </m:sSub>
        <m:r>
          <m:rPr>
            <m:sty m:val="p"/>
          </m:rPr>
          <m:t>=</m:t>
        </m:r>
        <m:sSub>
          <m:e>
            <m:r>
              <m:t>σ</m:t>
            </m:r>
          </m:e>
          <m:sub>
            <m:r>
              <m:t>A</m:t>
            </m:r>
          </m:sub>
        </m:sSub>
      </m:oMath>
      <w:r>
        <w:t xml:space="preserve">, then</w:t>
      </w:r>
      <w:r>
        <w:t xml:space="preserve"> </w:t>
      </w:r>
      <m:oMath>
        <m:sSub>
          <m:e>
            <m:r>
              <m:t>σ</m:t>
            </m:r>
          </m:e>
          <m:sub>
            <m:r>
              <m:t>A</m:t>
            </m:r>
            <m:r>
              <m:t>B</m:t>
            </m:r>
          </m:sub>
        </m:sSub>
        <m:r>
          <m:rPr>
            <m:sty m:val="p"/>
          </m:rPr>
          <m:t>=</m:t>
        </m:r>
        <m:rad>
          <m:radPr>
            <m:degHide m:val="on"/>
          </m:radPr>
          <m:deg/>
          <m:e>
            <m:r>
              <m:t>2</m:t>
            </m:r>
          </m:e>
        </m:rad>
        <m:r>
          <m:t>σ</m:t>
        </m:r>
      </m:oMath>
    </w:p>
    <w:p>
      <w:pPr>
        <w:pStyle w:val="FirstParagraph"/>
      </w:pPr>
      <w:r>
        <w:t xml:space="preserve">But now can we see other scenarios than just those 5 cases?</w:t>
      </w:r>
    </w:p>
    <w:p>
      <w:pPr>
        <w:pStyle w:val="Compact"/>
        <w:numPr>
          <w:ilvl w:val="0"/>
          <w:numId w:val="1003"/>
        </w:numPr>
      </w:pPr>
      <w:r>
        <w:t xml:space="preserve">consider different</w:t>
      </w:r>
      <w:r>
        <w:t xml:space="preserve"> </w:t>
      </w:r>
      <m:oMath>
        <m:r>
          <m:t>ρ</m:t>
        </m:r>
        <m:r>
          <m:rPr>
            <m:sty m:val="p"/>
          </m:rPr>
          <m:t>≈</m:t>
        </m:r>
        <m:nary>
          <m:naryPr>
            <m:chr m:val="∑"/>
            <m:limLoc m:val="undOvr"/>
            <m:subHide m:val="off"/>
            <m:supHide m:val="off"/>
          </m:naryPr>
          <m:sub>
            <m:r>
              <m:t>p</m:t>
            </m:r>
            <m:r>
              <m:rPr>
                <m:sty m:val="p"/>
              </m:rPr>
              <m:t>=</m:t>
            </m:r>
            <m:r>
              <m:t>1</m:t>
            </m:r>
          </m:sub>
          <m:sup>
            <m:r>
              <m:t>P</m:t>
            </m:r>
          </m:sup>
          <m:e>
            <m:sSub>
              <m:e>
                <m:r>
                  <m:t>σ</m:t>
                </m:r>
              </m:e>
              <m:sub>
                <m:r>
                  <m:t>p</m:t>
                </m:r>
              </m:sub>
            </m:sSub>
          </m:e>
        </m:nary>
      </m:oMath>
      <w:r>
        <w:t xml:space="preserve">, depending on</w:t>
      </w:r>
      <w:r>
        <w:t xml:space="preserve"> </w:t>
      </w:r>
      <m:oMath>
        <m:r>
          <m:t>P</m:t>
        </m:r>
      </m:oMath>
      <w:r>
        <w:t xml:space="preserve"> </w:t>
      </w:r>
      <w:r>
        <w:t xml:space="preserve">nesting structures</w:t>
      </w:r>
    </w:p>
    <w:p>
      <w:pPr>
        <w:pStyle w:val="Compact"/>
        <w:numPr>
          <w:ilvl w:val="0"/>
          <w:numId w:val="1003"/>
        </w:numPr>
      </w:pPr>
      <w:r>
        <w:t xml:space="preserve">we can now investigate</w:t>
      </w:r>
      <w:r>
        <w:t xml:space="preserve"> </w:t>
      </w:r>
      <m:oMath>
        <m:sSub>
          <m:e>
            <m:r>
              <m:t>γ</m:t>
            </m:r>
          </m:e>
          <m:sub>
            <m:r>
              <m:t>k</m:t>
            </m:r>
          </m:sub>
        </m:sSub>
      </m:oMath>
    </w:p>
    <w:p>
      <w:pPr>
        <w:pStyle w:val="Compact"/>
        <w:numPr>
          <w:ilvl w:val="0"/>
          <w:numId w:val="1003"/>
        </w:numPr>
      </w:pPr>
      <w:r>
        <w:t xml:space="preserve">we can assume</w:t>
      </w:r>
      <w:r>
        <w:t xml:space="preserve"> </w:t>
      </w:r>
      <m:oMath>
        <m:sSub>
          <m:e>
            <m:r>
              <m:t>σ</m:t>
            </m:r>
          </m:e>
          <m:sub>
            <m:r>
              <m:t>B</m:t>
            </m:r>
          </m:sub>
        </m:sSub>
        <m:r>
          <m:rPr>
            <m:sty m:val="p"/>
          </m:rPr>
          <m:t>≠</m:t>
        </m:r>
        <m:sSub>
          <m:e>
            <m:r>
              <m:t>σ</m:t>
            </m:r>
          </m:e>
          <m:sub>
            <m:r>
              <m:t>A</m:t>
            </m:r>
          </m:sub>
        </m:sSub>
      </m:oMath>
      <w:r>
        <w:t xml:space="preserve">, no need for results on the limit</w:t>
      </w:r>
    </w:p>
    <w:bookmarkEnd w:id="55"/>
    <w:bookmarkEnd w:id="56"/>
    <w:bookmarkStart w:id="59" w:name="sec-discuss"/>
    <w:p>
      <w:pPr>
        <w:pStyle w:val="Heading1"/>
      </w:pPr>
      <w:r>
        <w:t xml:space="preserve">Discussion</w:t>
      </w:r>
    </w:p>
    <w:bookmarkStart w:id="57" w:name="sec-discuss-finding"/>
    <w:p>
      <w:pPr>
        <w:pStyle w:val="Heading2"/>
      </w:pPr>
      <w:r>
        <w:t xml:space="preserve">Findings</w:t>
      </w:r>
    </w:p>
    <w:bookmarkEnd w:id="57"/>
    <w:bookmarkStart w:id="58" w:name="sec-discuss-limitations"/>
    <w:p>
      <w:pPr>
        <w:pStyle w:val="Heading2"/>
      </w:pPr>
      <w:r>
        <w:t xml:space="preserve">Limitations and further research</w:t>
      </w:r>
    </w:p>
    <w:bookmarkEnd w:id="58"/>
    <w:bookmarkEnd w:id="59"/>
    <w:bookmarkStart w:id="60" w:name="sec-conclusion"/>
    <w:p>
      <w:pPr>
        <w:pStyle w:val="Heading1"/>
      </w:pPr>
      <w:r>
        <w:t xml:space="preserve">Conclusion</w:t>
      </w:r>
    </w:p>
    <w:p>
      <w:r>
        <w:br w:type="page"/>
      </w:r>
    </w:p>
    <w:bookmarkEnd w:id="60"/>
    <w:bookmarkStart w:id="62"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61">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62"/>
    <w:bookmarkStart w:id="130" w:name="sec-appendix"/>
    <w:p>
      <w:pPr>
        <w:pStyle w:val="Heading1"/>
      </w:pPr>
      <w:r>
        <w:t xml:space="preserve">Appendix</w:t>
      </w:r>
    </w:p>
    <w:bookmarkStart w:id="63" w:name="sec-appA"/>
    <w:p>
      <w:pPr>
        <w:pStyle w:val="Heading2"/>
      </w:pPr>
      <w:r>
        <w:t xml:space="preserve">Additional definitions</w:t>
      </w:r>
    </w:p>
    <w:bookmarkEnd w:id="63"/>
    <w:bookmarkStart w:id="64" w:name="sec-appB"/>
    <w:p>
      <w:pPr>
        <w:pStyle w:val="Heading2"/>
      </w:pPr>
      <w:r>
        <w:t xml:space="preserve">Why do we need to estimate judges’ abilities?</w:t>
      </w:r>
    </w:p>
    <w:p>
      <w:r>
        <w:br w:type="page"/>
      </w:r>
    </w:p>
    <w:bookmarkEnd w:id="64"/>
    <w:bookmarkStart w:id="129" w:name="references"/>
    <w:p>
      <w:pPr>
        <w:pStyle w:val="Heading2"/>
      </w:pPr>
      <w:r>
        <w:t xml:space="preserve">References</w:t>
      </w:r>
    </w:p>
    <w:bookmarkStart w:id="128" w:name="refs"/>
    <w:bookmarkStart w:id="66"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5">
        <w:r>
          <w:rPr>
            <w:rStyle w:val="Hyperlink"/>
          </w:rPr>
          <w:t xml:space="preserve">https://doi.org/10.2307/2347562</w:t>
        </w:r>
      </w:hyperlink>
      <w:r>
        <w:t xml:space="preserve">.</w:t>
      </w:r>
    </w:p>
    <w:bookmarkEnd w:id="66"/>
    <w:bookmarkStart w:id="68"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7">
        <w:r>
          <w:rPr>
            <w:rStyle w:val="Hyperlink"/>
          </w:rPr>
          <w:t xml:space="preserve">https://doi.org/10.1080/10627197.2018.1444986</w:t>
        </w:r>
      </w:hyperlink>
      <w:r>
        <w:t xml:space="preserve">.</w:t>
      </w:r>
    </w:p>
    <w:bookmarkEnd w:id="68"/>
    <w:bookmarkStart w:id="70"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9">
        <w:r>
          <w:rPr>
            <w:rStyle w:val="Hyperlink"/>
          </w:rPr>
          <w:t xml:space="preserve">https://doi.org/10.1007/978-3-030-52229-2_18</w:t>
        </w:r>
      </w:hyperlink>
      <w:r>
        <w:t xml:space="preserve">.</w:t>
      </w:r>
    </w:p>
    <w:bookmarkEnd w:id="70"/>
    <w:bookmarkStart w:id="7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71">
        <w:r>
          <w:rPr>
            <w:rStyle w:val="Hyperlink"/>
          </w:rPr>
          <w:t xml:space="preserve">https://doi.org/10.1016/j.jcomdis.2019.105969</w:t>
        </w:r>
      </w:hyperlink>
      <w:r>
        <w:t xml:space="preserve">.</w:t>
      </w:r>
    </w:p>
    <w:bookmarkEnd w:id="72"/>
    <w:bookmarkStart w:id="74"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3">
        <w:r>
          <w:rPr>
            <w:rStyle w:val="Hyperlink"/>
          </w:rPr>
          <w:t xml:space="preserve">https://doi.org/10.2307/2334029</w:t>
        </w:r>
      </w:hyperlink>
      <w:r>
        <w:t xml:space="preserve">.</w:t>
      </w:r>
    </w:p>
    <w:bookmarkEnd w:id="74"/>
    <w:bookmarkStart w:id="76" w:name="ref-Bramley_2015"/>
    <w:p>
      <w:pPr>
        <w:pStyle w:val="Bibliography"/>
      </w:pPr>
      <w:r>
        <w:t xml:space="preserve">Bramley, T. 2015.</w:t>
      </w:r>
      <w:r>
        <w:t xml:space="preserve"> </w:t>
      </w:r>
      <w:r>
        <w:t xml:space="preserve">“Investigating the Reliability of Adaptive Comparative Judgment.”</w:t>
      </w:r>
      <w:r>
        <w:t xml:space="preserve"> </w:t>
      </w:r>
      <w:hyperlink r:id="rId75">
        <w:r>
          <w:rPr>
            <w:rStyle w:val="Hyperlink"/>
          </w:rPr>
          <w:t xml:space="preserve">http://www.cambridgeassessment.org.uk/Images/232694-investigating-the-reliability-of-adaptive-comparative-judgment.pdf</w:t>
        </w:r>
      </w:hyperlink>
      <w:r>
        <w:t xml:space="preserve">.</w:t>
      </w:r>
    </w:p>
    <w:bookmarkEnd w:id="76"/>
    <w:bookmarkStart w:id="78"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7">
        <w:r>
          <w:rPr>
            <w:rStyle w:val="Hyperlink"/>
          </w:rPr>
          <w:t xml:space="preserve">https://doi.org/10.1080/0969594X.2017.1418734</w:t>
        </w:r>
      </w:hyperlink>
      <w:r>
        <w:t xml:space="preserve">.</w:t>
      </w:r>
    </w:p>
    <w:bookmarkEnd w:id="78"/>
    <w:bookmarkStart w:id="80" w:name="ref-Counterfactual_2024"/>
    <w:p>
      <w:pPr>
        <w:pStyle w:val="Bibliography"/>
      </w:pPr>
      <w:r>
        <w:t xml:space="preserve">Counterfactual. 2024.</w:t>
      </w:r>
      <w:r>
        <w:t xml:space="preserve"> </w:t>
      </w:r>
      <w:r>
        <w:t xml:space="preserve">“Merriam-Webster.com Dictionary.”</w:t>
      </w:r>
      <w:r>
        <w:t xml:space="preserve"> </w:t>
      </w:r>
      <w:hyperlink r:id="rId79">
        <w:r>
          <w:rPr>
            <w:rStyle w:val="Hyperlink"/>
          </w:rPr>
          <w:t xml:space="preserve">https://www.merriam-webster.com/dictionary/hacker</w:t>
        </w:r>
      </w:hyperlink>
      <w:r>
        <w:t xml:space="preserve">.</w:t>
      </w:r>
    </w:p>
    <w:bookmarkEnd w:id="80"/>
    <w:bookmarkStart w:id="82"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5">
        <w:r>
          <w:rPr>
            <w:rStyle w:val="Hyperlink"/>
          </w:rPr>
          <w:t xml:space="preserve">https://doi.org/10.1201/9780429425134</w:t>
        </w:r>
        <w:r>
          <w:rPr>
            <w:rStyle w:val="Hyperlink"/>
          </w:rPr>
          <w:t xml:space="preserve"> </w:t>
        </w:r>
      </w:hyperlink>
      <w:r>
        <w:t xml:space="preserve">.</w:t>
      </w:r>
    </w:p>
    <w:bookmarkEnd w:id="86"/>
    <w:bookmarkStart w:id="8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7">
        <w:r>
          <w:rPr>
            <w:rStyle w:val="Hyperlink"/>
          </w:rPr>
          <w:t xml:space="preserve">https://doi.org/10.1007/s10649-015-9607-1</w:t>
        </w:r>
      </w:hyperlink>
      <w:r>
        <w:t xml:space="preserve">.</w:t>
      </w:r>
    </w:p>
    <w:bookmarkEnd w:id="88"/>
    <w:bookmarkStart w:id="89"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9"/>
    <w:bookmarkStart w:id="91"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0">
        <w:r>
          <w:rPr>
            <w:rStyle w:val="Hyperlink"/>
          </w:rPr>
          <w:t xml:space="preserve">https://doi.org/10.1037/h0043178</w:t>
        </w:r>
      </w:hyperlink>
      <w:r>
        <w:t xml:space="preserve">.</w:t>
      </w:r>
    </w:p>
    <w:bookmarkEnd w:id="91"/>
    <w:bookmarkStart w:id="93"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2">
        <w:r>
          <w:rPr>
            <w:rStyle w:val="Hyperlink"/>
          </w:rPr>
          <w:t xml:space="preserve">https://doi.org/10.1007/s40841-020-00163-3</w:t>
        </w:r>
      </w:hyperlink>
      <w:r>
        <w:t xml:space="preserve">.</w:t>
      </w:r>
    </w:p>
    <w:bookmarkEnd w:id="93"/>
    <w:bookmarkStart w:id="95" w:name="ref-McElreath_2020"/>
    <w:p>
      <w:pPr>
        <w:pStyle w:val="Bibliography"/>
      </w:pPr>
      <w:r>
        <w:t xml:space="preserve">McElreath, R. 2020.</w:t>
      </w:r>
      <w:r>
        <w:t xml:space="preserve"> </w:t>
      </w:r>
      <w:hyperlink r:id="rId94">
        <w:r>
          <w:rPr>
            <w:rStyle w:val="Hyperlink"/>
            <w:i/>
            <w:iCs/>
          </w:rPr>
          <w:t xml:space="preserve">Statistical Rethinking: A Bayesian Course with Examples in r and STAN</w:t>
        </w:r>
      </w:hyperlink>
      <w:r>
        <w:t xml:space="preserve">. Chapman; Hall/CRC.</w:t>
      </w:r>
    </w:p>
    <w:bookmarkEnd w:id="95"/>
    <w:bookmarkStart w:id="97" w:name="ref-Neal_2020"/>
    <w:p>
      <w:pPr>
        <w:pStyle w:val="Bibliography"/>
      </w:pPr>
      <w:r>
        <w:t xml:space="preserve">Neal, B. 2020.</w:t>
      </w:r>
      <w:r>
        <w:t xml:space="preserve"> </w:t>
      </w:r>
      <w:r>
        <w:t xml:space="preserve">“Introduction to Causal Inference from a Machine Learning Perspective.”</w:t>
      </w:r>
      <w:r>
        <w:t xml:space="preserve"> </w:t>
      </w:r>
      <w:hyperlink r:id="rId96">
        <w:r>
          <w:rPr>
            <w:rStyle w:val="Hyperlink"/>
          </w:rPr>
          <w:t xml:space="preserve">https://www.bradyneal.com/Introduction_to_Causal_Inference-Dec17_2020-Neal.pdf</w:t>
        </w:r>
      </w:hyperlink>
      <w:r>
        <w:t xml:space="preserve">.</w:t>
      </w:r>
    </w:p>
    <w:bookmarkEnd w:id="97"/>
    <w:bookmarkStart w:id="99"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8">
        <w:r>
          <w:rPr>
            <w:rStyle w:val="Hyperlink"/>
          </w:rPr>
          <w:t xml:space="preserve">http://www.jstor.org/stable/2245382</w:t>
        </w:r>
      </w:hyperlink>
      <w:r>
        <w:t xml:space="preserve">.</w:t>
      </w:r>
    </w:p>
    <w:bookmarkEnd w:id="99"/>
    <w:bookmarkStart w:id="100" w:name="ref-Pearl_2009"/>
    <w:p>
      <w:pPr>
        <w:pStyle w:val="Bibliography"/>
      </w:pPr>
      <w:r>
        <w:t xml:space="preserve">Pearl, J. 2009.</w:t>
      </w:r>
      <w:r>
        <w:t xml:space="preserve"> </w:t>
      </w:r>
      <w:hyperlink r:id="rId94">
        <w:r>
          <w:rPr>
            <w:rStyle w:val="Hyperlink"/>
            <w:i/>
            <w:iCs/>
          </w:rPr>
          <w:t xml:space="preserve">Causality: Models, Reasoning and Inference</w:t>
        </w:r>
      </w:hyperlink>
      <w:r>
        <w:t xml:space="preserve">. Cambrige University Press.</w:t>
      </w:r>
    </w:p>
    <w:bookmarkEnd w:id="100"/>
    <w:bookmarkStart w:id="102"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01">
        <w:r>
          <w:rPr>
            <w:rStyle w:val="Hyperlink"/>
          </w:rPr>
          <w:t xml:space="preserve">https://doi.org/10.2202/1557-4679.1203</w:t>
        </w:r>
      </w:hyperlink>
      <w:r>
        <w:t xml:space="preserve">.</w:t>
      </w:r>
    </w:p>
    <w:bookmarkEnd w:id="102"/>
    <w:bookmarkStart w:id="103" w:name="ref-Pearl_et_al_2016"/>
    <w:p>
      <w:pPr>
        <w:pStyle w:val="Bibliography"/>
      </w:pPr>
      <w:r>
        <w:t xml:space="preserve">Pearl, J., M. Glymour, and N. Jewell. 2016.</w:t>
      </w:r>
      <w:r>
        <w:t xml:space="preserve"> </w:t>
      </w:r>
      <w:hyperlink r:id="rId94">
        <w:r>
          <w:rPr>
            <w:rStyle w:val="Hyperlink"/>
            <w:i/>
            <w:iCs/>
          </w:rPr>
          <w:t xml:space="preserve">Causal Inference in Statistics: A Primer</w:t>
        </w:r>
      </w:hyperlink>
      <w:r>
        <w:t xml:space="preserve">. John Wiley &amp; Sons, Inc.</w:t>
      </w:r>
    </w:p>
    <w:bookmarkEnd w:id="103"/>
    <w:bookmarkStart w:id="104" w:name="ref-Pearl_et_al_2018"/>
    <w:p>
      <w:pPr>
        <w:pStyle w:val="Bibliography"/>
      </w:pPr>
      <w:r>
        <w:t xml:space="preserve">Pearl, J., and D. Mackenzie. 2018.</w:t>
      </w:r>
      <w:r>
        <w:t xml:space="preserve"> </w:t>
      </w:r>
      <w:hyperlink r:id="rId94">
        <w:r>
          <w:rPr>
            <w:rStyle w:val="Hyperlink"/>
            <w:i/>
            <w:iCs/>
          </w:rPr>
          <w:t xml:space="preserve">The Book of Why: The New Science of Cause and Effect</w:t>
        </w:r>
      </w:hyperlink>
      <w:r>
        <w:t xml:space="preserve">. 1st ed. Basic Books, Inc.</w:t>
      </w:r>
    </w:p>
    <w:bookmarkEnd w:id="104"/>
    <w:bookmarkStart w:id="106"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5">
        <w:r>
          <w:rPr>
            <w:rStyle w:val="Hyperlink"/>
          </w:rPr>
          <w:t xml:space="preserve">https://doi.org/10.2307/2346567</w:t>
        </w:r>
      </w:hyperlink>
      <w:r>
        <w:t xml:space="preserve">.</w:t>
      </w:r>
    </w:p>
    <w:bookmarkEnd w:id="106"/>
    <w:bookmarkStart w:id="108"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7">
        <w:r>
          <w:rPr>
            <w:rStyle w:val="Hyperlink"/>
          </w:rPr>
          <w:t xml:space="preserve">https://doi.org/10.1007/s10798-011-9189-x</w:t>
        </w:r>
      </w:hyperlink>
      <w:r>
        <w:t xml:space="preserve">.</w:t>
      </w:r>
    </w:p>
    <w:bookmarkEnd w:id="108"/>
    <w:bookmarkStart w:id="11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9">
        <w:r>
          <w:rPr>
            <w:rStyle w:val="Hyperlink"/>
          </w:rPr>
          <w:t xml:space="preserve">https://doi.org/10.1080/0969594X.2012.665354</w:t>
        </w:r>
      </w:hyperlink>
      <w:r>
        <w:t xml:space="preserve">.</w:t>
      </w:r>
    </w:p>
    <w:bookmarkEnd w:id="110"/>
    <w:bookmarkStart w:id="11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11">
        <w:r>
          <w:rPr>
            <w:rStyle w:val="Hyperlink"/>
          </w:rPr>
          <w:t xml:space="preserve">https://doi.org/10.1037/h0037350</w:t>
        </w:r>
      </w:hyperlink>
      <w:r>
        <w:t xml:space="preserve">.</w:t>
      </w:r>
    </w:p>
    <w:bookmarkEnd w:id="112"/>
    <w:bookmarkStart w:id="11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3">
        <w:r>
          <w:rPr>
            <w:rStyle w:val="Hyperlink"/>
          </w:rPr>
          <w:t xml:space="preserve">https://web.archive.org/web/20141015135541/http://www.mhhe.com/socscience/psychology/shaugh/ch01_concepts.html</w:t>
        </w:r>
      </w:hyperlink>
      <w:r>
        <w:t xml:space="preserve">.</w:t>
      </w:r>
    </w:p>
    <w:bookmarkEnd w:id="114"/>
    <w:bookmarkStart w:id="11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5">
        <w:r>
          <w:rPr>
            <w:rStyle w:val="Hyperlink"/>
          </w:rPr>
          <w:t xml:space="preserve">https://doi.org/10.1037/h0070288</w:t>
        </w:r>
      </w:hyperlink>
      <w:r>
        <w:t xml:space="preserve">.</w:t>
      </w:r>
    </w:p>
    <w:bookmarkEnd w:id="116"/>
    <w:bookmarkStart w:id="118"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7">
        <w:r>
          <w:rPr>
            <w:rStyle w:val="Hyperlink"/>
          </w:rPr>
          <w:t xml:space="preserve">https://doi.org/10.1016/0022-2496(86)90034-9</w:t>
        </w:r>
      </w:hyperlink>
      <w:r>
        <w:t xml:space="preserve">.</w:t>
      </w:r>
    </w:p>
    <w:bookmarkEnd w:id="118"/>
    <w:bookmarkStart w:id="119"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9"/>
    <w:bookmarkStart w:id="121"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0">
        <w:r>
          <w:rPr>
            <w:rStyle w:val="Hyperlink"/>
          </w:rPr>
          <w:t xml:space="preserve">https://doi.org/10.1080/0969594X.2016.1253542</w:t>
        </w:r>
      </w:hyperlink>
      <w:r>
        <w:t xml:space="preserve">.</w:t>
      </w:r>
    </w:p>
    <w:bookmarkEnd w:id="121"/>
    <w:bookmarkStart w:id="123"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2">
        <w:r>
          <w:rPr>
            <w:rStyle w:val="Hyperlink"/>
          </w:rPr>
          <w:t xml:space="preserve">https://doi.org/10.3389/feduc.2017.00044</w:t>
        </w:r>
      </w:hyperlink>
      <w:r>
        <w:t xml:space="preserve">.</w:t>
      </w:r>
    </w:p>
    <w:bookmarkEnd w:id="123"/>
    <w:bookmarkStart w:id="12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4">
        <w:r>
          <w:rPr>
            <w:rStyle w:val="Hyperlink"/>
          </w:rPr>
          <w:t xml:space="preserve">https://doi.org/10.1080/0969594X.2019.1602027</w:t>
        </w:r>
      </w:hyperlink>
      <w:r>
        <w:t xml:space="preserve">.</w:t>
      </w:r>
    </w:p>
    <w:bookmarkEnd w:id="125"/>
    <w:bookmarkStart w:id="127"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6">
        <w:r>
          <w:rPr>
            <w:rStyle w:val="Hyperlink"/>
          </w:rPr>
          <w:t xml:space="preserve">https://books.google.co.ao/books/about/Journal_of_Agricultural_Research.html?hl=pt-PT&amp;id=lNNdIV_qpwIC</w:t>
        </w:r>
      </w:hyperlink>
      <w:r>
        <w:t xml:space="preserve">.</w:t>
      </w:r>
    </w:p>
    <w:bookmarkEnd w:id="127"/>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75" Target="http://www.cambridgeassessment.org.uk/Images/232694-investigating-the-reliability-of-adaptive-comparative-judgment.pdf" TargetMode="External" /><Relationship Type="http://schemas.openxmlformats.org/officeDocument/2006/relationships/hyperlink" Id="rId98" Target="http://www.jstor.org/stable/2245382" TargetMode="External" /><Relationship Type="http://schemas.openxmlformats.org/officeDocument/2006/relationships/hyperlink" Id="rId126" Target="https://books.google.co.ao/books/about/Journal_of_Agricultural_Research.html?hl=pt-PT&amp;id=lNNdIV_qpwIC" TargetMode="External" /><Relationship Type="http://schemas.openxmlformats.org/officeDocument/2006/relationships/hyperlink" Id="rId69" Target="https://doi.org/10.1007/978-3-030-52229-2_18" TargetMode="External" /><Relationship Type="http://schemas.openxmlformats.org/officeDocument/2006/relationships/hyperlink" Id="rId87" Target="https://doi.org/10.1007/s10649-015-9607-1" TargetMode="External" /><Relationship Type="http://schemas.openxmlformats.org/officeDocument/2006/relationships/hyperlink" Id="rId107" Target="https://doi.org/10.1007/s10798-011-9189-x" TargetMode="External" /><Relationship Type="http://schemas.openxmlformats.org/officeDocument/2006/relationships/hyperlink" Id="rId92" Target="https://doi.org/10.1007/s40841-020-00163-3" TargetMode="External" /><Relationship Type="http://schemas.openxmlformats.org/officeDocument/2006/relationships/hyperlink" Id="rId117" Target="https://doi.org/10.1016/0022-2496(86)90034-9" TargetMode="External" /><Relationship Type="http://schemas.openxmlformats.org/officeDocument/2006/relationships/hyperlink" Id="rId71" Target="https://doi.org/10.1016/j.jcomdis.2019.105969" TargetMode="External" /><Relationship Type="http://schemas.openxmlformats.org/officeDocument/2006/relationships/hyperlink" Id="rId111" Target="https://doi.org/10.1037/h0037350" TargetMode="External" /><Relationship Type="http://schemas.openxmlformats.org/officeDocument/2006/relationships/hyperlink" Id="rId90" Target="https://doi.org/10.1037/h0043178" TargetMode="External" /><Relationship Type="http://schemas.openxmlformats.org/officeDocument/2006/relationships/hyperlink" Id="rId115" Target="https://doi.org/10.1037/h0070288" TargetMode="External" /><Relationship Type="http://schemas.openxmlformats.org/officeDocument/2006/relationships/hyperlink" Id="rId109" Target="https://doi.org/10.1080/0969594X.2012.665354" TargetMode="External" /><Relationship Type="http://schemas.openxmlformats.org/officeDocument/2006/relationships/hyperlink" Id="rId120" Target="https://doi.org/10.1080/0969594X.2016.1253542" TargetMode="External" /><Relationship Type="http://schemas.openxmlformats.org/officeDocument/2006/relationships/hyperlink" Id="rId77" Target="https://doi.org/10.1080/0969594X.2017.1418734" TargetMode="External" /><Relationship Type="http://schemas.openxmlformats.org/officeDocument/2006/relationships/hyperlink" Id="rId124" Target="https://doi.org/10.1080/0969594X.2019.1602027" TargetMode="External" /><Relationship Type="http://schemas.openxmlformats.org/officeDocument/2006/relationships/hyperlink" Id="rId67" Target="https://doi.org/10.1080/10627197.2018.1444986" TargetMode="External" /><Relationship Type="http://schemas.openxmlformats.org/officeDocument/2006/relationships/hyperlink" Id="rId85" Target="https://doi.org/10.1201/9780429425134 " TargetMode="External" /><Relationship Type="http://schemas.openxmlformats.org/officeDocument/2006/relationships/hyperlink" Id="rId101" Target="https://doi.org/10.2202/1557-4679.1203" TargetMode="External" /><Relationship Type="http://schemas.openxmlformats.org/officeDocument/2006/relationships/hyperlink" Id="rId73" Target="https://doi.org/10.2307/2334029" TargetMode="External" /><Relationship Type="http://schemas.openxmlformats.org/officeDocument/2006/relationships/hyperlink" Id="rId105" Target="https://doi.org/10.2307/2346567" TargetMode="External" /><Relationship Type="http://schemas.openxmlformats.org/officeDocument/2006/relationships/hyperlink" Id="rId65" Target="https://doi.org/10.2307/2347562" TargetMode="External" /><Relationship Type="http://schemas.openxmlformats.org/officeDocument/2006/relationships/hyperlink" Id="rId122"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81" Target="https://doi.org/10.3389/feduc.2021.788202" TargetMode="External" /><Relationship Type="http://schemas.openxmlformats.org/officeDocument/2006/relationships/hyperlink" Id="rId61" Target="https://jriveraespejo.github.io/paper2_manuscript/" TargetMode="External" /><Relationship Type="http://schemas.openxmlformats.org/officeDocument/2006/relationships/hyperlink" Id="rId113" Target="https://web.archive.org/web/20141015135541/http://www.mhhe.com/socscience/psychology/shaugh/ch01_concepts.html" TargetMode="External" /><Relationship Type="http://schemas.openxmlformats.org/officeDocument/2006/relationships/hyperlink" Id="rId96" Target="https://www.bradyneal.com/Introduction_to_Causal_Inference-Dec17_2020-Neal.pdf" TargetMode="External" /><Relationship Type="http://schemas.openxmlformats.org/officeDocument/2006/relationships/hyperlink" Id="rId79"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2024-07-25T15:53:55Z</dcterms:created>
  <dcterms:modified xsi:type="dcterms:W3CDTF">2024-07-25T15:53:55Z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are generated. This study addresses these issues by representing DCJ within the framework of causal inference. Specifically, utilizing a structural approach to causal inference, the study develops a scientific model to clarify the causal assumptions and mechanisms inherent in the DCJ system. It then translates this model into a probabilistic statistical framework to estimate statistical relationships and infer causal connections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