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84.png" ContentType="image/png"/>
  <Override PartName="/word/media/rId98.png" ContentType="image/png"/>
  <Override PartName="/word/media/rId102.png" ContentType="image/png"/>
  <Override PartName="/word/media/rId90.png" ContentType="image/png"/>
  <Override PartName="/word/media/rId94.png" ContentType="image/png"/>
  <Override PartName="/word/media/rId22.png" ContentType="image/png"/>
  <Override PartName="/word/media/rId31.png" ContentType="image/png"/>
  <Override PartName="/word/media/rId40.png" ContentType="image/png"/>
  <Override PartName="/word/media/rId49.png" ContentType="image/png"/>
  <Override PartName="/word/media/rId58.png" ContentType="image/png"/>
  <Override PartName="/word/media/rId68.png" ContentType="image/png"/>
  <Override PartName="/word/media/rId26.png" ContentType="image/png"/>
  <Override PartName="/word/media/rId35.png" ContentType="image/png"/>
  <Override PartName="/word/media/rId44.png" ContentType="image/png"/>
  <Override PartName="/word/media/rId53.png" ContentType="image/png"/>
  <Override PartName="/word/media/rId62.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2024-08-06</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89" w:name="sec-framework"/>
    <w:p>
      <w:pPr>
        <w:pStyle w:val="Heading1"/>
      </w:pPr>
      <w:r>
        <w:t xml:space="preserve">Theoretical framework</w:t>
      </w:r>
    </w:p>
    <w:p>
      <w:pPr>
        <w:pStyle w:val="FirstParagraph"/>
      </w:pPr>
      <w:r>
        <w:t xml:space="preserve">This section introduces fundamental concepts in causal inference, such as directed acyclic graphs (DAGs), structural causal models (SCMs), and the flow of association and causation in graphs. The section is not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such as</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1" w:name="sec-framework-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are the foundation of causal inference and occupy the highest level of cognitive abstraction in the ladder of causation, followed by intervention and association.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Nevertheless,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serve as heuristics, effectively conveying the assumed causal structure of a system. A heuristic is a strategy that simplifies information to make decisions more quickly, efficiently, and sometimes more accurately than complex methods</w:t>
      </w:r>
      <w:r>
        <w:t xml:space="preserve"> </w:t>
      </w:r>
      <w:r>
        <w:t xml:space="preserve">(Chow 2015)</w:t>
      </w:r>
      <w:r>
        <w:t xml:space="preserve">. Consequently, DAGs do not represent detailed statistical models but allow researchers to deduce which statistical models can provide valid causal inferences, assuming the causal structure depicted in the DAG is accurate</w:t>
      </w:r>
      <w:r>
        <w:t xml:space="preserve"> </w:t>
      </w:r>
      <w:r>
        <w:t xml:space="preserve">(McElreath 2020)</w:t>
      </w:r>
      <w:r>
        <w:t xml:space="preserve">.</w:t>
      </w:r>
    </w:p>
    <w:bookmarkEnd w:id="21"/>
    <w:bookmarkStart w:id="78" w:name="sec-framework-dag"/>
    <w:p>
      <w:pPr>
        <w:pStyle w:val="Heading2"/>
      </w:pPr>
      <w:r>
        <w:t xml:space="preserve">DAGs and SCMs</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graphical and formal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denotes a collection of nodes connected by edges, where nodes represent random variables. The term</w:t>
      </w:r>
      <w:r>
        <w:t xml:space="preserve"> </w:t>
      </w:r>
      <w:r>
        <w:rPr>
          <w:i/>
          <w:iCs/>
        </w:rPr>
        <w:t xml:space="preserve">directed</w:t>
      </w:r>
      <w:r>
        <w:t xml:space="preserve"> </w:t>
      </w:r>
      <w:r>
        <w:t xml:space="preserve">indicates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DAGs offer two key advantages for modeling causality. Firstly, they represent causal relations in a nonparametric and fully interactive manner. This generality implies that feasible causal analysis strategies usually do not require specifying the type of data or the nature of the functional dependence among variables</w:t>
      </w:r>
      <w:r>
        <w:t xml:space="preserve"> </w:t>
      </w:r>
      <w:r>
        <w:t xml:space="preserve">(Morgan and Winship 2014)</w:t>
      </w:r>
      <w:r>
        <w:t xml:space="preserve">. Secondly, regardless of complexity, DAGs can represent various causal structures using only five fundamental building blocks</w:t>
      </w:r>
      <w:r>
        <w:t xml:space="preserve"> </w:t>
      </w:r>
      <w:r>
        <w:t xml:space="preserve">(Neal 2020; McElreath 2020)</w:t>
      </w:r>
      <w:r>
        <w:t xml:space="preserve">. These building blocks can be depicted in three ways: the magnified representation, the standard representation, and the structural causal model form</w:t>
      </w:r>
      <w:r>
        <w:t xml:space="preserve"> </w:t>
      </w:r>
      <w:r>
        <w:t xml:space="preserve">(SCM, Morgan and Winship 2014)</w:t>
      </w:r>
      <w:r>
        <w:t xml:space="preserve">.</w:t>
      </w:r>
    </w:p>
    <w:p>
      <w:pPr>
        <w:pStyle w:val="BodyText"/>
      </w:pPr>
      <w:r>
        <w:t xml:space="preserve">The left panels of</w:t>
      </w:r>
      <w:r>
        <w:t xml:space="preserve"> </w:t>
      </w:r>
      <w:hyperlink w:anchor="fig-dags_scms">
        <w:r>
          <w:rPr>
            <w:rStyle w:val="Hyperlink"/>
          </w:rPr>
          <w:t xml:space="preserve">Figure 1</w:t>
        </w:r>
      </w:hyperlink>
      <w:r>
        <w:t xml:space="preserve"> </w:t>
      </w:r>
      <w:r>
        <w:t xml:space="preserve">illustrate the</w:t>
      </w:r>
      <w:r>
        <w:t xml:space="preserve"> </w:t>
      </w:r>
      <w:r>
        <w:rPr>
          <w:i/>
          <w:iCs/>
        </w:rPr>
        <w:t xml:space="preserve">magnified</w:t>
      </w:r>
      <w:r>
        <w:t xml:space="preserve"> </w:t>
      </w:r>
      <w:r>
        <w:t xml:space="preserve">representation. These graphs depict the</w:t>
      </w:r>
      <w:r>
        <w:t xml:space="preserve"> </w:t>
      </w:r>
      <w:r>
        <w:rPr>
          <w:i/>
          <w:iCs/>
        </w:rPr>
        <w:t xml:space="preserve">endogenous</w:t>
      </w:r>
      <w:r>
        <w:t xml:space="preserve"> </w:t>
      </w:r>
      <w:r>
        <w:t xml:space="preserve">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w:t>
      </w:r>
      <w:r>
        <w:t xml:space="preserve">alongside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Endogenous variables are those whose causal mechanisms the investigator chooses to model</w:t>
      </w:r>
      <w:r>
        <w:t xml:space="preserve"> </w:t>
      </w:r>
      <w:r>
        <w:t xml:space="preserve">(Neal 2020)</w:t>
      </w:r>
      <w:r>
        <w:t xml:space="preserve">. In contrast, exogenous variables represent</w:t>
      </w:r>
      <w:r>
        <w:t xml:space="preserve"> </w:t>
      </w:r>
      <w:r>
        <w:rPr>
          <w:i/>
          <w:iCs/>
        </w:rPr>
        <w:t xml:space="preserve">errors</w:t>
      </w:r>
      <w:r>
        <w:t xml:space="preserve"> </w:t>
      </w:r>
      <w:r>
        <w:t xml:space="preserve">or</w:t>
      </w:r>
      <w:r>
        <w:t xml:space="preserve"> </w:t>
      </w:r>
      <w:r>
        <w:rPr>
          <w:i/>
          <w:iCs/>
        </w:rPr>
        <w:t xml:space="preserve">disturbances</w:t>
      </w:r>
      <w:r>
        <w:t xml:space="preserve"> </w:t>
      </w:r>
      <w:r>
        <w:t xml:space="preserve">arising from omitted factors that the investigator chooses not to model explicitly</w:t>
      </w:r>
      <w:r>
        <w:t xml:space="preserve"> </w:t>
      </w:r>
      <w:r>
        <w:t xml:space="preserve">(Pearl 2009, 27, 68)</w:t>
      </w:r>
      <w:r>
        <w:t xml:space="preserve">. The graphs show endogenous variables as solid black circles to signify that they are observed random variables, while endogenous variables are depicted as open circles to signify their unobserved (latent) nature. Lastly, the arrows in the graphs reflect the expected direction of causal influences among these variables.</w:t>
      </w:r>
    </w:p>
    <w:p>
      <w:pPr>
        <w:pStyle w:val="BodyText"/>
      </w:pPr>
      <w:r>
        <w:t xml:space="preserve">Often, the DAGs omit the exogenous variables for simplicity, resulting in the</w:t>
      </w:r>
      <w:r>
        <w:t xml:space="preserve"> </w:t>
      </w:r>
      <w:r>
        <w:rPr>
          <w:i/>
          <w:iCs/>
        </w:rPr>
        <w:t xml:space="preserve">standard</w:t>
      </w:r>
      <w:r>
        <w:t xml:space="preserve"> </w:t>
      </w:r>
      <w:r>
        <w:t xml:space="preserve">representation. However, including exogenous variables in a graph can be beneficial in some scenarios, as their presence can reveal potential issues related to conditioning and confounding</w:t>
      </w:r>
      <w:r>
        <w:t xml:space="preserve"> </w:t>
      </w:r>
      <w:r>
        <w:t xml:space="preserve">(Cinelli, Forney, and Pearl 2020)</w:t>
      </w:r>
      <w:r>
        <w:t xml:space="preserve">, concepts explored in the following section. The standard representation is illustrated in the middle panels of</w:t>
      </w:r>
      <w:r>
        <w:t xml:space="preserve"> </w:t>
      </w:r>
      <w:hyperlink w:anchor="fig-dags_scms">
        <w:r>
          <w:rPr>
            <w:rStyle w:val="Hyperlink"/>
          </w:rPr>
          <w:t xml:space="preserve">Figure 1</w:t>
        </w:r>
      </w:hyperlink>
      <w:r>
        <w:t xml:space="preserve">.</w:t>
      </w:r>
    </w:p>
    <w:p>
      <w:pPr>
        <w:pStyle w:val="BodyText"/>
      </w:pPr>
      <w:r>
        <w:t xml:space="preserve">Lastly, the right panels of</w:t>
      </w:r>
      <w:r>
        <w:t xml:space="preserve"> </w:t>
      </w:r>
      <w:hyperlink w:anchor="fig-dags_scms">
        <w:r>
          <w:rPr>
            <w:rStyle w:val="Hyperlink"/>
          </w:rPr>
          <w:t xml:space="preserve">Figure 1</w:t>
        </w:r>
      </w:hyperlink>
      <w:r>
        <w:t xml:space="preserve"> </w:t>
      </w:r>
      <w:r>
        <w:t xml:space="preserve">depict the SCM representation of the five fundamental building blocks. SCMs are formal mathematical models that represent causal relationships within a system or population</w:t>
      </w:r>
      <w:r>
        <w:t xml:space="preserve"> </w:t>
      </w:r>
      <w:r>
        <w:t xml:space="preserve">(Hitchcock 2024)</w:t>
      </w:r>
      <w:r>
        <w:t xml:space="preserve">. An SCM is defined by the set of endogenous variables</w:t>
      </w:r>
      <w:r>
        <w:t xml:space="preserve"> </w:t>
      </w:r>
      <m:oMath>
        <m:r>
          <m:t>V</m:t>
        </m:r>
      </m:oMath>
      <w:r>
        <w:t xml:space="preserve">, the set of exogenous variables</w:t>
      </w:r>
      <w:r>
        <w:t xml:space="preserve"> </w:t>
      </w:r>
      <m:oMath>
        <m:r>
          <m:t>E</m:t>
        </m:r>
      </m:oMath>
      <w:r>
        <w:t xml:space="preserve">, and the set of functions</w:t>
      </w:r>
      <w:r>
        <w:t xml:space="preserve"> </w:t>
      </w:r>
      <m:oMath>
        <m:r>
          <m:t>F</m:t>
        </m:r>
        <m:r>
          <m:rPr>
            <m:sty m:val="p"/>
          </m:rPr>
          <m:t>=</m:t>
        </m:r>
        <m:r>
          <m:rPr>
            <m:sty m:val="p"/>
          </m:rPr>
          <m:t>{</m:t>
        </m:r>
        <m:sSub>
          <m:e>
            <m:r>
              <m:t>f</m:t>
            </m:r>
          </m:e>
          <m:sub>
            <m:r>
              <m:t>X</m:t>
            </m:r>
          </m:sub>
        </m:sSub>
        <m:r>
          <m:rPr>
            <m:sty m:val="p"/>
          </m:rPr>
          <m:t>,</m:t>
        </m:r>
        <m:sSub>
          <m:e>
            <m:r>
              <m:t>f</m:t>
            </m:r>
          </m:e>
          <m:sub>
            <m:r>
              <m:t>Z</m:t>
            </m:r>
          </m:sub>
        </m:sSub>
        <m:r>
          <m:rPr>
            <m:sty m:val="p"/>
          </m:rPr>
          <m:t>,</m:t>
        </m:r>
        <m:sSub>
          <m:e>
            <m:r>
              <m:t>f</m:t>
            </m:r>
          </m:e>
          <m:sub>
            <m:r>
              <m:t>Y</m:t>
            </m:r>
          </m:sub>
        </m:sSub>
        <m:r>
          <m:rPr>
            <m:sty m:val="p"/>
          </m:rPr>
          <m:t>}</m:t>
        </m:r>
      </m:oMath>
      <w:r>
        <w:t xml:space="preserve"> </w:t>
      </w:r>
      <w:r>
        <w:t xml:space="preserve">(Pearl 2009; Neal 2020)</w:t>
      </w:r>
      <w:r>
        <w:t xml:space="preserve">. These functions, referred to as structural equations, specify each endogenous variable as a nonparametric function of other variables. Moreover, SCMs use the symbol</w:t>
      </w:r>
      <w:r>
        <w:t xml:space="preserve"> </w:t>
      </w:r>
      <w:r>
        <w:t xml:space="preserve">‘</w:t>
      </w:r>
      <m:oMath>
        <m:box>
          <m:boxPr>
            <m:opEmu m:val="on"/>
          </m:boxPr>
          <m:e>
            <m:r>
              <m:rPr>
                <m:sty m:val="p"/>
              </m:rPr>
              <m:t>:=</m:t>
            </m:r>
          </m:e>
        </m:box>
      </m:oMath>
      <w:r>
        <w:t xml:space="preserve">’</w:t>
      </w:r>
      <w:r>
        <w:t xml:space="preserve"> </w:t>
      </w:r>
      <w:r>
        <w:t xml:space="preserve">to indicate the variables’ asymmetrical causal dependence and the symbol</w:t>
      </w:r>
      <w:r>
        <w:t xml:space="preserve"> </w:t>
      </w:r>
      <w:r>
        <w:t xml:space="preserve">‘</w:t>
      </w:r>
      <m:oMath>
        <m:r>
          <m:rPr>
            <m:sty m:val="p"/>
          </m:rPr>
          <m:t>⊥</m:t>
        </m:r>
        <m:r>
          <m:t>​</m:t>
        </m:r>
        <m:r>
          <m:t>​</m:t>
        </m:r>
        <m:r>
          <m:t>​</m:t>
        </m:r>
        <m:r>
          <m:rPr>
            <m:sty m:val="p"/>
          </m:rPr>
          <m:t>⊥</m:t>
        </m:r>
      </m:oMath>
      <w:r>
        <w:t xml:space="preserve">’</w:t>
      </w:r>
      <w:r>
        <w:t xml:space="preserve"> </w:t>
      </w:r>
      <w:r>
        <w:t xml:space="preserve">to represent</w:t>
      </w:r>
      <w:r>
        <w:t xml:space="preserve"> </w:t>
      </w:r>
      <w:r>
        <w:rPr>
          <w:i/>
          <w:iCs/>
        </w:rPr>
        <w:t xml:space="preserve">d-separation</w:t>
      </w:r>
      <w:r>
        <w:t xml:space="preserve">, which roughly equates to the concept of variable independence. The concepts of d-separation and causal (in)dependence are explored in the following section.</w:t>
      </w:r>
    </w:p>
    <w:bookmarkStart w:id="67" w:name="fig-dags_scms"/>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5" w:name="fig-mdag_bb1"/>
                <w:p>
                  <w:pPr>
                    <w:pStyle w:val="Compact"/>
                    <w:jc w:val="center"/>
                    <w:jc w:val="left"/>
                  </w:pPr>
                  <w:r>
                    <w:drawing>
                      <wp:inline>
                        <wp:extent cx="1975104" cy="413242"/>
                        <wp:effectExtent b="0" l="0" r="0" t="0"/>
                        <wp:docPr descr="" title="" id="23" name="Picture"/>
                        <a:graphic>
                          <a:graphicData uri="http://schemas.openxmlformats.org/drawingml/2006/picture">
                            <pic:pic>
                              <pic:nvPicPr>
                                <pic:cNvPr descr="images/figures/mdag_bb1.png" id="24" name="Picture"/>
                                <pic:cNvPicPr>
                                  <a:picLocks noChangeArrowheads="1" noChangeAspect="1"/>
                                </pic:cNvPicPr>
                              </pic:nvPicPr>
                              <pic:blipFill>
                                <a:blip r:embed="rId22"/>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29" w:name="fig-sdag_bb1"/>
                <w:p>
                  <w:pPr>
                    <w:pStyle w:val="Compact"/>
                    <w:jc w:val="center"/>
                    <w:jc w:val="left"/>
                  </w:pPr>
                  <w:r>
                    <w:drawing>
                      <wp:inline>
                        <wp:extent cx="1975104" cy="915467"/>
                        <wp:effectExtent b="0" l="0" r="0" t="0"/>
                        <wp:docPr descr="" title="" id="27" name="Picture"/>
                        <a:graphic>
                          <a:graphicData uri="http://schemas.openxmlformats.org/drawingml/2006/picture">
                            <pic:pic>
                              <pic:nvPicPr>
                                <pic:cNvPr descr="images/figures/sdag_bb1.png" id="28" name="Picture"/>
                                <pic:cNvPicPr>
                                  <a:picLocks noChangeArrowheads="1" noChangeAspect="1"/>
                                </pic:cNvPicPr>
                              </pic:nvPicPr>
                              <pic:blipFill>
                                <a:blip r:embed="rId26"/>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unconnected nodes</w:t>
                  </w:r>
                </w:p>
                <w:bookmarkEnd w:id="2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0" w:name="fig-scm_bb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Two unconnected nodes</w:t>
                  </w:r>
                </w:p>
                <w:bookmarkEnd w:id="30"/>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34" w:name="fig-mdag_bb2"/>
                <w:p>
                  <w:pPr>
                    <w:pStyle w:val="Compact"/>
                    <w:jc w:val="center"/>
                    <w:jc w:val="left"/>
                  </w:pPr>
                  <w:r>
                    <w:drawing>
                      <wp:inline>
                        <wp:extent cx="1975104" cy="413242"/>
                        <wp:effectExtent b="0" l="0" r="0" t="0"/>
                        <wp:docPr descr="" title="" id="32" name="Picture"/>
                        <a:graphic>
                          <a:graphicData uri="http://schemas.openxmlformats.org/drawingml/2006/picture">
                            <pic:pic>
                              <pic:nvPicPr>
                                <pic:cNvPr descr="images/figures/mdag_bb2.png" id="33" name="Picture"/>
                                <pic:cNvPicPr>
                                  <a:picLocks noChangeArrowheads="1" noChangeAspect="1"/>
                                </pic:cNvPicPr>
                              </pic:nvPicPr>
                              <pic:blipFill>
                                <a:blip r:embed="rId31"/>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Two connected nodes or descendant</w:t>
                  </w:r>
                </w:p>
                <w:bookmarkEnd w:id="34"/>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8" w:name="fig-sdag_bb2"/>
                <w:p>
                  <w:pPr>
                    <w:pStyle w:val="Compact"/>
                    <w:jc w:val="center"/>
                    <w:jc w:val="left"/>
                  </w:pPr>
                  <w:r>
                    <w:drawing>
                      <wp:inline>
                        <wp:extent cx="1975104" cy="915467"/>
                        <wp:effectExtent b="0" l="0" r="0" t="0"/>
                        <wp:docPr descr="" title="" id="36" name="Picture"/>
                        <a:graphic>
                          <a:graphicData uri="http://schemas.openxmlformats.org/drawingml/2006/picture">
                            <pic:pic>
                              <pic:nvPicPr>
                                <pic:cNvPr descr="images/figures/sdag_bb2.png" id="37" name="Picture"/>
                                <pic:cNvPicPr>
                                  <a:picLocks noChangeArrowheads="1" noChangeAspect="1"/>
                                </pic:cNvPicPr>
                              </pic:nvPicPr>
                              <pic:blipFill>
                                <a:blip r:embed="rId35"/>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Two connected nodes or descendant</w:t>
                  </w:r>
                </w:p>
                <w:bookmarkEnd w:id="38"/>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9" w:name="fig-scm_bb2"/>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r>
                                  <m:t>X</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(f) Two connected nodes or descendant</w:t>
                  </w:r>
                </w:p>
                <w:bookmarkEnd w:id="3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43" w:name="fig-mdag_bb3"/>
                <w:p>
                  <w:pPr>
                    <w:pStyle w:val="Compact"/>
                    <w:jc w:val="center"/>
                    <w:jc w:val="left"/>
                  </w:pPr>
                  <w:r>
                    <w:drawing>
                      <wp:inline>
                        <wp:extent cx="1975104" cy="601567"/>
                        <wp:effectExtent b="0" l="0" r="0" t="0"/>
                        <wp:docPr descr="" title="" id="41" name="Picture"/>
                        <a:graphic>
                          <a:graphicData uri="http://schemas.openxmlformats.org/drawingml/2006/picture">
                            <pic:pic>
                              <pic:nvPicPr>
                                <pic:cNvPr descr="images/figures/mdag_bb3.png" id="42" name="Picture"/>
                                <pic:cNvPicPr>
                                  <a:picLocks noChangeArrowheads="1" noChangeAspect="1"/>
                                </pic:cNvPicPr>
                              </pic:nvPicPr>
                              <pic:blipFill>
                                <a:blip r:embed="rId40"/>
                                <a:stretch>
                                  <a:fillRect/>
                                </a:stretch>
                              </pic:blipFill>
                              <pic:spPr bwMode="auto">
                                <a:xfrm>
                                  <a:off x="0" y="0"/>
                                  <a:ext cx="1975104" cy="6015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(g) Chain or pipe</w:t>
                  </w:r>
                </w:p>
                <w:bookmarkEnd w:id="43"/>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7" w:name="fig-sdag_bb3"/>
                <w:p>
                  <w:pPr>
                    <w:pStyle w:val="Compact"/>
                    <w:jc w:val="center"/>
                    <w:jc w:val="left"/>
                  </w:pPr>
                  <w:r>
                    <w:drawing>
                      <wp:inline>
                        <wp:extent cx="1975104" cy="581991"/>
                        <wp:effectExtent b="0" l="0" r="0" t="0"/>
                        <wp:docPr descr="" title="" id="45" name="Picture"/>
                        <a:graphic>
                          <a:graphicData uri="http://schemas.openxmlformats.org/drawingml/2006/picture">
                            <pic:pic>
                              <pic:nvPicPr>
                                <pic:cNvPr descr="images/figures/sdag_bb3.png" id="46" name="Picture"/>
                                <pic:cNvPicPr>
                                  <a:picLocks noChangeArrowheads="1" noChangeAspect="1"/>
                                </pic:cNvPicPr>
                              </pic:nvPicPr>
                              <pic:blipFill>
                                <a:blip r:embed="rId44"/>
                                <a:stretch>
                                  <a:fillRect/>
                                </a:stretch>
                              </pic:blipFill>
                              <pic:spPr bwMode="auto">
                                <a:xfrm>
                                  <a:off x="0" y="0"/>
                                  <a:ext cx="1975104" cy="58199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(h) Chain or pipe</w:t>
                  </w:r>
                </w:p>
                <w:bookmarkEnd w:id="47"/>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8" w:name="fig-scm_bb3"/>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(i) Chain or pipe</w:t>
                  </w:r>
                </w:p>
                <w:bookmarkEnd w:id="4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52" w:name="fig-mdag_bb4"/>
                <w:p>
                  <w:pPr>
                    <w:pStyle w:val="Compact"/>
                    <w:jc w:val="center"/>
                    <w:jc w:val="left"/>
                  </w:pPr>
                  <w:r>
                    <w:drawing>
                      <wp:inline>
                        <wp:extent cx="1975104" cy="611894"/>
                        <wp:effectExtent b="0" l="0" r="0" t="0"/>
                        <wp:docPr descr="" title="" id="50" name="Picture"/>
                        <a:graphic>
                          <a:graphicData uri="http://schemas.openxmlformats.org/drawingml/2006/picture">
                            <pic:pic>
                              <pic:nvPicPr>
                                <pic:cNvPr descr="images/figures/mdag_bb4.png" id="51" name="Picture"/>
                                <pic:cNvPicPr>
                                  <a:picLocks noChangeArrowheads="1" noChangeAspect="1"/>
                                </pic:cNvPicPr>
                              </pic:nvPicPr>
                              <pic:blipFill>
                                <a:blip r:embed="rId49"/>
                                <a:stretch>
                                  <a:fillRect/>
                                </a:stretch>
                              </pic:blipFill>
                              <pic:spPr bwMode="auto">
                                <a:xfrm>
                                  <a:off x="0" y="0"/>
                                  <a:ext cx="1975104" cy="611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(j) Fork</w:t>
                  </w:r>
                </w:p>
                <w:bookmarkEnd w:id="52"/>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6" w:name="fig-sdag_bb4"/>
                <w:p>
                  <w:pPr>
                    <w:pStyle w:val="Compact"/>
                    <w:jc w:val="center"/>
                    <w:jc w:val="left"/>
                  </w:pPr>
                  <w:r>
                    <w:drawing>
                      <wp:inline>
                        <wp:extent cx="1975104" cy="1063165"/>
                        <wp:effectExtent b="0" l="0" r="0" t="0"/>
                        <wp:docPr descr="" title="" id="54" name="Picture"/>
                        <a:graphic>
                          <a:graphicData uri="http://schemas.openxmlformats.org/drawingml/2006/picture">
                            <pic:pic>
                              <pic:nvPicPr>
                                <pic:cNvPr descr="images/figures/sdag_bb4.png" id="55" name="Picture"/>
                                <pic:cNvPicPr>
                                  <a:picLocks noChangeArrowheads="1" noChangeAspect="1"/>
                                </pic:cNvPicPr>
                              </pic:nvPicPr>
                              <pic:blipFill>
                                <a:blip r:embed="rId53"/>
                                <a:stretch>
                                  <a:fillRect/>
                                </a:stretch>
                              </pic:blipFill>
                              <pic:spPr bwMode="auto">
                                <a:xfrm>
                                  <a:off x="0" y="0"/>
                                  <a:ext cx="1975104" cy="106316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(k) Fork</w:t>
                  </w:r>
                </w:p>
                <w:bookmarkEnd w:id="56"/>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7" w:name="fig-scm_bb4"/>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r>
                                  <m:t>Z</m:t>
                                </m:r>
                                <m:r>
                                  <m:rPr>
                                    <m:sty m:val="p"/>
                                  </m:rPr>
                                  <m:t>,</m:t>
                                </m:r>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(l) Fork</w:t>
                  </w:r>
                </w:p>
                <w:bookmarkEnd w:id="57"/>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61" w:name="fig-mdag_bb5"/>
                <w:p>
                  <w:pPr>
                    <w:pStyle w:val="Compact"/>
                    <w:jc w:val="center"/>
                    <w:jc w:val="left"/>
                  </w:pPr>
                  <w:r>
                    <w:drawing>
                      <wp:inline>
                        <wp:extent cx="1975104" cy="722913"/>
                        <wp:effectExtent b="0" l="0" r="0" t="0"/>
                        <wp:docPr descr="" title="" id="59" name="Picture"/>
                        <a:graphic>
                          <a:graphicData uri="http://schemas.openxmlformats.org/drawingml/2006/picture">
                            <pic:pic>
                              <pic:nvPicPr>
                                <pic:cNvPr descr="images/figures/mdag_bb5.png" id="60" name="Picture"/>
                                <pic:cNvPicPr>
                                  <a:picLocks noChangeArrowheads="1" noChangeAspect="1"/>
                                </pic:cNvPicPr>
                              </pic:nvPicPr>
                              <pic:blipFill>
                                <a:blip r:embed="rId58"/>
                                <a:stretch>
                                  <a:fillRect/>
                                </a:stretch>
                              </pic:blipFill>
                              <pic:spPr bwMode="auto">
                                <a:xfrm>
                                  <a:off x="0" y="0"/>
                                  <a:ext cx="1975104" cy="72291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(m) Collider or inmorality</w:t>
                  </w:r>
                </w:p>
                <w:bookmarkEnd w:id="61"/>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5" w:name="fig-sdag_bb5"/>
                <w:p>
                  <w:pPr>
                    <w:pStyle w:val="Compact"/>
                    <w:jc w:val="center"/>
                    <w:jc w:val="left"/>
                  </w:pPr>
                  <w:r>
                    <w:drawing>
                      <wp:inline>
                        <wp:extent cx="1975104" cy="1283130"/>
                        <wp:effectExtent b="0" l="0" r="0" t="0"/>
                        <wp:docPr descr="" title="" id="63" name="Picture"/>
                        <a:graphic>
                          <a:graphicData uri="http://schemas.openxmlformats.org/drawingml/2006/picture">
                            <pic:pic>
                              <pic:nvPicPr>
                                <pic:cNvPr descr="images/figures/sdag_bb5.png" id="64" name="Picture"/>
                                <pic:cNvPicPr>
                                  <a:picLocks noChangeArrowheads="1" noChangeAspect="1"/>
                                </pic:cNvPicPr>
                              </pic:nvPicPr>
                              <pic:blipFill>
                                <a:blip r:embed="rId62"/>
                                <a:stretch>
                                  <a:fillRect/>
                                </a:stretch>
                              </pic:blipFill>
                              <pic:spPr bwMode="auto">
                                <a:xfrm>
                                  <a:off x="0" y="0"/>
                                  <a:ext cx="1975104" cy="12831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(n) Collider or inmorality</w:t>
                  </w:r>
                </w:p>
                <w:bookmarkEnd w:id="65"/>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6" w:name="fig-scm_bb5"/>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(o) Collider or inmorality</w:t>
                  </w:r>
                </w:p>
                <w:bookmarkEnd w:id="66"/>
              </w:tc>
            </w:tr>
          </w:tbl>
          <w:p/>
        </w:tc>
      </w:tr>
    </w:tbl>
    <w:p>
      <w:pPr>
        <w:pStyle w:val="BodyText"/>
      </w:pPr>
      <w:pPr>
        <w:spacing w:before="200"/>
        <w:pStyle w:val="ImageCaption"/>
      </w:pPr>
      <w:r>
        <w:t xml:space="preserve">Figure 1: The five fundamental building blocks of DAGs.</w:t>
      </w:r>
      <w:r>
        <w:t xml:space="preserve"> </w:t>
      </w:r>
      <w:r>
        <w:rPr>
          <w:b/>
          <w:bCs/>
        </w:rPr>
        <w:t xml:space="preserve">Note:</w:t>
      </w:r>
      <w:r>
        <w:t xml:space="preserve"> </w:t>
      </w:r>
      <w:r>
        <w:t xml:space="preserve">left panels show the magnified representation, middle panels show the standard representation, and the right panels show their corresponding SCM form.</w:t>
      </w:r>
    </w:p>
    <w:bookmarkEnd w:id="67"/>
    <w:p>
      <w:pPr>
        <w:pStyle w:val="BodyText"/>
      </w:pPr>
      <w:r>
        <w:t xml:space="preserve">A careful examination of</w:t>
      </w:r>
      <w:r>
        <w:t xml:space="preserve"> </w:t>
      </w:r>
      <w:hyperlink w:anchor="fig-dags_scms">
        <w:r>
          <w:rPr>
            <w:rStyle w:val="Hyperlink"/>
          </w:rPr>
          <w:t xml:space="preserve">Figure 1</w:t>
        </w:r>
      </w:hyperlink>
      <w:r>
        <w:t xml:space="preserve"> </w:t>
      </w:r>
      <w:r>
        <w:t xml:space="preserve">highlights the assumptions underlying these building blocks. Figures</w:t>
      </w:r>
      <w:r>
        <w:t xml:space="preserve"> </w:t>
      </w:r>
      <w:hyperlink w:anchor="fig-mdag_bb1">
        <w:r>
          <w:rPr>
            <w:rStyle w:val="Hyperlink"/>
          </w:rPr>
          <w:t xml:space="preserve">1 (a)</w:t>
        </w:r>
      </w:hyperlink>
      <w:r>
        <w:t xml:space="preserve">,</w:t>
      </w:r>
      <w:r>
        <w:t xml:space="preserve"> </w:t>
      </w:r>
      <w:hyperlink w:anchor="fig-sdag_bb1">
        <w:r>
          <w:rPr>
            <w:rStyle w:val="Hyperlink"/>
          </w:rPr>
          <w:t xml:space="preserve">1 (b)</w:t>
        </w:r>
      </w:hyperlink>
      <w:r>
        <w:t xml:space="preserve">, and SCM</w:t>
      </w:r>
      <w:r>
        <w:t xml:space="preserve"> </w:t>
      </w:r>
      <w:hyperlink w:anchor="fig-scm_bb1">
        <w:r>
          <w:rPr>
            <w:rStyle w:val="Hyperlink"/>
          </w:rPr>
          <w:t xml:space="preserve">1 (c)</w:t>
        </w:r>
      </w:hyperlink>
      <w:r>
        <w:t xml:space="preserve"> </w:t>
      </w:r>
      <w:r>
        <w:t xml:space="preserve">depict two unconnected nodes, representing a scenario where variables</w:t>
      </w:r>
      <w:r>
        <w:t xml:space="preserve"> </w:t>
      </w:r>
      <m:oMath>
        <m:r>
          <m:t>X</m:t>
        </m:r>
      </m:oMath>
      <w:r>
        <w:t xml:space="preserve"> </w:t>
      </w:r>
      <w:r>
        <w:t xml:space="preserve">and</w:t>
      </w:r>
      <w:r>
        <w:t xml:space="preserve"> </w:t>
      </w:r>
      <m:oMath>
        <m:r>
          <m:t>Y</m:t>
        </m:r>
      </m:oMath>
      <w:r>
        <w:t xml:space="preserve"> </w:t>
      </w:r>
      <w:r>
        <w:t xml:space="preserve">are not causally related. Figures</w:t>
      </w:r>
      <w:r>
        <w:t xml:space="preserve"> </w:t>
      </w:r>
      <w:hyperlink w:anchor="fig-mdag_bb2">
        <w:r>
          <w:rPr>
            <w:rStyle w:val="Hyperlink"/>
          </w:rPr>
          <w:t xml:space="preserve">1 (d)</w:t>
        </w:r>
      </w:hyperlink>
      <w:r>
        <w:t xml:space="preserve">,</w:t>
      </w:r>
      <w:r>
        <w:t xml:space="preserve"> </w:t>
      </w:r>
      <w:hyperlink w:anchor="fig-sdag_bb2">
        <w:r>
          <w:rPr>
            <w:rStyle w:val="Hyperlink"/>
          </w:rPr>
          <w:t xml:space="preserve">1 (e)</w:t>
        </w:r>
      </w:hyperlink>
      <w:r>
        <w:t xml:space="preserve">, and SCM</w:t>
      </w:r>
      <w:r>
        <w:t xml:space="preserve"> </w:t>
      </w:r>
      <w:hyperlink w:anchor="fig-scm_bb2">
        <w:r>
          <w:rPr>
            <w:rStyle w:val="Hyperlink"/>
          </w:rPr>
          <w:t xml:space="preserve">1 (f)</w:t>
        </w:r>
      </w:hyperlink>
      <w:r>
        <w:t xml:space="preserve"> </w:t>
      </w:r>
      <w:r>
        <w:t xml:space="preserve">illustrate two connected nodes, showing a scenario where a</w:t>
      </w:r>
      <w:r>
        <w:t xml:space="preserve"> </w:t>
      </w:r>
      <w:r>
        <w:rPr>
          <w:i/>
          <w:iCs/>
        </w:rPr>
        <w:t xml:space="preserve">parent</w:t>
      </w:r>
      <w:r>
        <w:t xml:space="preserve"> </w:t>
      </w:r>
      <w:r>
        <w:t xml:space="preserve">node</w:t>
      </w:r>
      <w:r>
        <w:t xml:space="preserve"> </w:t>
      </w:r>
      <m:oMath>
        <m:r>
          <m:t>X</m:t>
        </m:r>
      </m:oMath>
      <w:r>
        <w:t xml:space="preserve"> </w:t>
      </w:r>
      <w:r>
        <w:t xml:space="preserve">exerts a causal influence on a</w:t>
      </w:r>
      <w:r>
        <w:t xml:space="preserve"> </w:t>
      </w:r>
      <w:r>
        <w:rPr>
          <w:i/>
          <w:iCs/>
        </w:rPr>
        <w:t xml:space="preserve">child</w:t>
      </w:r>
      <w:r>
        <w:t xml:space="preserve"> </w:t>
      </w:r>
      <w:r>
        <w:t xml:space="preserve">node</w:t>
      </w:r>
      <w:r>
        <w:t xml:space="preserve"> </w:t>
      </w:r>
      <m:oMath>
        <m:r>
          <m:t>Y</m:t>
        </m:r>
      </m:oMath>
      <w:r>
        <w:t xml:space="preserve">. Consequently,</w:t>
      </w:r>
      <w:r>
        <w:t xml:space="preserve"> </w:t>
      </w:r>
      <m:oMath>
        <m:r>
          <m:t>Y</m:t>
        </m:r>
      </m:oMath>
      <w:r>
        <w:t xml:space="preserve"> </w:t>
      </w:r>
      <w:r>
        <w:t xml:space="preserve">is considered a</w:t>
      </w:r>
      <w:r>
        <w:t xml:space="preserve"> </w:t>
      </w:r>
      <w:r>
        <w:rPr>
          <w:i/>
          <w:iCs/>
        </w:rPr>
        <w:t xml:space="preserve">descendant</w:t>
      </w:r>
      <w:r>
        <w:t xml:space="preserve"> </w:t>
      </w:r>
      <w:r>
        <w:t xml:space="preserve">of</w:t>
      </w:r>
      <w:r>
        <w:t xml:space="preserve"> </w:t>
      </w:r>
      <m:oMath>
        <m:r>
          <m:t>X</m:t>
        </m:r>
      </m:oMath>
      <w:r>
        <w:t xml:space="preserve">. Figures</w:t>
      </w:r>
      <w:r>
        <w:t xml:space="preserve"> </w:t>
      </w:r>
      <w:hyperlink w:anchor="fig-mdag_bb3">
        <w:r>
          <w:rPr>
            <w:rStyle w:val="Hyperlink"/>
          </w:rPr>
          <w:t xml:space="preserve">1 (g)</w:t>
        </w:r>
      </w:hyperlink>
      <w:r>
        <w:t xml:space="preserve">,</w:t>
      </w:r>
      <w:r>
        <w:t xml:space="preserve"> </w:t>
      </w:r>
      <w:hyperlink w:anchor="fig-sdag_bb3">
        <w:r>
          <w:rPr>
            <w:rStyle w:val="Hyperlink"/>
          </w:rPr>
          <w:t xml:space="preserve">1 (h)</w:t>
        </w:r>
      </w:hyperlink>
      <w:r>
        <w:t xml:space="preserve">, and SCM</w:t>
      </w:r>
      <w:r>
        <w:t xml:space="preserve"> </w:t>
      </w:r>
      <w:hyperlink w:anchor="fig-scm_bb3">
        <w:r>
          <w:rPr>
            <w:rStyle w:val="Hyperlink"/>
          </w:rPr>
          <w:t xml:space="preserve">1 (i)</w:t>
        </w:r>
      </w:hyperlink>
      <w:r>
        <w:t xml:space="preserve"> </w:t>
      </w:r>
      <w:r>
        <w:t xml:space="preserve">depict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r>
          <m:t>X</m:t>
        </m:r>
      </m:oMath>
      <w:r>
        <w:t xml:space="preserve"> </w:t>
      </w:r>
      <w:r>
        <w:t xml:space="preserve">influences</w:t>
      </w:r>
      <w:r>
        <w:t xml:space="preserve"> </w:t>
      </w:r>
      <m:oMath>
        <m:r>
          <m:t>Z</m:t>
        </m:r>
      </m:oMath>
      <w:r>
        <w:t xml:space="preserve">, and</w:t>
      </w:r>
      <w:r>
        <w:t xml:space="preserve"> </w:t>
      </w:r>
      <m:oMath>
        <m:r>
          <m:t>Z</m:t>
        </m:r>
      </m:oMath>
      <w:r>
        <w:t xml:space="preserve"> </w:t>
      </w:r>
      <w:r>
        <w:t xml:space="preserve">influences</w:t>
      </w:r>
      <w:r>
        <w:t xml:space="preserve"> </w:t>
      </w:r>
      <m:oMath>
        <m:r>
          <m:t>Y</m:t>
        </m:r>
      </m:oMath>
      <w:r>
        <w:t xml:space="preserve">. In this configuration,</w:t>
      </w:r>
      <w:r>
        <w:t xml:space="preserve"> </w:t>
      </w:r>
      <m:oMath>
        <m:r>
          <m:t>X</m:t>
        </m:r>
      </m:oMath>
      <w:r>
        <w:t xml:space="preserve"> </w:t>
      </w:r>
      <w:r>
        <w:t xml:space="preserve">is a parent node of</w:t>
      </w:r>
      <w:r>
        <w:t xml:space="preserve"> </w:t>
      </w:r>
      <m:oMath>
        <m:r>
          <m:t>Z</m:t>
        </m:r>
      </m:oMath>
      <w:r>
        <w:t xml:space="preserve">, and</w:t>
      </w:r>
      <w:r>
        <w:t xml:space="preserve"> </w:t>
      </w:r>
      <m:oMath>
        <m:r>
          <m:t>Z</m:t>
        </m:r>
      </m:oMath>
      <w:r>
        <w:t xml:space="preserve"> </w:t>
      </w:r>
      <w:r>
        <w:t xml:space="preserve">is a parent node of</w:t>
      </w:r>
      <w:r>
        <w:t xml:space="preserve"> </w:t>
      </w:r>
      <m:oMath>
        <m:r>
          <m:t>Y</m:t>
        </m:r>
      </m:oMath>
      <w:r>
        <w:t xml:space="preserve">. Furthermore, the DAGs show that</w:t>
      </w:r>
      <w:r>
        <w:t xml:space="preserve"> </w:t>
      </w:r>
      <m:oMath>
        <m:r>
          <m:t>X</m:t>
        </m:r>
      </m:oMath>
      <w:r>
        <w:t xml:space="preserve"> </w:t>
      </w:r>
      <w:r>
        <w:t xml:space="preserve">is an</w:t>
      </w:r>
      <w:r>
        <w:t xml:space="preserve"> </w:t>
      </w:r>
      <w:r>
        <w:rPr>
          <w:i/>
          <w:iCs/>
        </w:rPr>
        <w:t xml:space="preserve">ancestor</w:t>
      </w:r>
      <w:r>
        <w:t xml:space="preserve"> </w:t>
      </w:r>
      <w:r>
        <w:t xml:space="preserve">of</w:t>
      </w:r>
      <w:r>
        <w:t xml:space="preserve"> </w:t>
      </w:r>
      <m:oMath>
        <m:r>
          <m:t>Y</m:t>
        </m:r>
      </m:oMath>
      <w:r>
        <w:t xml:space="preserve"> </w:t>
      </w:r>
      <w:r>
        <w:t xml:space="preserve">and that</w:t>
      </w:r>
      <w:r>
        <w:t xml:space="preserve"> </w:t>
      </w:r>
      <m:oMath>
        <m:r>
          <m:t>Z</m:t>
        </m:r>
      </m:oMath>
      <w:r>
        <w:t xml:space="preserve"> </w:t>
      </w:r>
      <w:r>
        <w:t xml:space="preserve">fully</w:t>
      </w:r>
      <w:r>
        <w:t xml:space="preserve"> </w:t>
      </w:r>
      <w:r>
        <w:rPr>
          <w:i/>
          <w:iCs/>
        </w:rPr>
        <w:t xml:space="preserve">mediates</w:t>
      </w:r>
      <w:r>
        <w:t xml:space="preserve"> </w:t>
      </w:r>
      <w:r>
        <w:t xml:space="preserve">the relationship between these variables. Figures</w:t>
      </w:r>
      <w:r>
        <w:t xml:space="preserve"> </w:t>
      </w:r>
      <w:hyperlink w:anchor="fig-mdag_bb4">
        <w:r>
          <w:rPr>
            <w:rStyle w:val="Hyperlink"/>
          </w:rPr>
          <w:t xml:space="preserve">1 (j)</w:t>
        </w:r>
      </w:hyperlink>
      <w:r>
        <w:t xml:space="preserve">,</w:t>
      </w:r>
      <w:r>
        <w:t xml:space="preserve"> </w:t>
      </w:r>
      <w:hyperlink w:anchor="fig-sdag_bb4">
        <w:r>
          <w:rPr>
            <w:rStyle w:val="Hyperlink"/>
          </w:rPr>
          <w:t xml:space="preserve">1 (k)</w:t>
        </w:r>
      </w:hyperlink>
      <w:r>
        <w:t xml:space="preserve">, and SCM</w:t>
      </w:r>
      <w:r>
        <w:t xml:space="preserve"> </w:t>
      </w:r>
      <w:hyperlink w:anchor="fig-scm_bb4">
        <w:r>
          <w:rPr>
            <w:rStyle w:val="Hyperlink"/>
          </w:rPr>
          <w:t xml:space="preserve">1 (l)</w:t>
        </w:r>
      </w:hyperlink>
      <w:r>
        <w:t xml:space="preserve"> </w:t>
      </w:r>
      <w:r>
        <w:t xml:space="preserve">illustrate a</w:t>
      </w:r>
      <w:r>
        <w:t xml:space="preserve"> </w:t>
      </w:r>
      <w:r>
        <w:rPr>
          <w:i/>
          <w:iCs/>
        </w:rPr>
        <w:t xml:space="preserve">fork</w:t>
      </w:r>
      <w:r>
        <w:t xml:space="preserve">, where variables</w:t>
      </w:r>
      <w:r>
        <w:t xml:space="preserve"> </w:t>
      </w:r>
      <m:oMath>
        <m:r>
          <m:t>X</m:t>
        </m:r>
      </m:oMath>
      <w:r>
        <w:t xml:space="preserve"> </w:t>
      </w:r>
      <w:r>
        <w:t xml:space="preserve">and</w:t>
      </w:r>
      <w:r>
        <w:t xml:space="preserve"> </w:t>
      </w:r>
      <m:oMath>
        <m:r>
          <m:t>Y</m:t>
        </m:r>
      </m:oMath>
      <w:r>
        <w:t xml:space="preserve"> </w:t>
      </w:r>
      <w:r>
        <w:t xml:space="preserve">are both influenced by</w:t>
      </w:r>
      <w:r>
        <w:t xml:space="preserve"> </w:t>
      </w:r>
      <m:oMath>
        <m:r>
          <m:t>Z</m:t>
        </m:r>
      </m:oMath>
      <w:r>
        <w:t xml:space="preserve">. Here,</w:t>
      </w:r>
      <w:r>
        <w:t xml:space="preserve"> </w:t>
      </w:r>
      <m:oMath>
        <m:r>
          <m:t>Z</m:t>
        </m:r>
      </m:oMath>
      <w:r>
        <w:t xml:space="preserve"> </w:t>
      </w:r>
      <w:r>
        <w:t xml:space="preserve">is a parent node of</w:t>
      </w:r>
      <w:r>
        <w:t xml:space="preserve"> </w:t>
      </w:r>
      <m:oMath>
        <m:r>
          <m:t>X</m:t>
        </m:r>
      </m:oMath>
      <w:r>
        <w:t xml:space="preserve"> </w:t>
      </w:r>
      <w:r>
        <w:t xml:space="preserve">and</w:t>
      </w:r>
      <w:r>
        <w:t xml:space="preserve"> </w:t>
      </w:r>
      <m:oMath>
        <m:r>
          <m:t>Y</m:t>
        </m:r>
      </m:oMath>
      <w:r>
        <w:t xml:space="preserve">. Finally, Figures</w:t>
      </w:r>
      <w:r>
        <w:t xml:space="preserve"> </w:t>
      </w:r>
      <w:hyperlink w:anchor="fig-mdag_bb5">
        <w:r>
          <w:rPr>
            <w:rStyle w:val="Hyperlink"/>
          </w:rPr>
          <w:t xml:space="preserve">1 (m)</w:t>
        </w:r>
      </w:hyperlink>
      <w:r>
        <w:t xml:space="preserve">,</w:t>
      </w:r>
      <w:r>
        <w:t xml:space="preserve"> </w:t>
      </w:r>
      <w:hyperlink w:anchor="fig-sdag_bb5">
        <w:r>
          <w:rPr>
            <w:rStyle w:val="Hyperlink"/>
          </w:rPr>
          <w:t xml:space="preserve">1 (n)</w:t>
        </w:r>
      </w:hyperlink>
      <w:r>
        <w:t xml:space="preserve">, SCM</w:t>
      </w:r>
      <w:r>
        <w:t xml:space="preserve"> </w:t>
      </w:r>
      <w:hyperlink w:anchor="fig-scm_bb5">
        <w:r>
          <w:rPr>
            <w:rStyle w:val="Hyperlink"/>
          </w:rPr>
          <w:t xml:space="preserve">1 (o)</w:t>
        </w:r>
      </w:hyperlink>
      <w:r>
        <w:t xml:space="preserve"> </w:t>
      </w:r>
      <w:r>
        <w:t xml:space="preserve">depict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r>
          <m:t>X</m:t>
        </m:r>
      </m:oMath>
      <w:r>
        <w:t xml:space="preserve"> </w:t>
      </w:r>
      <w:r>
        <w:t xml:space="preserve">and</w:t>
      </w:r>
      <w:r>
        <w:t xml:space="preserve"> </w:t>
      </w:r>
      <m:oMath>
        <m:r>
          <m:t>Y</m:t>
        </m:r>
      </m:oMath>
      <w:r>
        <w:t xml:space="preserve"> </w:t>
      </w:r>
      <w:r>
        <w:t xml:space="preserve">are concurrent causes of</w:t>
      </w:r>
      <w:r>
        <w:t xml:space="preserve"> </w:t>
      </w:r>
      <m:oMath>
        <m:r>
          <m:t>Z</m:t>
        </m:r>
      </m:oMath>
      <w:r>
        <w:t xml:space="preserve">. In this configuration,</w:t>
      </w:r>
      <w:r>
        <w:t xml:space="preserve"> </w:t>
      </w:r>
      <m:oMath>
        <m:r>
          <m:t>X</m:t>
        </m:r>
      </m:oMath>
      <w:r>
        <w:t xml:space="preserve"> </w:t>
      </w:r>
      <w:r>
        <w:t xml:space="preserve">and</w:t>
      </w:r>
      <w:r>
        <w:t xml:space="preserve"> </w:t>
      </w:r>
      <m:oMath>
        <m:r>
          <m:t>Y</m:t>
        </m:r>
      </m:oMath>
      <w:r>
        <w:t xml:space="preserve"> </w:t>
      </w:r>
      <w:r>
        <w:t xml:space="preserve">are not causally related to each other but both influence</w:t>
      </w:r>
      <w:r>
        <w:t xml:space="preserve"> </w:t>
      </w:r>
      <m:oMath>
        <m:r>
          <m:t>Z</m:t>
        </m:r>
      </m:oMath>
      <w:r>
        <w:t xml:space="preserve">. Additionally, in all SCMs, the errors are assumed to be mutually independent of each other and from all other variables in the graph, as evidenced by the pairwise relations</w:t>
      </w:r>
      <w:r>
        <w:t xml:space="preserve"> </w:t>
      </w:r>
      <m:oMath>
        <m:sSub>
          <m:e>
            <m:r>
              <m:t>e</m:t>
            </m:r>
          </m:e>
          <m:sub>
            <m:r>
              <m:t>X</m:t>
            </m:r>
          </m:sub>
        </m:sSub>
        <m:r>
          <m:rPr>
            <m:sty m:val="p"/>
          </m:rPr>
          <m:t>⊥</m:t>
        </m:r>
        <m:r>
          <m:t>​</m:t>
        </m:r>
        <m:r>
          <m:t>​</m:t>
        </m:r>
        <m:r>
          <m:t>​</m:t>
        </m:r>
        <m:r>
          <m:rPr>
            <m:sty m:val="p"/>
          </m:rPr>
          <m:t>⊥</m:t>
        </m:r>
        <m:sSub>
          <m:e>
            <m:r>
              <m:t>e</m:t>
            </m:r>
          </m:e>
          <m:sub>
            <m:r>
              <m:t>Y</m:t>
            </m:r>
          </m:sub>
        </m:sSub>
      </m:oMath>
      <w:r>
        <w:t xml:space="preserve">,</w:t>
      </w:r>
      <w:r>
        <w:t xml:space="preserve"> </w:t>
      </w:r>
      <m:oMath>
        <m:sSub>
          <m:e>
            <m:r>
              <m:t>e</m:t>
            </m:r>
          </m:e>
          <m:sub>
            <m:r>
              <m:t>X</m:t>
            </m:r>
          </m:sub>
        </m:sSub>
        <m:r>
          <m:rPr>
            <m:sty m:val="p"/>
          </m:rPr>
          <m:t>⊥</m:t>
        </m:r>
        <m:r>
          <m:t>​</m:t>
        </m:r>
        <m:r>
          <m:t>​</m:t>
        </m:r>
        <m:r>
          <m:t>​</m:t>
        </m:r>
        <m:r>
          <m:rPr>
            <m:sty m:val="p"/>
          </m:rPr>
          <m:t>⊥</m:t>
        </m:r>
        <m:sSub>
          <m:e>
            <m:r>
              <m:t>e</m:t>
            </m:r>
          </m:e>
          <m:sub>
            <m:r>
              <m:t>Z</m:t>
            </m:r>
          </m:sub>
        </m:sSub>
      </m:oMath>
      <w:r>
        <w:t xml:space="preserve">, and</w:t>
      </w:r>
      <w:r>
        <w:t xml:space="preserve"> </w:t>
      </w:r>
      <m:oMath>
        <m:sSub>
          <m:e>
            <m:r>
              <m:t>e</m:t>
            </m:r>
          </m:e>
          <m:sub>
            <m:r>
              <m:t>Z</m:t>
            </m:r>
          </m:sub>
        </m:sSub>
        <m:r>
          <m:rPr>
            <m:sty m:val="p"/>
          </m:rPr>
          <m:t>⊥</m:t>
        </m:r>
        <m:r>
          <m:t>​</m:t>
        </m:r>
        <m:r>
          <m:t>​</m:t>
        </m:r>
        <m:r>
          <m:t>​</m:t>
        </m:r>
        <m:r>
          <m:rPr>
            <m:sty m:val="p"/>
          </m:rPr>
          <m:t>⊥</m:t>
        </m:r>
        <m:sSub>
          <m:e>
            <m:r>
              <m:t>e</m:t>
            </m:r>
          </m:e>
          <m:sub>
            <m:r>
              <m:t>Y</m:t>
            </m:r>
          </m:sub>
        </m:sSub>
      </m:oMath>
      <w:r>
        <w:t xml:space="preserve">.</w:t>
      </w:r>
    </w:p>
    <w:p>
      <w:pPr>
        <w:pStyle w:val="BodyText"/>
      </w:pPr>
      <w:r>
        <w:t xml:space="preserve">Given the heuristic nature of DAGs, a motivating example can clarify how to use the five fundamental building blocks to construct the causal structure of a system. Consider a research problem where the causal effect of a variable</w:t>
      </w:r>
      <w:r>
        <w:t xml:space="preserve"> </w:t>
      </w:r>
      <m:oMath>
        <m:r>
          <m:t>T</m:t>
        </m:r>
      </m:oMath>
      <w:r>
        <w:t xml:space="preserve"> </w:t>
      </w:r>
      <w:r>
        <w:t xml:space="preserve">on an outcome</w:t>
      </w:r>
      <w:r>
        <w:t xml:space="preserve"> </w:t>
      </w:r>
      <m:oMath>
        <m:r>
          <m:t>Y</m:t>
        </m:r>
      </m:oMath>
      <w:r>
        <w:t xml:space="preserve"> </w:t>
      </w:r>
      <w:r>
        <w:t xml:space="preserve">needs investigation. The problem suggests that a variable</w:t>
      </w:r>
      <w:r>
        <w:t xml:space="preserve"> </w:t>
      </w:r>
      <m:oMath>
        <m:r>
          <m:t>X</m:t>
        </m:r>
      </m:oMath>
      <w:r>
        <w:t xml:space="preserve"> </w:t>
      </w:r>
      <w:r>
        <w:t xml:space="preserve">potentially influences both</w:t>
      </w:r>
      <w:r>
        <w:t xml:space="preserve"> </w:t>
      </w:r>
      <m:oMath>
        <m:r>
          <m:t>T</m:t>
        </m:r>
      </m:oMath>
      <w:r>
        <w:t xml:space="preserve"> </w:t>
      </w:r>
      <w:r>
        <w:t xml:space="preserve">and</w:t>
      </w:r>
      <w:r>
        <w:t xml:space="preserve"> </w:t>
      </w:r>
      <m:oMath>
        <m:r>
          <m:t>Y</m:t>
        </m:r>
      </m:oMath>
      <w:r>
        <w:t xml:space="preserve">. Beyond these relationships, the problem does not specify any further variables of interest. Such scenarios are not hard to imagine. For instance,</w:t>
      </w:r>
      <w:r>
        <w:t xml:space="preserve"> </w:t>
      </w:r>
      <m:oMath>
        <m:r>
          <m:t>T</m:t>
        </m:r>
      </m:oMath>
      <w:r>
        <w:t xml:space="preserve"> </w:t>
      </w:r>
      <w:r>
        <w:t xml:space="preserve">might represent different treatments that could affect the recovery from cancer</w:t>
      </w:r>
      <w:r>
        <w:t xml:space="preserve"> </w:t>
      </w:r>
      <m:oMath>
        <m:r>
          <m:t>Y</m:t>
        </m:r>
      </m:oMath>
      <w:r>
        <w:t xml:space="preserve">, while</w:t>
      </w:r>
      <w:r>
        <w:t xml:space="preserve"> </w:t>
      </w:r>
      <m:oMath>
        <m:r>
          <m:t>X</m:t>
        </m:r>
      </m:oMath>
      <w:r>
        <w:t xml:space="preserve"> </w:t>
      </w:r>
      <w:r>
        <w:t xml:space="preserve">could denote the patient’s age. Similarly, in the context of a DCJ study like the one described by</w:t>
      </w:r>
      <w:r>
        <w:t xml:space="preserve"> </w:t>
      </w:r>
      <w:r>
        <w:t xml:space="preserve">Boonen, Kloots, and Gillis (2020)</w:t>
      </w:r>
      <w:r>
        <w:t xml:space="preserve">,</w:t>
      </w:r>
      <w:r>
        <w:t xml:space="preserve"> </w:t>
      </w:r>
      <m:oMath>
        <m:r>
          <m:t>T</m:t>
        </m:r>
      </m:oMath>
      <w:r>
        <w:t xml:space="preserve"> </w:t>
      </w:r>
      <w:r>
        <w:t xml:space="preserve">could represent the duration of a child’s cochlear implant use, which might influence the child’s overall speech quality</w:t>
      </w:r>
      <w:r>
        <w:t xml:space="preserve"> </w:t>
      </w:r>
      <m:oMath>
        <m:r>
          <m:t>Y</m:t>
        </m:r>
      </m:oMath>
      <w:r>
        <w:t xml:space="preserve">, with</w:t>
      </w:r>
      <w:r>
        <w:t xml:space="preserve"> </w:t>
      </w:r>
      <m:oMath>
        <m:r>
          <m:t>X</m:t>
        </m:r>
      </m:oMath>
      <w:r>
        <w:t xml:space="preserve"> </w:t>
      </w:r>
      <w:r>
        <w:t xml:space="preserve">indicating the child’s hearing status.</w:t>
      </w:r>
      <w:r>
        <w:t xml:space="preserve"> </w:t>
      </w:r>
      <w:r>
        <w:t xml:space="preserve">(not a bad example, but I prefer one using writing skills)</w:t>
      </w:r>
    </w:p>
    <w:p>
      <w:pPr>
        <w:pStyle w:val="BodyText"/>
      </w:pPr>
      <w:hyperlink w:anchor="fig-example">
        <w:r>
          <w:rPr>
            <w:rStyle w:val="Hyperlink"/>
          </w:rPr>
          <w:t xml:space="preserve">Figure 2</w:t>
        </w:r>
      </w:hyperlink>
      <w:r>
        <w:t xml:space="preserve"> </w:t>
      </w:r>
      <w:r>
        <w:t xml:space="preserve">illustrates the plausible causal structure of the motivating example. A detailed examination of Figures</w:t>
      </w:r>
      <w:r>
        <w:t xml:space="preserve"> </w:t>
      </w:r>
      <w:hyperlink w:anchor="fig-mdag_example1">
        <w:r>
          <w:rPr>
            <w:rStyle w:val="Hyperlink"/>
          </w:rPr>
          <w:t xml:space="preserve">2 (a)</w:t>
        </w:r>
      </w:hyperlink>
      <w:r>
        <w:t xml:space="preserve">,</w:t>
      </w:r>
      <w:r>
        <w:t xml:space="preserve"> </w:t>
      </w:r>
      <w:hyperlink w:anchor="fig-sdag_example1">
        <w:r>
          <w:rPr>
            <w:rStyle w:val="Hyperlink"/>
          </w:rPr>
          <w:t xml:space="preserve">2 (b)</w:t>
        </w:r>
      </w:hyperlink>
      <w:r>
        <w:t xml:space="preserve">, and SCM</w:t>
      </w:r>
      <w:r>
        <w:t xml:space="preserve"> </w:t>
      </w:r>
      <w:hyperlink w:anchor="fig-scm_example1">
        <w:r>
          <w:rPr>
            <w:rStyle w:val="Hyperlink"/>
          </w:rPr>
          <w:t xml:space="preserve">2 (c)</w:t>
        </w:r>
      </w:hyperlink>
      <w:r>
        <w:t xml:space="preserve"> </w:t>
      </w:r>
      <w:r>
        <w:t xml:space="preserve">reveals the presence of at least four of the five fundamental building blocks. The figures display multiple descendants, as indicated by pairwise relations such as</w:t>
      </w:r>
      <w:r>
        <w:t xml:space="preserve"> </w:t>
      </w:r>
      <m:oMath>
        <m:r>
          <m:t>X</m:t>
        </m:r>
        <m:r>
          <m:rPr>
            <m:sty m:val="p"/>
          </m:rPr>
          <m:t>→</m:t>
        </m:r>
        <m:r>
          <m:t>T</m:t>
        </m:r>
      </m:oMath>
      <w:r>
        <w:t xml:space="preserve">,</w:t>
      </w:r>
      <w:r>
        <w:t xml:space="preserve"> </w:t>
      </w:r>
      <m:oMath>
        <m:r>
          <m:t>X</m:t>
        </m:r>
        <m:r>
          <m:rPr>
            <m:sty m:val="p"/>
          </m:rPr>
          <m:t>→</m:t>
        </m:r>
        <m:r>
          <m:t>Y</m:t>
        </m:r>
      </m:oMath>
      <w:r>
        <w:t xml:space="preserve">, and</w:t>
      </w:r>
      <w:r>
        <w:t xml:space="preserve"> </w:t>
      </w:r>
      <m:oMath>
        <m:r>
          <m:t>T</m:t>
        </m:r>
        <m:r>
          <m:rPr>
            <m:sty m:val="p"/>
          </m:rPr>
          <m:t>→</m:t>
        </m:r>
        <m:r>
          <m:t>Y</m:t>
        </m:r>
      </m:oMath>
      <w:r>
        <w:t xml:space="preserve">. Additionally, the figures features multiple pairs of unconnected nodes, evident from the relations</w:t>
      </w:r>
      <w:r>
        <w:t xml:space="preserve"> </w:t>
      </w:r>
      <m:oMath>
        <m:sSub>
          <m:e>
            <m:r>
              <m:t>e</m:t>
            </m:r>
          </m:e>
          <m:sub>
            <m:r>
              <m:t>T</m:t>
            </m:r>
          </m:sub>
        </m:sSub>
        <m:r>
          <m:rPr>
            <m:sty m:val="p"/>
          </m:rPr>
          <m:t>⊥</m:t>
        </m:r>
        <m:r>
          <m:t>​</m:t>
        </m:r>
        <m:r>
          <m:t>​</m:t>
        </m:r>
        <m:r>
          <m:t>​</m:t>
        </m:r>
        <m:r>
          <m:rPr>
            <m:sty m:val="p"/>
          </m:rPr>
          <m:t>⊥</m:t>
        </m:r>
        <m:sSub>
          <m:e>
            <m:r>
              <m:t>e</m:t>
            </m:r>
          </m:e>
          <m:sub>
            <m:r>
              <m:t>X</m:t>
            </m:r>
          </m:sub>
        </m:sSub>
      </m:oMath>
      <w:r>
        <w:t xml:space="preserve">,</w:t>
      </w:r>
      <w:r>
        <w:t xml:space="preserve"> </w:t>
      </w:r>
      <m:oMath>
        <m:sSub>
          <m:e>
            <m:r>
              <m:t>e</m:t>
            </m:r>
          </m:e>
          <m:sub>
            <m:r>
              <m:t>T</m:t>
            </m:r>
          </m:sub>
        </m:sSub>
        <m:r>
          <m:rPr>
            <m:sty m:val="p"/>
          </m:rPr>
          <m:t>⊥</m:t>
        </m:r>
        <m:r>
          <m:t>​</m:t>
        </m:r>
        <m:r>
          <m:t>​</m:t>
        </m:r>
        <m:r>
          <m:t>​</m:t>
        </m:r>
        <m:r>
          <m:rPr>
            <m:sty m:val="p"/>
          </m:rPr>
          <m:t>⊥</m:t>
        </m:r>
        <m:sSub>
          <m:e>
            <m:r>
              <m:t>e</m:t>
            </m:r>
          </m:e>
          <m:sub>
            <m:r>
              <m:t>Y</m:t>
            </m:r>
          </m:sub>
        </m:sSub>
      </m:oMath>
      <w:r>
        <w:t xml:space="preserve">, and</w:t>
      </w:r>
      <w:r>
        <w:t xml:space="preserve"> </w:t>
      </w:r>
      <m:oMath>
        <m:sSub>
          <m:e>
            <m:r>
              <m:t>e</m:t>
            </m:r>
          </m:e>
          <m:sub>
            <m:r>
              <m:t>X</m:t>
            </m:r>
          </m:sub>
        </m:sSub>
        <m:r>
          <m:rPr>
            <m:sty m:val="p"/>
          </m:rPr>
          <m:t>⊥</m:t>
        </m:r>
        <m:r>
          <m:t>​</m:t>
        </m:r>
        <m:r>
          <m:t>​</m:t>
        </m:r>
        <m:r>
          <m:t>​</m:t>
        </m:r>
        <m:r>
          <m:rPr>
            <m:sty m:val="p"/>
          </m:rPr>
          <m:t>⊥</m:t>
        </m:r>
        <m:sSub>
          <m:e>
            <m:r>
              <m:t>e</m:t>
            </m:r>
          </m:e>
          <m:sub>
            <m:r>
              <m:t>Y</m:t>
            </m:r>
          </m:sub>
        </m:sSub>
      </m:oMath>
      <w:r>
        <w:t xml:space="preserve">. Finally, the figures illustrate a fork with</w:t>
      </w:r>
      <w:r>
        <w:t xml:space="preserve"> </w:t>
      </w:r>
      <m:oMath>
        <m:r>
          <m:t>X</m:t>
        </m:r>
        <m:r>
          <m:rPr>
            <m:sty m:val="p"/>
          </m:rPr>
          <m:t>→</m:t>
        </m:r>
        <m:r>
          <m:rPr>
            <m:sty m:val="p"/>
          </m:rPr>
          <m:t>{</m:t>
        </m:r>
        <m:r>
          <m:t>T</m:t>
        </m:r>
        <m:r>
          <m:rPr>
            <m:sty m:val="p"/>
          </m:rPr>
          <m:t>,</m:t>
        </m:r>
        <m:r>
          <m:t>Y</m:t>
        </m:r>
        <m:r>
          <m:rPr>
            <m:sty m:val="p"/>
          </m:rPr>
          <m:t>}</m:t>
        </m:r>
      </m:oMath>
      <w:r>
        <w:t xml:space="preserve">, as well as colliders such as</w:t>
      </w:r>
      <w:r>
        <w:t xml:space="preserve"> </w:t>
      </w:r>
      <m:oMath>
        <m:r>
          <m:rPr>
            <m:sty m:val="p"/>
          </m:rPr>
          <m:t>{</m:t>
        </m:r>
        <m:r>
          <m:t>X</m:t>
        </m:r>
        <m:r>
          <m:rPr>
            <m:sty m:val="p"/>
          </m:rPr>
          <m:t>,</m:t>
        </m:r>
        <m:sSub>
          <m:e>
            <m:r>
              <m:t>e</m:t>
            </m:r>
          </m:e>
          <m:sub>
            <m:r>
              <m:t>T</m:t>
            </m:r>
          </m:sub>
        </m:sSub>
        <m:r>
          <m:rPr>
            <m:sty m:val="p"/>
          </m:rPr>
          <m:t>}</m:t>
        </m:r>
        <m:r>
          <m:rPr>
            <m:sty m:val="p"/>
          </m:rPr>
          <m:t>→</m:t>
        </m:r>
        <m:r>
          <m:t>T</m:t>
        </m:r>
      </m:oMath>
      <w:r>
        <w:t xml:space="preserve"> </w:t>
      </w:r>
      <w:r>
        <w:t xml:space="preserve">and</w:t>
      </w:r>
      <w:r>
        <w:t xml:space="preserve"> </w:t>
      </w:r>
      <m:oMath>
        <m:r>
          <m:rPr>
            <m:sty m:val="p"/>
          </m:rPr>
          <m:t>{</m:t>
        </m:r>
        <m:r>
          <m:t>X</m:t>
        </m:r>
        <m:r>
          <m:rPr>
            <m:sty m:val="p"/>
          </m:rPr>
          <m:t>,</m:t>
        </m:r>
        <m:r>
          <m:t>T</m:t>
        </m:r>
        <m:r>
          <m:rPr>
            <m:sty m:val="p"/>
          </m:rPr>
          <m:t>,</m:t>
        </m:r>
        <m:sSub>
          <m:e>
            <m:r>
              <m:t>e</m:t>
            </m:r>
          </m:e>
          <m:sub>
            <m:r>
              <m:t>Y</m:t>
            </m:r>
          </m:sub>
        </m:sSub>
        <m:r>
          <m:rPr>
            <m:sty m:val="p"/>
          </m:rPr>
          <m:t>}</m:t>
        </m:r>
        <m:r>
          <m:rPr>
            <m:sty m:val="p"/>
          </m:rPr>
          <m:t>→</m:t>
        </m:r>
        <m:r>
          <m:t>Y</m:t>
        </m:r>
      </m:oMath>
      <w:r>
        <w:t xml:space="preserve">.</w:t>
      </w:r>
    </w:p>
    <w:bookmarkStart w:id="77" w:name="fig-example"/>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71" w:name="fig-mdag_example1"/>
                <w:p>
                  <w:pPr>
                    <w:pStyle w:val="Compact"/>
                    <w:jc w:val="center"/>
                    <w:jc w:val="left"/>
                  </w:pPr>
                  <w:r>
                    <w:drawing>
                      <wp:inline>
                        <wp:extent cx="1975104" cy="602134"/>
                        <wp:effectExtent b="0" l="0" r="0" t="0"/>
                        <wp:docPr descr="" title="" id="69" name="Picture"/>
                        <a:graphic>
                          <a:graphicData uri="http://schemas.openxmlformats.org/drawingml/2006/picture">
                            <pic:pic>
                              <pic:nvPicPr>
                                <pic:cNvPr descr="images/figures/mdag_example1.png" id="70" name="Picture"/>
                                <pic:cNvPicPr>
                                  <a:picLocks noChangeArrowheads="1" noChangeAspect="1"/>
                                </pic:cNvPicPr>
                              </pic:nvPicPr>
                              <pic:blipFill>
                                <a:blip r:embed="rId68"/>
                                <a:stretch>
                                  <a:fillRect/>
                                </a:stretch>
                              </pic:blipFill>
                              <pic:spPr bwMode="auto">
                                <a:xfrm>
                                  <a:off x="0" y="0"/>
                                  <a:ext cx="1975104" cy="60213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Magnified representation</w:t>
                  </w:r>
                </w:p>
                <w:bookmarkEnd w:id="71"/>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5" w:name="fig-sdag_example1"/>
                <w:p>
                  <w:pPr>
                    <w:pStyle w:val="Compact"/>
                    <w:jc w:val="center"/>
                    <w:jc w:val="left"/>
                  </w:pPr>
                  <w:r>
                    <w:drawing>
                      <wp:inline>
                        <wp:extent cx="1975104" cy="1075643"/>
                        <wp:effectExtent b="0" l="0" r="0" t="0"/>
                        <wp:docPr descr="" title="" id="73" name="Picture"/>
                        <a:graphic>
                          <a:graphicData uri="http://schemas.openxmlformats.org/drawingml/2006/picture">
                            <pic:pic>
                              <pic:nvPicPr>
                                <pic:cNvPr descr="images/figures/sdag_example1.png" id="74" name="Picture"/>
                                <pic:cNvPicPr>
                                  <a:picLocks noChangeArrowheads="1" noChangeAspect="1"/>
                                </pic:cNvPicPr>
                              </pic:nvPicPr>
                              <pic:blipFill>
                                <a:blip r:embed="rId72"/>
                                <a:stretch>
                                  <a:fillRect/>
                                </a:stretch>
                              </pic:blipFill>
                              <pic:spPr bwMode="auto">
                                <a:xfrm>
                                  <a:off x="0" y="0"/>
                                  <a:ext cx="1975104" cy="107564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Standard representation</w:t>
                  </w:r>
                </w:p>
                <w:bookmarkEnd w:id="75"/>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6" w:name="fig-scm_example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T</m:t>
                            </m:r>
                          </m:e>
                          <m:e>
                            <m:box>
                              <m:boxPr>
                                <m:opEmu m:val="on"/>
                              </m:boxPr>
                              <m:e>
                                <m:r>
                                  <m:rPr>
                                    <m:sty m:val="p"/>
                                  </m:rPr>
                                  <m:t>:=</m:t>
                                </m:r>
                              </m:e>
                            </m:box>
                            <m:sSub>
                              <m:e>
                                <m:r>
                                  <m:t>f</m:t>
                                </m:r>
                              </m:e>
                              <m:sub>
                                <m:r>
                                  <m:t>Z</m:t>
                                </m:r>
                              </m:sub>
                            </m:sSub>
                            <m:d>
                              <m:dPr>
                                <m:begChr m:val="("/>
                                <m:endChr m:val=")"/>
                                <m:sepChr m:val=""/>
                                <m:grow/>
                              </m:dPr>
                              <m:e>
                                <m:r>
                                  <m:t>X</m:t>
                                </m:r>
                                <m:r>
                                  <m:rPr>
                                    <m:sty m:val="p"/>
                                  </m:rPr>
                                  <m:t>,</m:t>
                                </m:r>
                                <m:sSub>
                                  <m:e>
                                    <m:r>
                                      <m:t>e</m:t>
                                    </m:r>
                                  </m:e>
                                  <m:sub>
                                    <m:r>
                                      <m:t>T</m:t>
                                    </m:r>
                                  </m:sub>
                                </m:sSub>
                              </m:e>
                            </m:d>
                          </m:e>
                        </m:mr>
                        <m:mr>
                          <m:e>
                            <m:r>
                              <m:t>Y</m:t>
                            </m:r>
                          </m:e>
                          <m:e>
                            <m:box>
                              <m:boxPr>
                                <m:opEmu m:val="on"/>
                              </m:boxPr>
                              <m:e>
                                <m:r>
                                  <m:rPr>
                                    <m:sty m:val="p"/>
                                  </m:rPr>
                                  <m:t>:=</m:t>
                                </m:r>
                              </m:e>
                            </m:box>
                            <m:sSub>
                              <m:e>
                                <m:r>
                                  <m:t>f</m:t>
                                </m:r>
                              </m:e>
                              <m:sub>
                                <m:r>
                                  <m:t>Y</m:t>
                                </m:r>
                              </m:sub>
                            </m:sSub>
                            <m:d>
                              <m:dPr>
                                <m:begChr m:val="("/>
                                <m:endChr m:val=")"/>
                                <m:sepChr m:val=""/>
                                <m:grow/>
                              </m:dPr>
                              <m:e>
                                <m:r>
                                  <m:t>T</m:t>
                                </m:r>
                                <m:r>
                                  <m:rPr>
                                    <m:sty m:val="p"/>
                                  </m:rPr>
                                  <m:t>,</m:t>
                                </m:r>
                                <m:r>
                                  <m:t>X</m:t>
                                </m:r>
                                <m:r>
                                  <m:rPr>
                                    <m:sty m:val="p"/>
                                  </m:rPr>
                                  <m:t>,</m:t>
                                </m:r>
                                <m:sSub>
                                  <m:e>
                                    <m:r>
                                      <m:t>e</m:t>
                                    </m:r>
                                  </m:e>
                                  <m:sub>
                                    <m:r>
                                      <m:t>Y</m:t>
                                    </m:r>
                                  </m:sub>
                                </m:sSub>
                              </m:e>
                            </m:d>
                          </m:e>
                        </m:mr>
                        <m:mr>
                          <m:e>
                            <m:sSub>
                              <m:e>
                                <m:r>
                                  <m:t>e</m:t>
                                </m:r>
                              </m:e>
                              <m:sub>
                                <m:r>
                                  <m:t>T</m:t>
                                </m:r>
                              </m:sub>
                            </m:sSub>
                          </m:e>
                          <m:e>
                            <m:r>
                              <m:rPr>
                                <m:sty m:val="p"/>
                              </m:rPr>
                              <m:t>⊥</m:t>
                            </m:r>
                            <m:r>
                              <m:t>​</m:t>
                            </m:r>
                            <m:r>
                              <m:t>​</m:t>
                            </m:r>
                            <m:r>
                              <m:t>​</m:t>
                            </m:r>
                            <m:r>
                              <m:rPr>
                                <m:sty m:val="p"/>
                              </m:rPr>
                              <m:t>⊥</m:t>
                            </m:r>
                            <m:sSub>
                              <m:e>
                                <m:r>
                                  <m:t>e</m:t>
                                </m:r>
                              </m:e>
                              <m:sub>
                                <m:r>
                                  <m:t>X</m:t>
                                </m:r>
                              </m:sub>
                            </m:sSub>
                          </m:e>
                        </m:mr>
                        <m:mr>
                          <m:e>
                            <m:sSub>
                              <m:e>
                                <m:r>
                                  <m:t>e</m:t>
                                </m:r>
                              </m:e>
                              <m:sub>
                                <m:r>
                                  <m:t>T</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Structural causal model</w:t>
                  </w:r>
                </w:p>
                <w:bookmarkEnd w:id="76"/>
              </w:tc>
            </w:tr>
          </w:tbl>
          <w:p/>
        </w:tc>
      </w:tr>
    </w:tbl>
    <w:p>
      <w:pPr>
        <w:pStyle w:val="BodyText"/>
      </w:pPr>
      <w:pPr>
        <w:spacing w:before="200"/>
        <w:pStyle w:val="ImageCaption"/>
      </w:pPr>
      <w:r>
        <w:t xml:space="preserve">Figure 2: DAGs for a plausible causal structure in a system.</w:t>
      </w:r>
    </w:p>
    <w:bookmarkEnd w:id="77"/>
    <w:bookmarkEnd w:id="78"/>
    <w:bookmarkStart w:id="83"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82" w:name="fig-ACflow"/>
          <w:p>
            <w:pPr>
              <w:pStyle w:val="Compact"/>
              <w:jc w:val="center"/>
            </w:pPr>
            <w:r>
              <w:drawing>
                <wp:inline>
                  <wp:extent cx="4345118" cy="485846"/>
                  <wp:effectExtent b="0" l="0" r="0" t="0"/>
                  <wp:docPr descr="" title="" id="80" name="Picture"/>
                  <a:graphic>
                    <a:graphicData uri="http://schemas.openxmlformats.org/drawingml/2006/picture">
                      <pic:pic>
                        <pic:nvPicPr>
                          <pic:cNvPr descr="images/figures/ACflow.png" id="81" name="Picture"/>
                          <pic:cNvPicPr>
                            <a:picLocks noChangeArrowheads="1" noChangeAspect="1"/>
                          </pic:cNvPicPr>
                        </pic:nvPicPr>
                        <pic:blipFill>
                          <a:blip r:embed="rId79"/>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from</w:t>
            </w:r>
            <w:r>
              <w:t xml:space="preserve"> </w:t>
            </w:r>
            <w:r>
              <w:t xml:space="preserve">Neal (2020, 31)</w:t>
            </w:r>
          </w:p>
          <w:bookmarkEnd w:id="82"/>
        </w:tc>
      </w:tr>
    </w:tbl>
    <w:bookmarkEnd w:id="83"/>
    <w:bookmarkStart w:id="88"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87" w:name="fig-IEflow"/>
          <w:p>
            <w:pPr>
              <w:pStyle w:val="Compact"/>
              <w:jc w:val="center"/>
            </w:pPr>
            <w:r>
              <w:drawing>
                <wp:inline>
                  <wp:extent cx="2133600" cy="1502761"/>
                  <wp:effectExtent b="0" l="0" r="0" t="0"/>
                  <wp:docPr descr="" title="" id="85" name="Picture"/>
                  <a:graphic>
                    <a:graphicData uri="http://schemas.openxmlformats.org/drawingml/2006/picture">
                      <pic:pic>
                        <pic:nvPicPr>
                          <pic:cNvPr descr="images/figures/IEflow.png" id="86" name="Picture"/>
                          <pic:cNvPicPr>
                            <a:picLocks noChangeArrowheads="1" noChangeAspect="1"/>
                          </pic:cNvPicPr>
                        </pic:nvPicPr>
                        <pic:blipFill>
                          <a:blip r:embed="rId84"/>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Identification-Estimation flowchart. Extracted from</w:t>
            </w:r>
            <w:r>
              <w:t xml:space="preserve"> </w:t>
            </w:r>
            <w:r>
              <w:t xml:space="preserve">Neal (2020, 32)</w:t>
            </w:r>
          </w:p>
          <w:bookmarkEnd w:id="87"/>
        </w:tc>
      </w:tr>
    </w:tbl>
    <w:bookmarkEnd w:id="88"/>
    <w:bookmarkEnd w:id="89"/>
    <w:bookmarkStart w:id="110" w:name="sec-theory"/>
    <w:p>
      <w:pPr>
        <w:pStyle w:val="Heading1"/>
      </w:pPr>
      <w:r>
        <w:t xml:space="preserve">Theory</w:t>
      </w:r>
    </w:p>
    <w:bookmarkStart w:id="106"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93" w:name="fig-SciModel_simp1"/>
          <w:p>
            <w:pPr>
              <w:pStyle w:val="Compact"/>
              <w:jc w:val="center"/>
            </w:pPr>
            <w:r>
              <w:drawing>
                <wp:inline>
                  <wp:extent cx="3304673" cy="1748589"/>
                  <wp:effectExtent b="0" l="0" r="0" t="0"/>
                  <wp:docPr descr="" title="" id="91" name="Picture"/>
                  <a:graphic>
                    <a:graphicData uri="http://schemas.openxmlformats.org/drawingml/2006/picture">
                      <pic:pic>
                        <pic:nvPicPr>
                          <pic:cNvPr descr="images/figures/SciModel_simp1.png" id="92" name="Picture"/>
                          <pic:cNvPicPr>
                            <a:picLocks noChangeArrowheads="1" noChangeAspect="1"/>
                          </pic:cNvPicPr>
                        </pic:nvPicPr>
                        <pic:blipFill>
                          <a:blip r:embed="rId90"/>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description</w:t>
            </w:r>
          </w:p>
          <w:bookmarkEnd w:id="9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7" w:name="fig-SciModel_simp2"/>
          <w:p>
            <w:pPr>
              <w:pStyle w:val="Compact"/>
              <w:jc w:val="center"/>
            </w:pPr>
            <w:r>
              <w:drawing>
                <wp:inline>
                  <wp:extent cx="3082375" cy="1732547"/>
                  <wp:effectExtent b="0" l="0" r="0" t="0"/>
                  <wp:docPr descr="" title="" id="95" name="Picture"/>
                  <a:graphic>
                    <a:graphicData uri="http://schemas.openxmlformats.org/drawingml/2006/picture">
                      <pic:pic>
                        <pic:nvPicPr>
                          <pic:cNvPr descr="images/figures/SciModel_simp2.png" id="96" name="Picture"/>
                          <pic:cNvPicPr>
                            <a:picLocks noChangeArrowheads="1" noChangeAspect="1"/>
                          </pic:cNvPicPr>
                        </pic:nvPicPr>
                        <pic:blipFill>
                          <a:blip r:embed="rId94"/>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simplified mathematical description</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1" w:name="fig-SciModel_pop"/>
          <w:p>
            <w:pPr>
              <w:pStyle w:val="Compact"/>
              <w:jc w:val="center"/>
            </w:pPr>
            <w:r>
              <w:drawing>
                <wp:inline>
                  <wp:extent cx="3174045" cy="2252769"/>
                  <wp:effectExtent b="0" l="0" r="0" t="0"/>
                  <wp:docPr descr="" title="" id="99" name="Picture"/>
                  <a:graphic>
                    <a:graphicData uri="http://schemas.openxmlformats.org/drawingml/2006/picture">
                      <pic:pic>
                        <pic:nvPicPr>
                          <pic:cNvPr descr="images/figures/SciModel_pop.png" id="100" name="Picture"/>
                          <pic:cNvPicPr>
                            <a:picLocks noChangeArrowheads="1" noChangeAspect="1"/>
                          </pic:cNvPicPr>
                        </pic:nvPicPr>
                        <pic:blipFill>
                          <a:blip r:embed="rId98"/>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population mathematical description</w:t>
            </w:r>
          </w:p>
          <w:bookmarkEnd w:id="101"/>
        </w:tc>
      </w:tr>
    </w:tbl>
    <w:p/>
    <w:tbl>
      <w:tblPr>
        <w:tblStyle w:val="Table"/>
        <w:tblW w:type="pct" w:w="5000"/>
        <w:tblLayout w:type="fixed"/>
        <w:tblLook w:firstRow="0" w:lastRow="0" w:firstColumn="0" w:lastColumn="0" w:noHBand="0" w:noVBand="0" w:val="0000"/>
      </w:tblPr>
      <w:tblGrid>
        <w:gridCol w:w="7920"/>
      </w:tblGrid>
      <w:tr>
        <w:tc>
          <w:tcPr/>
          <w:bookmarkStart w:id="105" w:name="fig-SciModel_samp"/>
          <w:p>
            <w:pPr>
              <w:pStyle w:val="Compact"/>
              <w:jc w:val="center"/>
            </w:pPr>
            <w:r>
              <w:drawing>
                <wp:inline>
                  <wp:extent cx="3671350" cy="2245894"/>
                  <wp:effectExtent b="0" l="0" r="0" t="0"/>
                  <wp:docPr descr="" title="" id="103" name="Picture"/>
                  <a:graphic>
                    <a:graphicData uri="http://schemas.openxmlformats.org/drawingml/2006/picture">
                      <pic:pic>
                        <pic:nvPicPr>
                          <pic:cNvPr descr="images/figures/SciModel_samp.png" id="104" name="Picture"/>
                          <pic:cNvPicPr>
                            <a:picLocks noChangeArrowheads="1" noChangeAspect="1"/>
                          </pic:cNvPicPr>
                        </pic:nvPicPr>
                        <pic:blipFill>
                          <a:blip r:embed="rId102"/>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DCJ causal diagram, sample with comparisons mathematical description</w:t>
            </w:r>
          </w:p>
          <w:bookmarkEnd w:id="105"/>
        </w:tc>
      </w:tr>
    </w:tbl>
    <w:bookmarkEnd w:id="106"/>
    <w:bookmarkStart w:id="107" w:name="sec-theory-probability"/>
    <w:p>
      <w:pPr>
        <w:pStyle w:val="Heading2"/>
      </w:pPr>
      <w:r>
        <w:t xml:space="preserve">Probabilitics assumptions of the scientific model</w:t>
      </w:r>
    </w:p>
    <w:bookmarkEnd w:id="107"/>
    <w:bookmarkStart w:id="108" w:name="sec-theory-statistics"/>
    <w:p>
      <w:pPr>
        <w:pStyle w:val="Heading2"/>
      </w:pPr>
      <w:r>
        <w:t xml:space="preserve">From the scientific to statistical model</w:t>
      </w:r>
    </w:p>
    <w:bookmarkEnd w:id="108"/>
    <w:bookmarkStart w:id="109" w:name="sec-theory-thurstone"/>
    <w:p>
      <w:pPr>
        <w:pStyle w:val="Heading2"/>
      </w:pPr>
      <w:r>
        <w:t xml:space="preserve">Let’s talk about Thurstone</w:t>
      </w:r>
    </w:p>
    <w:bookmarkEnd w:id="109"/>
    <w:bookmarkEnd w:id="110"/>
    <w:bookmarkStart w:id="113" w:name="sec-discuss"/>
    <w:p>
      <w:pPr>
        <w:pStyle w:val="Heading1"/>
      </w:pPr>
      <w:r>
        <w:t xml:space="preserve">Discussion</w:t>
      </w:r>
    </w:p>
    <w:bookmarkStart w:id="111" w:name="sec-discuss-finding"/>
    <w:p>
      <w:pPr>
        <w:pStyle w:val="Heading2"/>
      </w:pPr>
      <w:r>
        <w:t xml:space="preserve">Findings</w:t>
      </w:r>
    </w:p>
    <w:bookmarkEnd w:id="111"/>
    <w:bookmarkStart w:id="112" w:name="sec-discuss-limitations"/>
    <w:p>
      <w:pPr>
        <w:pStyle w:val="Heading2"/>
      </w:pPr>
      <w:r>
        <w:t xml:space="preserve">Limitations and further research</w:t>
      </w:r>
    </w:p>
    <w:bookmarkEnd w:id="112"/>
    <w:bookmarkEnd w:id="113"/>
    <w:bookmarkStart w:id="114" w:name="sec-conclusion"/>
    <w:p>
      <w:pPr>
        <w:pStyle w:val="Heading1"/>
      </w:pPr>
      <w:r>
        <w:t xml:space="preserve">Conclusion</w:t>
      </w:r>
    </w:p>
    <w:p>
      <w:r>
        <w:br w:type="page"/>
      </w:r>
    </w:p>
    <w:bookmarkEnd w:id="114"/>
    <w:bookmarkStart w:id="11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115">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116"/>
    <w:bookmarkStart w:id="202" w:name="sec-appendix"/>
    <w:p>
      <w:pPr>
        <w:pStyle w:val="Heading1"/>
      </w:pPr>
      <w:r>
        <w:t xml:space="preserve">Appendix</w:t>
      </w:r>
    </w:p>
    <w:bookmarkStart w:id="117" w:name="sec-appA"/>
    <w:p>
      <w:pPr>
        <w:pStyle w:val="Heading2"/>
      </w:pPr>
      <w:r>
        <w:t xml:space="preserve">Why do we need to estimate judges’ abilities?</w:t>
      </w:r>
    </w:p>
    <w:bookmarkEnd w:id="117"/>
    <w:bookmarkStart w:id="118" w:name="sec-appB"/>
    <w:p>
      <w:pPr>
        <w:pStyle w:val="Heading2"/>
      </w:pPr>
      <w:r>
        <w:t xml:space="preserve">Latent variables as a mean of imputation</w:t>
      </w:r>
    </w:p>
    <w:bookmarkEnd w:id="118"/>
    <w:bookmarkStart w:id="119" w:name="sec-appC"/>
    <w:p>
      <w:pPr>
        <w:pStyle w:val="Heading2"/>
      </w:pPr>
      <w:r>
        <w:t xml:space="preserve">Other comparative scenarios</w:t>
      </w:r>
    </w:p>
    <w:p>
      <w:r>
        <w:br w:type="page"/>
      </w:r>
    </w:p>
    <w:bookmarkEnd w:id="119"/>
    <w:bookmarkStart w:id="201" w:name="references"/>
    <w:p>
      <w:pPr>
        <w:pStyle w:val="Heading2"/>
      </w:pPr>
      <w:r>
        <w:t xml:space="preserve">References</w:t>
      </w:r>
    </w:p>
    <w:bookmarkStart w:id="200" w:name="refs"/>
    <w:bookmarkStart w:id="121"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120">
        <w:r>
          <w:rPr>
            <w:rStyle w:val="Hyperlink"/>
          </w:rPr>
          <w:t xml:space="preserve">https://doi.org/10.2307/2347562</w:t>
        </w:r>
      </w:hyperlink>
      <w:r>
        <w:t xml:space="preserve">.</w:t>
      </w:r>
    </w:p>
    <w:bookmarkEnd w:id="121"/>
    <w:bookmarkStart w:id="12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122">
        <w:r>
          <w:rPr>
            <w:rStyle w:val="Hyperlink"/>
          </w:rPr>
          <w:t xml:space="preserve">https://doi.org/10.1080/10627197.2018.1444986</w:t>
        </w:r>
      </w:hyperlink>
      <w:r>
        <w:t xml:space="preserve">.</w:t>
      </w:r>
    </w:p>
    <w:bookmarkEnd w:id="123"/>
    <w:bookmarkStart w:id="12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124">
        <w:r>
          <w:rPr>
            <w:rStyle w:val="Hyperlink"/>
          </w:rPr>
          <w:t xml:space="preserve">https://doi.org/10.1007/978-3-030-52229-2_18</w:t>
        </w:r>
      </w:hyperlink>
      <w:r>
        <w:t xml:space="preserve">.</w:t>
      </w:r>
    </w:p>
    <w:bookmarkEnd w:id="125"/>
    <w:bookmarkStart w:id="12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26">
        <w:r>
          <w:rPr>
            <w:rStyle w:val="Hyperlink"/>
          </w:rPr>
          <w:t xml:space="preserve">https://doi.org/10.1016/j.jcomdis.2019.105969</w:t>
        </w:r>
      </w:hyperlink>
      <w:r>
        <w:t xml:space="preserve">.</w:t>
      </w:r>
    </w:p>
    <w:bookmarkEnd w:id="127"/>
    <w:bookmarkStart w:id="129"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28">
        <w:r>
          <w:rPr>
            <w:rStyle w:val="Hyperlink"/>
          </w:rPr>
          <w:t xml:space="preserve">https://doi.org/10.17239/jowr-2024.15.03.03</w:t>
        </w:r>
      </w:hyperlink>
      <w:r>
        <w:t xml:space="preserve">.</w:t>
      </w:r>
    </w:p>
    <w:bookmarkEnd w:id="129"/>
    <w:bookmarkStart w:id="13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30">
        <w:r>
          <w:rPr>
            <w:rStyle w:val="Hyperlink"/>
          </w:rPr>
          <w:t xml:space="preserve">https://doi.org/10.2307/2334029</w:t>
        </w:r>
      </w:hyperlink>
      <w:r>
        <w:t xml:space="preserve">.</w:t>
      </w:r>
    </w:p>
    <w:bookmarkEnd w:id="131"/>
    <w:bookmarkStart w:id="133" w:name="ref-Bramley_2015"/>
    <w:p>
      <w:pPr>
        <w:pStyle w:val="Bibliography"/>
      </w:pPr>
      <w:r>
        <w:t xml:space="preserve">Bramley, T. 2015.</w:t>
      </w:r>
      <w:r>
        <w:t xml:space="preserve"> </w:t>
      </w:r>
      <w:r>
        <w:t xml:space="preserve">“Investigating the Reliability of Adaptive Comparative Judgment.”</w:t>
      </w:r>
      <w:r>
        <w:t xml:space="preserve"> </w:t>
      </w:r>
      <w:hyperlink r:id="rId132">
        <w:r>
          <w:rPr>
            <w:rStyle w:val="Hyperlink"/>
          </w:rPr>
          <w:t xml:space="preserve">http://www.cambridgeassessment.org.uk/Images/232694-investigating-the-reliability-of-adaptive-comparative-judgment.pdf</w:t>
        </w:r>
      </w:hyperlink>
      <w:r>
        <w:t xml:space="preserve">.</w:t>
      </w:r>
    </w:p>
    <w:bookmarkEnd w:id="133"/>
    <w:bookmarkStart w:id="13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34">
        <w:r>
          <w:rPr>
            <w:rStyle w:val="Hyperlink"/>
          </w:rPr>
          <w:t xml:space="preserve">https://doi.org/10.1080/0969594X.2017.1418734</w:t>
        </w:r>
      </w:hyperlink>
      <w:r>
        <w:t xml:space="preserve">.</w:t>
      </w:r>
    </w:p>
    <w:bookmarkEnd w:id="135"/>
    <w:bookmarkStart w:id="137" w:name="ref-Chow_2015"/>
    <w:p>
      <w:pPr>
        <w:pStyle w:val="Bibliography"/>
      </w:pPr>
      <w:r>
        <w:t xml:space="preserve">Chow, S. 2015.</w:t>
      </w:r>
      <w:r>
        <w:t xml:space="preserve"> </w:t>
      </w:r>
      <w:r>
        <w:t xml:space="preserve">“Many Meanings of</w:t>
      </w:r>
      <w:r>
        <w:t xml:space="preserve"> </w:t>
      </w:r>
      <w:r>
        <w:t xml:space="preserve">‘Heuristic’</w:t>
      </w:r>
      <w:r>
        <w:t xml:space="preserve">.”</w:t>
      </w:r>
      <w:r>
        <w:t xml:space="preserve"> </w:t>
      </w:r>
      <w:r>
        <w:rPr>
          <w:i/>
          <w:iCs/>
        </w:rPr>
        <w:t xml:space="preserve">The British Journal for the Philosophy of Science</w:t>
      </w:r>
      <w:r>
        <w:t xml:space="preserve"> </w:t>
      </w:r>
      <w:r>
        <w:t xml:space="preserve">66 (4): 977–1016.</w:t>
      </w:r>
      <w:r>
        <w:t xml:space="preserve"> </w:t>
      </w:r>
      <w:hyperlink r:id="rId136">
        <w:r>
          <w:rPr>
            <w:rStyle w:val="Hyperlink"/>
          </w:rPr>
          <w:t xml:space="preserve">https://doi.org/10.1093/bjps/axu028</w:t>
        </w:r>
      </w:hyperlink>
      <w:r>
        <w:t xml:space="preserve">.</w:t>
      </w:r>
    </w:p>
    <w:bookmarkEnd w:id="137"/>
    <w:bookmarkStart w:id="139"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38">
        <w:r>
          <w:rPr>
            <w:rStyle w:val="Hyperlink"/>
          </w:rPr>
          <w:t xml:space="preserve">https://doi.org/10.2139/ssrn.3689437</w:t>
        </w:r>
      </w:hyperlink>
      <w:r>
        <w:t xml:space="preserve">.</w:t>
      </w:r>
    </w:p>
    <w:bookmarkEnd w:id="139"/>
    <w:bookmarkStart w:id="141" w:name="ref-Counterfactual_2024"/>
    <w:p>
      <w:pPr>
        <w:pStyle w:val="Bibliography"/>
      </w:pPr>
      <w:r>
        <w:t xml:space="preserve">Counterfactual. 2024.</w:t>
      </w:r>
      <w:r>
        <w:t xml:space="preserve"> </w:t>
      </w:r>
      <w:r>
        <w:t xml:space="preserve">“Merriam-Webster.com Dictionary.”</w:t>
      </w:r>
      <w:r>
        <w:t xml:space="preserve"> </w:t>
      </w:r>
      <w:hyperlink r:id="rId140">
        <w:r>
          <w:rPr>
            <w:rStyle w:val="Hyperlink"/>
          </w:rPr>
          <w:t xml:space="preserve">https://www.merriam-webster.com/dictionary/hacker</w:t>
        </w:r>
      </w:hyperlink>
      <w:r>
        <w:t xml:space="preserve">.</w:t>
      </w:r>
    </w:p>
    <w:bookmarkEnd w:id="141"/>
    <w:bookmarkStart w:id="143"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42">
        <w:r>
          <w:rPr>
            <w:rStyle w:val="Hyperlink"/>
          </w:rPr>
          <w:t xml:space="preserve">https://doi.org/10.3389/feduc.2021.788202</w:t>
        </w:r>
      </w:hyperlink>
      <w:r>
        <w:t xml:space="preserve">.</w:t>
      </w:r>
    </w:p>
    <w:bookmarkEnd w:id="143"/>
    <w:bookmarkStart w:id="145"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44">
        <w:r>
          <w:rPr>
            <w:rStyle w:val="Hyperlink"/>
          </w:rPr>
          <w:t xml:space="preserve">https://doi.org/10.3389/feduc.2020.582800</w:t>
        </w:r>
      </w:hyperlink>
      <w:r>
        <w:t xml:space="preserve">.</w:t>
      </w:r>
    </w:p>
    <w:bookmarkEnd w:id="145"/>
    <w:bookmarkStart w:id="147"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46">
        <w:r>
          <w:rPr>
            <w:rStyle w:val="Hyperlink"/>
          </w:rPr>
          <w:t xml:space="preserve">https://doi.org/10.1201/9780429425134</w:t>
        </w:r>
        <w:r>
          <w:rPr>
            <w:rStyle w:val="Hyperlink"/>
          </w:rPr>
          <w:t xml:space="preserve"> </w:t>
        </w:r>
      </w:hyperlink>
      <w:r>
        <w:t xml:space="preserve">.</w:t>
      </w:r>
    </w:p>
    <w:bookmarkEnd w:id="147"/>
    <w:bookmarkStart w:id="149"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48">
        <w:r>
          <w:rPr>
            <w:rStyle w:val="Hyperlink"/>
          </w:rPr>
          <w:t xml:space="preserve">https://www.hsph.harvard.edu/miguel-hernan/causal-inference-book</w:t>
        </w:r>
      </w:hyperlink>
      <w:r>
        <w:t xml:space="preserve">.</w:t>
      </w:r>
    </w:p>
    <w:bookmarkEnd w:id="149"/>
    <w:bookmarkStart w:id="151" w:name="ref-Hitchcock_2024"/>
    <w:p>
      <w:pPr>
        <w:pStyle w:val="Bibliography"/>
      </w:pPr>
      <w:r>
        <w:t xml:space="preserve">Hitchcock, C. 2024.</w:t>
      </w:r>
      <w:r>
        <w:t xml:space="preserve"> </w:t>
      </w:r>
      <w:r>
        <w:t xml:space="preserve">“</w:t>
      </w:r>
      <w:r>
        <w:t xml:space="preserve">Causal Models</w:t>
      </w:r>
      <w:r>
        <w:t xml:space="preserve">.”</w:t>
      </w:r>
      <w:r>
        <w:t xml:space="preserve"> </w:t>
      </w:r>
      <w:r>
        <w:t xml:space="preserve">In</w:t>
      </w:r>
      <w:r>
        <w:t xml:space="preserve"> </w:t>
      </w:r>
      <w:r>
        <w:rPr>
          <w:i/>
          <w:iCs/>
        </w:rPr>
        <w:t xml:space="preserve">The</w:t>
      </w:r>
      <w:r>
        <w:rPr>
          <w:i/>
          <w:iCs/>
        </w:rPr>
        <w:t xml:space="preserve"> </w:t>
      </w:r>
      <w:r>
        <w:rPr>
          <w:i/>
          <w:iCs/>
        </w:rPr>
        <w:t xml:space="preserve">Stanford</w:t>
      </w:r>
      <w:r>
        <w:rPr>
          <w:i/>
          <w:iCs/>
        </w:rPr>
        <w:t xml:space="preserve"> </w:t>
      </w:r>
      <w:r>
        <w:rPr>
          <w:i/>
          <w:iCs/>
        </w:rPr>
        <w:t xml:space="preserve">Encyclopedia of Philosophy</w:t>
      </w:r>
      <w:r>
        <w:t xml:space="preserve">, edited by Edward N. Zalta and Uri Nodelman,</w:t>
      </w:r>
      <w:r>
        <w:t xml:space="preserve"> </w:t>
      </w:r>
      <w:r>
        <w:t xml:space="preserve">S</w:t>
      </w:r>
      <w:r>
        <w:t xml:space="preserve">ummer 2024. Metaphysics Research Lab, Stanford University.</w:t>
      </w:r>
      <w:r>
        <w:t xml:space="preserve"> </w:t>
      </w:r>
      <w:hyperlink r:id="rId150">
        <w:r>
          <w:rPr>
            <w:rStyle w:val="Hyperlink"/>
          </w:rPr>
          <w:t xml:space="preserve">https://plato.stanford.edu/archives/spr2023/entries/causal-models/</w:t>
        </w:r>
      </w:hyperlink>
      <w:r>
        <w:t xml:space="preserve">.</w:t>
      </w:r>
    </w:p>
    <w:bookmarkEnd w:id="151"/>
    <w:bookmarkStart w:id="153"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52">
        <w:r>
          <w:rPr>
            <w:rStyle w:val="Hyperlink"/>
          </w:rPr>
          <w:t xml:space="preserve">https://doi.org/10.1007/s10649-015-9607-1</w:t>
        </w:r>
      </w:hyperlink>
      <w:r>
        <w:t xml:space="preserve">.</w:t>
      </w:r>
    </w:p>
    <w:bookmarkEnd w:id="153"/>
    <w:bookmarkStart w:id="154"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54"/>
    <w:bookmarkStart w:id="156"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55">
        <w:r>
          <w:rPr>
            <w:rStyle w:val="Hyperlink"/>
          </w:rPr>
          <w:t xml:space="preserve">https://doi.org/10.1037/h0043178</w:t>
        </w:r>
      </w:hyperlink>
      <w:r>
        <w:t xml:space="preserve">.</w:t>
      </w:r>
    </w:p>
    <w:bookmarkEnd w:id="156"/>
    <w:bookmarkStart w:id="158"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57">
        <w:r>
          <w:rPr>
            <w:rStyle w:val="Hyperlink"/>
          </w:rPr>
          <w:t xml:space="preserve">https://doi.org/10.1007/s40841-020-00163-3</w:t>
        </w:r>
      </w:hyperlink>
      <w:r>
        <w:t xml:space="preserve">.</w:t>
      </w:r>
    </w:p>
    <w:bookmarkEnd w:id="158"/>
    <w:bookmarkStart w:id="160" w:name="ref-McElreath_2020"/>
    <w:p>
      <w:pPr>
        <w:pStyle w:val="Bibliography"/>
      </w:pPr>
      <w:r>
        <w:t xml:space="preserve">McElreath, R. 2020.</w:t>
      </w:r>
      <w:r>
        <w:t xml:space="preserve"> </w:t>
      </w:r>
      <w:hyperlink r:id="rId159">
        <w:r>
          <w:rPr>
            <w:rStyle w:val="Hyperlink"/>
            <w:i/>
            <w:iCs/>
          </w:rPr>
          <w:t xml:space="preserve">Statistical Rethinking: A Bayesian Course with Examples in r and STAN</w:t>
        </w:r>
      </w:hyperlink>
      <w:r>
        <w:t xml:space="preserve">. Chapman; Hall/CRC.</w:t>
      </w:r>
    </w:p>
    <w:bookmarkEnd w:id="160"/>
    <w:bookmarkStart w:id="161" w:name="ref-Morgan_et_al_2014"/>
    <w:p>
      <w:pPr>
        <w:pStyle w:val="Bibliography"/>
      </w:pPr>
      <w:r>
        <w:t xml:space="preserve">Morgan, S., and C. Winship. 2014.</w:t>
      </w:r>
      <w:r>
        <w:t xml:space="preserve"> </w:t>
      </w:r>
      <w:hyperlink r:id="rId159">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61"/>
    <w:bookmarkStart w:id="163" w:name="ref-Neal_2020"/>
    <w:p>
      <w:pPr>
        <w:pStyle w:val="Bibliography"/>
      </w:pPr>
      <w:r>
        <w:t xml:space="preserve">Neal, B. 2020.</w:t>
      </w:r>
      <w:r>
        <w:t xml:space="preserve"> </w:t>
      </w:r>
      <w:r>
        <w:t xml:space="preserve">“Introduction to Causal Inference from a Machine Learning Perspective.”</w:t>
      </w:r>
      <w:r>
        <w:t xml:space="preserve"> </w:t>
      </w:r>
      <w:hyperlink r:id="rId162">
        <w:r>
          <w:rPr>
            <w:rStyle w:val="Hyperlink"/>
          </w:rPr>
          <w:t xml:space="preserve">https://www.bradyneal.com/Introduction_to_Causal_Inference-Dec17_2020-Neal.pdf</w:t>
        </w:r>
      </w:hyperlink>
      <w:r>
        <w:t xml:space="preserve">.</w:t>
      </w:r>
    </w:p>
    <w:bookmarkEnd w:id="163"/>
    <w:bookmarkStart w:id="165"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64">
        <w:r>
          <w:rPr>
            <w:rStyle w:val="Hyperlink"/>
          </w:rPr>
          <w:t xml:space="preserve">http://www.jstor.org/stable/2245382</w:t>
        </w:r>
      </w:hyperlink>
      <w:r>
        <w:t xml:space="preserve">.</w:t>
      </w:r>
    </w:p>
    <w:bookmarkEnd w:id="165"/>
    <w:bookmarkStart w:id="166" w:name="ref-Pearl_2009"/>
    <w:p>
      <w:pPr>
        <w:pStyle w:val="Bibliography"/>
      </w:pPr>
      <w:r>
        <w:t xml:space="preserve">Pearl, J. 2009.</w:t>
      </w:r>
      <w:r>
        <w:t xml:space="preserve"> </w:t>
      </w:r>
      <w:hyperlink r:id="rId159">
        <w:r>
          <w:rPr>
            <w:rStyle w:val="Hyperlink"/>
            <w:i/>
            <w:iCs/>
          </w:rPr>
          <w:t xml:space="preserve">Causality: Models, Reasoning and Inference</w:t>
        </w:r>
      </w:hyperlink>
      <w:r>
        <w:t xml:space="preserve">. Cambrige University Press.</w:t>
      </w:r>
    </w:p>
    <w:bookmarkEnd w:id="166"/>
    <w:bookmarkStart w:id="168"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67">
        <w:r>
          <w:rPr>
            <w:rStyle w:val="Hyperlink"/>
          </w:rPr>
          <w:t xml:space="preserve">https://doi.org/10.2202/1557-4679.1203</w:t>
        </w:r>
      </w:hyperlink>
      <w:r>
        <w:t xml:space="preserve">.</w:t>
      </w:r>
    </w:p>
    <w:bookmarkEnd w:id="168"/>
    <w:bookmarkStart w:id="170"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69">
        <w:r>
          <w:rPr>
            <w:rStyle w:val="Hyperlink"/>
          </w:rPr>
          <w:t xml:space="preserve">https://doi.org/10.1177/0962280215586010</w:t>
        </w:r>
      </w:hyperlink>
      <w:r>
        <w:t xml:space="preserve">.</w:t>
      </w:r>
    </w:p>
    <w:bookmarkEnd w:id="170"/>
    <w:bookmarkStart w:id="171" w:name="ref-Pearl_et_al_2016"/>
    <w:p>
      <w:pPr>
        <w:pStyle w:val="Bibliography"/>
      </w:pPr>
      <w:r>
        <w:t xml:space="preserve">Pearl, J., M. Glymour, and N. Jewell. 2016.</w:t>
      </w:r>
      <w:r>
        <w:t xml:space="preserve"> </w:t>
      </w:r>
      <w:hyperlink r:id="rId159">
        <w:r>
          <w:rPr>
            <w:rStyle w:val="Hyperlink"/>
            <w:i/>
            <w:iCs/>
          </w:rPr>
          <w:t xml:space="preserve">Causal Inference in Statistics: A Primer</w:t>
        </w:r>
      </w:hyperlink>
      <w:r>
        <w:t xml:space="preserve">. John Wiley &amp; Sons, Inc.</w:t>
      </w:r>
    </w:p>
    <w:bookmarkEnd w:id="171"/>
    <w:bookmarkStart w:id="172" w:name="ref-Pearl_et_al_2018"/>
    <w:p>
      <w:pPr>
        <w:pStyle w:val="Bibliography"/>
      </w:pPr>
      <w:r>
        <w:t xml:space="preserve">Pearl, J., and D. Mackenzie. 2018.</w:t>
      </w:r>
      <w:r>
        <w:t xml:space="preserve"> </w:t>
      </w:r>
      <w:hyperlink r:id="rId159">
        <w:r>
          <w:rPr>
            <w:rStyle w:val="Hyperlink"/>
            <w:i/>
            <w:iCs/>
          </w:rPr>
          <w:t xml:space="preserve">The Book of Why: The New Science of Cause and Effect</w:t>
        </w:r>
      </w:hyperlink>
      <w:r>
        <w:t xml:space="preserve">. 1st ed. Basic Books, Inc.</w:t>
      </w:r>
    </w:p>
    <w:bookmarkEnd w:id="172"/>
    <w:bookmarkStart w:id="174"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73">
        <w:r>
          <w:rPr>
            <w:rStyle w:val="Hyperlink"/>
          </w:rPr>
          <w:t xml:space="preserve">https://doi.org/10.2307/2346567</w:t>
        </w:r>
      </w:hyperlink>
      <w:r>
        <w:t xml:space="preserve">.</w:t>
      </w:r>
    </w:p>
    <w:bookmarkEnd w:id="174"/>
    <w:bookmarkStart w:id="176"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75">
        <w:r>
          <w:rPr>
            <w:rStyle w:val="Hyperlink"/>
          </w:rPr>
          <w:t xml:space="preserve">https://doi.org/10.1007/s10798-011-9189-x</w:t>
        </w:r>
      </w:hyperlink>
      <w:r>
        <w:t xml:space="preserve">.</w:t>
      </w:r>
    </w:p>
    <w:bookmarkEnd w:id="176"/>
    <w:bookmarkStart w:id="178"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77">
        <w:r>
          <w:rPr>
            <w:rStyle w:val="Hyperlink"/>
          </w:rPr>
          <w:t xml:space="preserve">https://doi.org/10.1080/0969594X.2012.665354</w:t>
        </w:r>
      </w:hyperlink>
      <w:r>
        <w:t xml:space="preserve">.</w:t>
      </w:r>
    </w:p>
    <w:bookmarkEnd w:id="178"/>
    <w:bookmarkStart w:id="180"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79">
        <w:r>
          <w:rPr>
            <w:rStyle w:val="Hyperlink"/>
          </w:rPr>
          <w:t xml:space="preserve">https://doi.org/10.1177/2515245917745629</w:t>
        </w:r>
      </w:hyperlink>
      <w:r>
        <w:t xml:space="preserve">.</w:t>
      </w:r>
    </w:p>
    <w:bookmarkEnd w:id="180"/>
    <w:bookmarkStart w:id="182"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81">
        <w:r>
          <w:rPr>
            <w:rStyle w:val="Hyperlink"/>
          </w:rPr>
          <w:t xml:space="preserve">https://doi.org/10.1037/h0037350</w:t>
        </w:r>
      </w:hyperlink>
      <w:r>
        <w:t xml:space="preserve">.</w:t>
      </w:r>
    </w:p>
    <w:bookmarkEnd w:id="182"/>
    <w:bookmarkStart w:id="184"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83">
        <w:r>
          <w:rPr>
            <w:rStyle w:val="Hyperlink"/>
          </w:rPr>
          <w:t xml:space="preserve">https://doi.org/10.1093/oxfordhb/9780199286546.003.0011</w:t>
        </w:r>
      </w:hyperlink>
      <w:r>
        <w:t xml:space="preserve">.</w:t>
      </w:r>
    </w:p>
    <w:bookmarkEnd w:id="184"/>
    <w:bookmarkStart w:id="186"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85">
        <w:r>
          <w:rPr>
            <w:rStyle w:val="Hyperlink"/>
          </w:rPr>
          <w:t xml:space="preserve">https://web.archive.org/web/20141015135541/http://www.mhhe.com/socscience/psychology/shaugh/ch01_concepts.html</w:t>
        </w:r>
      </w:hyperlink>
      <w:r>
        <w:t xml:space="preserve">.</w:t>
      </w:r>
    </w:p>
    <w:bookmarkEnd w:id="186"/>
    <w:bookmarkStart w:id="188"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87">
        <w:r>
          <w:rPr>
            <w:rStyle w:val="Hyperlink"/>
          </w:rPr>
          <w:t xml:space="preserve">https://www.jstor.org/stable/4320244</w:t>
        </w:r>
      </w:hyperlink>
      <w:r>
        <w:t xml:space="preserve">.</w:t>
      </w:r>
    </w:p>
    <w:bookmarkEnd w:id="188"/>
    <w:bookmarkStart w:id="190"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89">
        <w:r>
          <w:rPr>
            <w:rStyle w:val="Hyperlink"/>
          </w:rPr>
          <w:t xml:space="preserve">https://doi.org/10.1037/h0070288</w:t>
        </w:r>
      </w:hyperlink>
      <w:r>
        <w:t xml:space="preserve">.</w:t>
      </w:r>
    </w:p>
    <w:bookmarkEnd w:id="190"/>
    <w:bookmarkStart w:id="192"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91">
        <w:r>
          <w:rPr>
            <w:rStyle w:val="Hyperlink"/>
          </w:rPr>
          <w:t xml:space="preserve">https://doi.org/10.1016/0022-2496(86)90034-9</w:t>
        </w:r>
      </w:hyperlink>
      <w:r>
        <w:t xml:space="preserve">.</w:t>
      </w:r>
    </w:p>
    <w:bookmarkEnd w:id="192"/>
    <w:bookmarkStart w:id="193"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93"/>
    <w:bookmarkStart w:id="195"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94">
        <w:r>
          <w:rPr>
            <w:rStyle w:val="Hyperlink"/>
          </w:rPr>
          <w:t xml:space="preserve">https://doi.org/10.1080/0969594X.2016.1253542</w:t>
        </w:r>
      </w:hyperlink>
      <w:r>
        <w:t xml:space="preserve">.</w:t>
      </w:r>
    </w:p>
    <w:bookmarkEnd w:id="195"/>
    <w:bookmarkStart w:id="197"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96">
        <w:r>
          <w:rPr>
            <w:rStyle w:val="Hyperlink"/>
          </w:rPr>
          <w:t xml:space="preserve">https://doi.org/10.3389/feduc.2017.00044</w:t>
        </w:r>
      </w:hyperlink>
      <w:r>
        <w:t xml:space="preserve">.</w:t>
      </w:r>
    </w:p>
    <w:bookmarkEnd w:id="197"/>
    <w:bookmarkStart w:id="199"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98">
        <w:r>
          <w:rPr>
            <w:rStyle w:val="Hyperlink"/>
          </w:rPr>
          <w:t xml:space="preserve">https://doi.org/10.1080/0969594X.2019.1602027</w:t>
        </w:r>
      </w:hyperlink>
      <w:r>
        <w:t xml:space="preserve">.</w:t>
      </w:r>
    </w:p>
    <w:bookmarkEnd w:id="199"/>
    <w:bookmarkEnd w:id="200"/>
    <w:bookmarkEnd w:id="201"/>
    <w:bookmarkEnd w:id="2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68" Target="media/rId68.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72" Target="media/rId72.png" /><Relationship Type="http://schemas.openxmlformats.org/officeDocument/2006/relationships/hyperlink" Id="rId159" Target="" TargetMode="External" /><Relationship Type="http://schemas.openxmlformats.org/officeDocument/2006/relationships/hyperlink" Id="rId132" Target="http://www.cambridgeassessment.org.uk/Images/232694-investigating-the-reliability-of-adaptive-comparative-judgment.pdf" TargetMode="External" /><Relationship Type="http://schemas.openxmlformats.org/officeDocument/2006/relationships/hyperlink" Id="rId164" Target="http://www.jstor.org/stable/2245382" TargetMode="External" /><Relationship Type="http://schemas.openxmlformats.org/officeDocument/2006/relationships/hyperlink" Id="rId124" Target="https://doi.org/10.1007/978-3-030-52229-2_18" TargetMode="External" /><Relationship Type="http://schemas.openxmlformats.org/officeDocument/2006/relationships/hyperlink" Id="rId152" Target="https://doi.org/10.1007/s10649-015-9607-1" TargetMode="External" /><Relationship Type="http://schemas.openxmlformats.org/officeDocument/2006/relationships/hyperlink" Id="rId175" Target="https://doi.org/10.1007/s10798-011-9189-x" TargetMode="External" /><Relationship Type="http://schemas.openxmlformats.org/officeDocument/2006/relationships/hyperlink" Id="rId157" Target="https://doi.org/10.1007/s40841-020-00163-3" TargetMode="External" /><Relationship Type="http://schemas.openxmlformats.org/officeDocument/2006/relationships/hyperlink" Id="rId191" Target="https://doi.org/10.1016/0022-2496(86)90034-9" TargetMode="External" /><Relationship Type="http://schemas.openxmlformats.org/officeDocument/2006/relationships/hyperlink" Id="rId126" Target="https://doi.org/10.1016/j.jcomdis.2019.105969" TargetMode="External" /><Relationship Type="http://schemas.openxmlformats.org/officeDocument/2006/relationships/hyperlink" Id="rId181" Target="https://doi.org/10.1037/h0037350" TargetMode="External" /><Relationship Type="http://schemas.openxmlformats.org/officeDocument/2006/relationships/hyperlink" Id="rId155" Target="https://doi.org/10.1037/h0043178" TargetMode="External" /><Relationship Type="http://schemas.openxmlformats.org/officeDocument/2006/relationships/hyperlink" Id="rId189" Target="https://doi.org/10.1037/h0070288" TargetMode="External" /><Relationship Type="http://schemas.openxmlformats.org/officeDocument/2006/relationships/hyperlink" Id="rId177" Target="https://doi.org/10.1080/0969594X.2012.665354" TargetMode="External" /><Relationship Type="http://schemas.openxmlformats.org/officeDocument/2006/relationships/hyperlink" Id="rId194" Target="https://doi.org/10.1080/0969594X.2016.1253542" TargetMode="External" /><Relationship Type="http://schemas.openxmlformats.org/officeDocument/2006/relationships/hyperlink" Id="rId134" Target="https://doi.org/10.1080/0969594X.2017.1418734" TargetMode="External" /><Relationship Type="http://schemas.openxmlformats.org/officeDocument/2006/relationships/hyperlink" Id="rId198" Target="https://doi.org/10.1080/0969594X.2019.1602027" TargetMode="External" /><Relationship Type="http://schemas.openxmlformats.org/officeDocument/2006/relationships/hyperlink" Id="rId122" Target="https://doi.org/10.1080/10627197.2018.1444986" TargetMode="External" /><Relationship Type="http://schemas.openxmlformats.org/officeDocument/2006/relationships/hyperlink" Id="rId136" Target="https://doi.org/10.1093/bjps/axu028" TargetMode="External" /><Relationship Type="http://schemas.openxmlformats.org/officeDocument/2006/relationships/hyperlink" Id="rId183" Target="https://doi.org/10.1093/oxfordhb/9780199286546.003.0011" TargetMode="External" /><Relationship Type="http://schemas.openxmlformats.org/officeDocument/2006/relationships/hyperlink" Id="rId169" Target="https://doi.org/10.1177/0962280215586010" TargetMode="External" /><Relationship Type="http://schemas.openxmlformats.org/officeDocument/2006/relationships/hyperlink" Id="rId179" Target="https://doi.org/10.1177/2515245917745629" TargetMode="External" /><Relationship Type="http://schemas.openxmlformats.org/officeDocument/2006/relationships/hyperlink" Id="rId146" Target="https://doi.org/10.1201/9780429425134 " TargetMode="External" /><Relationship Type="http://schemas.openxmlformats.org/officeDocument/2006/relationships/hyperlink" Id="rId128" Target="https://doi.org/10.17239/jowr-2024.15.03.03" TargetMode="External" /><Relationship Type="http://schemas.openxmlformats.org/officeDocument/2006/relationships/hyperlink" Id="rId138" Target="https://doi.org/10.2139/ssrn.3689437" TargetMode="External" /><Relationship Type="http://schemas.openxmlformats.org/officeDocument/2006/relationships/hyperlink" Id="rId167" Target="https://doi.org/10.2202/1557-4679.1203" TargetMode="External" /><Relationship Type="http://schemas.openxmlformats.org/officeDocument/2006/relationships/hyperlink" Id="rId130" Target="https://doi.org/10.2307/2334029" TargetMode="External" /><Relationship Type="http://schemas.openxmlformats.org/officeDocument/2006/relationships/hyperlink" Id="rId173" Target="https://doi.org/10.2307/2346567" TargetMode="External" /><Relationship Type="http://schemas.openxmlformats.org/officeDocument/2006/relationships/hyperlink" Id="rId120" Target="https://doi.org/10.2307/2347562" TargetMode="External" /><Relationship Type="http://schemas.openxmlformats.org/officeDocument/2006/relationships/hyperlink" Id="rId196" Target="https://doi.org/10.3389/feduc.2017.00044" TargetMode="External" /><Relationship Type="http://schemas.openxmlformats.org/officeDocument/2006/relationships/hyperlink" Id="rId144" Target="https://doi.org/10.3389/feduc.2020.582800" TargetMode="External" /><Relationship Type="http://schemas.openxmlformats.org/officeDocument/2006/relationships/hyperlink" Id="rId142" Target="https://doi.org/10.3389/feduc.2021.788202" TargetMode="External" /><Relationship Type="http://schemas.openxmlformats.org/officeDocument/2006/relationships/hyperlink" Id="rId115" Target="https://jriveraespejo.github.io/paper2_manuscript/" TargetMode="External" /><Relationship Type="http://schemas.openxmlformats.org/officeDocument/2006/relationships/hyperlink" Id="rId150" Target="https://plato.stanford.edu/archives/spr2023/entries/causal-models/" TargetMode="External" /><Relationship Type="http://schemas.openxmlformats.org/officeDocument/2006/relationships/hyperlink" Id="rId185" Target="https://web.archive.org/web/20141015135541/http://www.mhhe.com/socscience/psychology/shaugh/ch01_concepts.html" TargetMode="External" /><Relationship Type="http://schemas.openxmlformats.org/officeDocument/2006/relationships/hyperlink" Id="rId162" Target="https://www.bradyneal.com/Introduction_to_Causal_Inference-Dec17_2020-Neal.pdf" TargetMode="External" /><Relationship Type="http://schemas.openxmlformats.org/officeDocument/2006/relationships/hyperlink" Id="rId148" Target="https://www.hsph.harvard.edu/miguel-hernan/causal-inference-book" TargetMode="External" /><Relationship Type="http://schemas.openxmlformats.org/officeDocument/2006/relationships/hyperlink" Id="rId187" Target="https://www.jstor.org/stable/4320244" TargetMode="External" /><Relationship Type="http://schemas.openxmlformats.org/officeDocument/2006/relationships/hyperlink" Id="rId140"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59" Target="" TargetMode="External" /><Relationship Type="http://schemas.openxmlformats.org/officeDocument/2006/relationships/hyperlink" Id="rId132" Target="http://www.cambridgeassessment.org.uk/Images/232694-investigating-the-reliability-of-adaptive-comparative-judgment.pdf" TargetMode="External" /><Relationship Type="http://schemas.openxmlformats.org/officeDocument/2006/relationships/hyperlink" Id="rId164" Target="http://www.jstor.org/stable/2245382" TargetMode="External" /><Relationship Type="http://schemas.openxmlformats.org/officeDocument/2006/relationships/hyperlink" Id="rId124" Target="https://doi.org/10.1007/978-3-030-52229-2_18" TargetMode="External" /><Relationship Type="http://schemas.openxmlformats.org/officeDocument/2006/relationships/hyperlink" Id="rId152" Target="https://doi.org/10.1007/s10649-015-9607-1" TargetMode="External" /><Relationship Type="http://schemas.openxmlformats.org/officeDocument/2006/relationships/hyperlink" Id="rId175" Target="https://doi.org/10.1007/s10798-011-9189-x" TargetMode="External" /><Relationship Type="http://schemas.openxmlformats.org/officeDocument/2006/relationships/hyperlink" Id="rId157" Target="https://doi.org/10.1007/s40841-020-00163-3" TargetMode="External" /><Relationship Type="http://schemas.openxmlformats.org/officeDocument/2006/relationships/hyperlink" Id="rId191" Target="https://doi.org/10.1016/0022-2496(86)90034-9" TargetMode="External" /><Relationship Type="http://schemas.openxmlformats.org/officeDocument/2006/relationships/hyperlink" Id="rId126" Target="https://doi.org/10.1016/j.jcomdis.2019.105969" TargetMode="External" /><Relationship Type="http://schemas.openxmlformats.org/officeDocument/2006/relationships/hyperlink" Id="rId181" Target="https://doi.org/10.1037/h0037350" TargetMode="External" /><Relationship Type="http://schemas.openxmlformats.org/officeDocument/2006/relationships/hyperlink" Id="rId155" Target="https://doi.org/10.1037/h0043178" TargetMode="External" /><Relationship Type="http://schemas.openxmlformats.org/officeDocument/2006/relationships/hyperlink" Id="rId189" Target="https://doi.org/10.1037/h0070288" TargetMode="External" /><Relationship Type="http://schemas.openxmlformats.org/officeDocument/2006/relationships/hyperlink" Id="rId177" Target="https://doi.org/10.1080/0969594X.2012.665354" TargetMode="External" /><Relationship Type="http://schemas.openxmlformats.org/officeDocument/2006/relationships/hyperlink" Id="rId194" Target="https://doi.org/10.1080/0969594X.2016.1253542" TargetMode="External" /><Relationship Type="http://schemas.openxmlformats.org/officeDocument/2006/relationships/hyperlink" Id="rId134" Target="https://doi.org/10.1080/0969594X.2017.1418734" TargetMode="External" /><Relationship Type="http://schemas.openxmlformats.org/officeDocument/2006/relationships/hyperlink" Id="rId198" Target="https://doi.org/10.1080/0969594X.2019.1602027" TargetMode="External" /><Relationship Type="http://schemas.openxmlformats.org/officeDocument/2006/relationships/hyperlink" Id="rId122" Target="https://doi.org/10.1080/10627197.2018.1444986" TargetMode="External" /><Relationship Type="http://schemas.openxmlformats.org/officeDocument/2006/relationships/hyperlink" Id="rId136" Target="https://doi.org/10.1093/bjps/axu028" TargetMode="External" /><Relationship Type="http://schemas.openxmlformats.org/officeDocument/2006/relationships/hyperlink" Id="rId183" Target="https://doi.org/10.1093/oxfordhb/9780199286546.003.0011" TargetMode="External" /><Relationship Type="http://schemas.openxmlformats.org/officeDocument/2006/relationships/hyperlink" Id="rId169" Target="https://doi.org/10.1177/0962280215586010" TargetMode="External" /><Relationship Type="http://schemas.openxmlformats.org/officeDocument/2006/relationships/hyperlink" Id="rId179" Target="https://doi.org/10.1177/2515245917745629" TargetMode="External" /><Relationship Type="http://schemas.openxmlformats.org/officeDocument/2006/relationships/hyperlink" Id="rId146" Target="https://doi.org/10.1201/9780429425134 " TargetMode="External" /><Relationship Type="http://schemas.openxmlformats.org/officeDocument/2006/relationships/hyperlink" Id="rId128" Target="https://doi.org/10.17239/jowr-2024.15.03.03" TargetMode="External" /><Relationship Type="http://schemas.openxmlformats.org/officeDocument/2006/relationships/hyperlink" Id="rId138" Target="https://doi.org/10.2139/ssrn.3689437" TargetMode="External" /><Relationship Type="http://schemas.openxmlformats.org/officeDocument/2006/relationships/hyperlink" Id="rId167" Target="https://doi.org/10.2202/1557-4679.1203" TargetMode="External" /><Relationship Type="http://schemas.openxmlformats.org/officeDocument/2006/relationships/hyperlink" Id="rId130" Target="https://doi.org/10.2307/2334029" TargetMode="External" /><Relationship Type="http://schemas.openxmlformats.org/officeDocument/2006/relationships/hyperlink" Id="rId173" Target="https://doi.org/10.2307/2346567" TargetMode="External" /><Relationship Type="http://schemas.openxmlformats.org/officeDocument/2006/relationships/hyperlink" Id="rId120" Target="https://doi.org/10.2307/2347562" TargetMode="External" /><Relationship Type="http://schemas.openxmlformats.org/officeDocument/2006/relationships/hyperlink" Id="rId196" Target="https://doi.org/10.3389/feduc.2017.00044" TargetMode="External" /><Relationship Type="http://schemas.openxmlformats.org/officeDocument/2006/relationships/hyperlink" Id="rId144" Target="https://doi.org/10.3389/feduc.2020.582800" TargetMode="External" /><Relationship Type="http://schemas.openxmlformats.org/officeDocument/2006/relationships/hyperlink" Id="rId142" Target="https://doi.org/10.3389/feduc.2021.788202" TargetMode="External" /><Relationship Type="http://schemas.openxmlformats.org/officeDocument/2006/relationships/hyperlink" Id="rId115" Target="https://jriveraespejo.github.io/paper2_manuscript/" TargetMode="External" /><Relationship Type="http://schemas.openxmlformats.org/officeDocument/2006/relationships/hyperlink" Id="rId150" Target="https://plato.stanford.edu/archives/spr2023/entries/causal-models/" TargetMode="External" /><Relationship Type="http://schemas.openxmlformats.org/officeDocument/2006/relationships/hyperlink" Id="rId185" Target="https://web.archive.org/web/20141015135541/http://www.mhhe.com/socscience/psychology/shaugh/ch01_concepts.html" TargetMode="External" /><Relationship Type="http://schemas.openxmlformats.org/officeDocument/2006/relationships/hyperlink" Id="rId162" Target="https://www.bradyneal.com/Introduction_to_Causal_Inference-Dec17_2020-Neal.pdf" TargetMode="External" /><Relationship Type="http://schemas.openxmlformats.org/officeDocument/2006/relationships/hyperlink" Id="rId148" Target="https://www.hsph.harvard.edu/miguel-hernan/causal-inference-book" TargetMode="External" /><Relationship Type="http://schemas.openxmlformats.org/officeDocument/2006/relationships/hyperlink" Id="rId187" Target="https://www.jstor.org/stable/4320244" TargetMode="External" /><Relationship Type="http://schemas.openxmlformats.org/officeDocument/2006/relationships/hyperlink" Id="rId140"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2024-08-06T12:52:46Z</dcterms:created>
  <dcterms:modified xsi:type="dcterms:W3CDTF">2024-08-06T12:52:46Z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2024-08-06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