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2024-11-30</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designs: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(or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 The mode (or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their discriminal processes. This correlation quantifies how much the judge’s perception of the trait in one stimulus influences his perception of the same trait in the 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almost certainly favors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Additionally,</w:t>
      </w:r>
      <w:r>
        <w:t xml:space="preserve"> </w:t>
      </w:r>
      <w:hyperlink w:anchor="fig-correlation">
        <w:r>
          <w:rPr>
            <w:rStyle w:val="Hyperlink"/>
          </w:rPr>
          <w:t xml:space="preserve">Figure 3</w:t>
        </w:r>
      </w:hyperlink>
      <w:r>
        <w:t xml:space="preserve"> </w:t>
      </w:r>
      <w:r>
        <w:t xml:space="preserve">illustrates how varying correlations influence the distribution of the discriminal difference for the same two texts. The figure shows that as the correlation increases, indicating a stronger influence of the judge’s perception of quality in one text on his perception of the other, the distribution of the discriminal difference becomes narrower. This narrowing affects the area under the curve that determines the comparison outcome and, ultimately, the conclusions drawn from this outcome.</w:t>
      </w:r>
    </w:p>
    <w:p>
      <w:pPr>
        <w:pStyle w:val="BodyText"/>
      </w:pPr>
      <w:r>
        <w:t xml:space="preserve">For instance, when two texts clearly differ in quality, as depicted in</w:t>
      </w:r>
      <w:r>
        <w:t xml:space="preserve"> </w:t>
      </w:r>
      <w:hyperlink w:anchor="fig-discriminal_process">
        <w:r>
          <w:rPr>
            <w:rStyle w:val="Hyperlink"/>
          </w:rPr>
          <w:t xml:space="preserve">Figure 1</w:t>
        </w:r>
      </w:hyperlink>
      <w:r>
        <w:t xml:space="preserve">, higher correlations increase the likelihood that the discriminal difference more distinctly favors text B over text A, as indicated by the shaded gray area under the curve in</w:t>
      </w:r>
      <w:r>
        <w:t xml:space="preserve"> </w:t>
      </w:r>
      <w:hyperlink w:anchor="fig-correlation">
        <w:r>
          <w:rPr>
            <w:rStyle w:val="Hyperlink"/>
          </w:rPr>
          <w:t xml:space="preserve">Figure 3</w:t>
        </w:r>
      </w:hyperlink>
      <w:r>
        <w:t xml:space="preserve">. Conversely, when the two texts have similar or identical quality levels, higher correlations reduce the likelihood that the discriminal difference distinctly favors one text over the other, as the distribution narrows around zero (not depicted in the figure).</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may not consistently hold in theory or practice: the zero correlation and equal dispersion between stimuli.</w:t>
      </w:r>
    </w:p>
    <w:p>
      <w:pPr>
        <w:pStyle w:val="BodyText"/>
      </w:pPr>
      <w:r>
        <w:t xml:space="preserve">As outlined in the previous section, the assumption of</w:t>
      </w:r>
      <w:r>
        <w:t xml:space="preserve"> </w:t>
      </w:r>
      <w:r>
        <w:rPr>
          <w:i/>
          <w:iCs/>
        </w:rPr>
        <w:t xml:space="preserve">zero correlation between stimuli</w:t>
      </w:r>
      <w:r>
        <w:t xml:space="preserve"> </w:t>
      </w:r>
      <w:r>
        <w:t xml:space="preserve">suggests that during a pairwise comparison, a judge’s perception of quality in one text does not influence his perception of the same trait in another text (see</w:t>
      </w:r>
      <w:r>
        <w:t xml:space="preserve"> </w:t>
      </w:r>
      <w:hyperlink w:anchor="fig-correlation">
        <w:r>
          <w:rPr>
            <w:rStyle w:val="Hyperlink"/>
          </w:rPr>
          <w:t xml:space="preserve">Figure 3</w:t>
        </w:r>
      </w:hyperlink>
      <w:r>
        <w:t xml:space="preserve">,</w:t>
      </w:r>
      <w:r>
        <w:t xml:space="preserve"> </w:t>
      </w:r>
      <m:oMath>
        <m:r>
          <m:t>ρ</m:t>
        </m:r>
        <m:r>
          <m:rPr>
            <m:sty m:val="p"/>
          </m:rPr>
          <m:t>=</m:t>
        </m:r>
        <m:r>
          <m:t>0</m:t>
        </m:r>
      </m:oMath>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heterogeneous stimuli due to certain judges’ biases that resist cancellation. Research on text quality indicates that when judges evaluate these traits, they often rely on various intricate aspects of the stimuli to form their judgments</w:t>
      </w:r>
      <w:r>
        <w:t xml:space="preserve"> </w:t>
      </w:r>
      <w:r>
        <w:t xml:space="preserve">(van Daal et al. 2016; Lesterhuis 2018b; Chambers and Cunningham 2022)</w:t>
      </w:r>
      <w:r>
        <w:t xml:space="preserve">. These aspects, which are likely neither equally weighted nor opposing, may influence judges’ perceptions unevenly. For example, this could occur when a judge assessing the argumentative quality of a text places disproportionate emphasis on grammatical accuracy, ultimately favoring texts with fewer errors but weaker arguments. Ignoring these relevant additional</w:t>
      </w:r>
      <w:r>
        <w:t xml:space="preserve"> </w:t>
      </w:r>
      <w:r>
        <w:t xml:space="preserve">“traits”</w:t>
      </w:r>
      <w:r>
        <w:t xml:space="preserve"> </w:t>
      </w:r>
      <w:r>
        <w:t xml:space="preserve">can result in biases that resist cancellation, introducing dependencies between stimuli</w:t>
      </w:r>
      <w:r>
        <w:t xml:space="preserve"> </w:t>
      </w:r>
      <w:r>
        <w:t xml:space="preserve">(van der Linden 2017b, 2:346)</w:t>
      </w:r>
      <w:r>
        <w:t xml:space="preserve"> </w:t>
      </w:r>
      <w:r>
        <w:t xml:space="preserve">and ultimately violating the assumption of zero correlation. While direct evidence for the specific mechanisms causing biases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in CJ data, the statistical handling of this extra source of dependency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strongly advises against ignoring relevant additional traits or overlooking clustering (grouping) structures that may introduce dependencies between stimuli. First, ignoring additional aspects pertinent to the trait of interest can cause a dimensional mismatch, which can lead to an overestimation of the precision (reliability) of the trait’s measurement</w:t>
      </w:r>
      <w:r>
        <w:t xml:space="preserve"> </w:t>
      </w:r>
      <w:r>
        <w:t xml:space="preserve">(Hoyle 2023, 340–41)</w:t>
      </w:r>
      <w:r>
        <w:t xml:space="preserve"> </w:t>
      </w:r>
      <w:r>
        <w:t xml:space="preserve">or, worse, introduce bias into the measurement process</w:t>
      </w:r>
      <w:r>
        <w:t xml:space="preserve"> </w:t>
      </w:r>
      <w:r>
        <w:t xml:space="preserve">(Ackerman 1989)</w:t>
      </w:r>
      <w:r>
        <w:t xml:space="preserve">. Additionally, overlooking relevant hierarchical (or grouping) structures can exacerbate the inflation of reliability by reducing the accuracy of the model’s parameters</w:t>
      </w:r>
      <w:r>
        <w:t xml:space="preserve"> </w:t>
      </w:r>
      <w:r>
        <w:t xml:space="preserve">(Hoyle 2023, 482)</w:t>
      </w:r>
      <w:r>
        <w:t xml:space="preserve">. Taken together, these oversights undermine the reliability of the measurement process and, since validity cannot exist without reliability</w:t>
      </w:r>
      <w:r>
        <w:t xml:space="preserve"> </w:t>
      </w:r>
      <w:r>
        <w:t xml:space="preserve">(Perron and Gillespie 2015, 2)</w:t>
      </w:r>
      <w:r>
        <w:t xml:space="preserve">, ultimately compromise the validity of the results derived from it.</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6" w:name="references"/>
    <w:p>
      <w:pPr>
        <w:pStyle w:val="Heading1"/>
      </w:pPr>
      <w:r>
        <w:t xml:space="preserve">References</w:t>
      </w:r>
    </w:p>
    <w:bookmarkStart w:id="135"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3">
        <w:r>
          <w:rPr>
            <w:rStyle w:val="Hyperlink"/>
          </w:rPr>
          <w:t xml:space="preserve">https://filestore.aqa.org.uk/content/research/CERP_RP_CW_24102012_0.pdf?download=1</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3"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2024-11-30T13:05:23Z</dcterms:created>
  <dcterms:modified xsi:type="dcterms:W3CDTF">2024-11-30T13:05:23Z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2024-11-30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