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33.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2024-11-16</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45" w:name="sec-theory-issues"/>
    <w:p>
      <w:pPr>
        <w:pStyle w:val="Heading1"/>
      </w:pPr>
      <w:r>
        <w:t xml:space="preserve">Three critical issues in CJ literature</w:t>
      </w:r>
    </w:p>
    <w:p>
      <w:pPr>
        <w:pStyle w:val="FirstParagraph"/>
      </w:pPr>
      <w:r>
        <w:t xml:space="preserve">In its most general form, Thurstone’s theory</w:t>
      </w:r>
      <w:r>
        <w:t xml:space="preserve"> </w:t>
      </w:r>
      <w:r>
        <w:t xml:space="preserve">(1927a)</w:t>
      </w:r>
      <w:r>
        <w:t xml:space="preserve"> </w:t>
      </w:r>
      <w:r>
        <w:t xml:space="preserve">posits that the dichotomous outcome resulting from comparing two stimuli is determined by two factors: the discriminal process of each stimulus and their discriminal difference.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variability in the stimulus’ perceived trait level.</w:t>
      </w:r>
      <w:r>
        <w:t xml:space="preserve"> </w:t>
      </w:r>
      <w:hyperlink w:anchor="fig-discriminal_process">
        <w:r>
          <w:rPr>
            <w:rStyle w:val="Hyperlink"/>
          </w:rPr>
          <w:t xml:space="preserve">Figure 1</w:t>
        </w:r>
      </w:hyperlink>
      <w:r>
        <w:t xml:space="preserve"> </w:t>
      </w:r>
      <w:r>
        <w:t xml:space="preserve">shows example distributions of discriminal process for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discriminal processes for two stimuli (objects). Extracted from</w:t>
            </w:r>
            <w:r>
              <w:t xml:space="preserve"> </w:t>
            </w:r>
            <w:r>
              <w:t xml:space="preserve">Bramley (2008, 249)</w:t>
            </w:r>
            <w:r>
              <w:t xml:space="preserve">.</w:t>
            </w:r>
          </w:p>
          <w:bookmarkEnd w:id="24"/>
        </w:tc>
      </w:tr>
    </w:tbl>
    <w:p>
      <w:pPr>
        <w:pStyle w:val="BodyText"/>
      </w:pPr>
      <w:r>
        <w:t xml:space="preserve">However, since the discriminal mode and dispersion of a single stimulus are not directly observable except through comparison,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stimuli’s discriminal processes,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an example distribution of the discriminal difference for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the discriminal difference between two stimuli (objects). Extracted from</w:t>
            </w:r>
            <w:r>
              <w:t xml:space="preserve"> </w:t>
            </w:r>
            <w:r>
              <w:t xml:space="preserve">Bramley (2008, 251)</w:t>
            </w:r>
            <w:r>
              <w:t xml:space="preserve">.</w:t>
            </w:r>
          </w:p>
          <w:bookmarkEnd w:id="28"/>
        </w:tc>
      </w:tr>
    </w:tbl>
    <w:p>
      <w:pPr>
        <w:pStyle w:val="BodyText"/>
      </w:pPr>
      <w:r>
        <w:t xml:space="preserve">Importantly, the theory’s general form primarily addresses pairwise comparisons of stimuli made by a single judge</w:t>
      </w:r>
      <w:r>
        <w:t xml:space="preserve"> </w:t>
      </w:r>
      <w:r>
        <w:t xml:space="preserve">(Thurstone 1927a, 267)</w:t>
      </w:r>
      <w:r>
        <w:t xml:space="preserve">. Consequently, to enhance its practical applicability, Thurstone introduced five distinct cases, each defined by progressively simplifying assumptions.</w:t>
      </w:r>
      <w:r>
        <w:t xml:space="preserve"> </w:t>
      </w:r>
      <w:hyperlink w:anchor="tbl-thurstone_cases">
        <w:r>
          <w:rPr>
            <w:rStyle w:val="Hyperlink"/>
          </w:rPr>
          <w:t xml:space="preserve">Table 1</w:t>
        </w:r>
      </w:hyperlink>
      <w:r>
        <w:t xml:space="preserve"> </w:t>
      </w:r>
      <w:r>
        <w:t xml:space="preserve">summarizes these cases, focusing on key assumptions such as the distribution of discriminal processes, the similarity of discriminal dispersions across stimuli, the correlation between stimuli, and which judges perform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800600" cy="1522190"/>
                          </a:xfrm>
                          <a:prstGeom prst="rect">
                            <a:avLst/>
                          </a:prstGeom>
                          <a:noFill/>
                          <a:ln w="9525">
                            <a:noFill/>
                            <a:headEnd/>
                            <a:tailEnd/>
                          </a:ln>
                        </pic:spPr>
                      </pic:pic>
                    </a:graphicData>
                  </a:graphic>
                </wp:inline>
              </w:drawing>
            </w:r>
          </w:p>
          <w:bookmarkEnd w:id="32"/>
        </w:tc>
      </w:tr>
    </w:tbl>
    <w:bookmarkStart w:id="42" w:name="X5e6aec3327791a0418f0f1edd2077714a9529a2"/>
    <w:p>
      <w:pPr>
        <w:pStyle w:val="Heading2"/>
      </w:pPr>
      <w:r>
        <w:t xml:space="preserve">The Case V and the statistical analysis of CJ data</w:t>
      </w:r>
    </w:p>
    <w:p>
      <w:pPr>
        <w:pStyle w:val="FirstParagraph"/>
      </w:pPr>
      <w:r>
        <w:t xml:space="preserve">Surprisingly, 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Case V’s assumptions,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effect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(refer to</w:t>
      </w:r>
      <w:r>
        <w:t xml:space="preserve"> </w:t>
      </w:r>
      <w:hyperlink w:anchor="fig-logistic_vs_normal">
        <w:r>
          <w:rPr>
            <w:rStyle w:val="Hyperlink"/>
          </w:rPr>
          <w:t xml:space="preserve">Figure 3</w:t>
        </w:r>
      </w:hyperlink>
      <w:r>
        <w:t xml:space="preserve">).</w:t>
      </w:r>
    </w:p>
    <w:bookmarkStart w:id="41"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density"/>
                <w:p>
                  <w:pPr>
                    <w:pStyle w:val="Compact"/>
                    <w:jc w:val="center"/>
                    <w:jc w:val="left"/>
                  </w:pPr>
                  <w:r>
                    <w:drawing>
                      <wp:inline>
                        <wp:extent cx="2971800" cy="2672669"/>
                        <wp:effectExtent b="0" l="0" r="0" t="0"/>
                        <wp:docPr descr="" title="" id="34" name="Picture"/>
                        <a:graphic>
                          <a:graphicData uri="http://schemas.openxmlformats.org/drawingml/2006/picture">
                            <pic:pic>
                              <pic:nvPicPr>
                                <pic:cNvPr descr="./images/figures/density.png" id="35" name="Picture"/>
                                <pic:cNvPicPr>
                                  <a:picLocks noChangeArrowheads="1" noChangeAspect="1"/>
                                </pic:cNvPicPr>
                              </pic:nvPicPr>
                              <pic:blipFill>
                                <a:blip r:embed="rId33"/>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cumulative"/>
                <w:p>
                  <w:pPr>
                    <w:pStyle w:val="Compact"/>
                    <w:jc w:val="center"/>
                    <w:jc w:val="left"/>
                  </w:pPr>
                  <w:r>
                    <w:drawing>
                      <wp:inline>
                        <wp:extent cx="2971800" cy="2630139"/>
                        <wp:effectExtent b="0" l="0" r="0" t="0"/>
                        <wp:docPr descr="" title="" id="38" name="Picture"/>
                        <a:graphic>
                          <a:graphicData uri="http://schemas.openxmlformats.org/drawingml/2006/picture">
                            <pic:pic>
                              <pic:nvPicPr>
                                <pic:cNvPr descr="./images/figures/cumulative.png" id="39" name="Picture"/>
                                <pic:cNvPicPr>
                                  <a:picLocks noChangeArrowheads="1" noChangeAspect="1"/>
                                </pic:cNvPicPr>
                              </pic:nvPicPr>
                              <pic:blipFill>
                                <a:blip r:embed="rId37"/>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0"/>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1"/>
    <w:p>
      <w:pPr>
        <w:pStyle w:val="BodyText"/>
      </w:pPr>
      <w:r>
        <w:t xml:space="preserve">However, Case V (and its BTL model counterpart)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suit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with more complex, less homogeneous stimuli, such as handwriting or English compositions</w:t>
      </w:r>
      <w:r>
        <w:t xml:space="preserve"> </w:t>
      </w:r>
      <w:r>
        <w:t xml:space="preserve">(Thurstone 1927b, 374)</w:t>
      </w:r>
      <w:r>
        <w:t xml:space="preserve">. Consequently, given that current CJ applications often deal with complex, less homogeneous stimuli, two key assumptions of Case V may not consistently hold in theory or practice: the zero correlation and equal dispersion between stimuli.</w:t>
      </w:r>
    </w:p>
    <w:p>
      <w:pPr>
        <w:pStyle w:val="BodyText"/>
      </w:pPr>
      <w:r>
        <w:t xml:space="preserve">The</w:t>
      </w:r>
      <w:r>
        <w:t xml:space="preserve"> </w:t>
      </w:r>
      <w:r>
        <w:rPr>
          <w:i/>
          <w:iCs/>
        </w:rPr>
        <w:t xml:space="preserve">zero correlation between stimuli</w:t>
      </w:r>
      <w:r>
        <w:t xml:space="preserve"> </w:t>
      </w:r>
      <w:r>
        <w:t xml:space="preserve">represents two additional assumptions about the method:</w:t>
      </w:r>
    </w:p>
    <w:bookmarkEnd w:id="42"/>
    <w:bookmarkStart w:id="43" w:name="Xadba1c1fad1b0f737d9fa6bd199e290119b7719"/>
    <w:p>
      <w:pPr>
        <w:pStyle w:val="Heading2"/>
      </w:pPr>
      <w:r>
        <w:t xml:space="preserve">The disconnect between trait measurement and hypothesis testing</w:t>
      </w:r>
    </w:p>
    <w:p>
      <w:pPr>
        <w:pStyle w:val="FirstParagraph"/>
      </w:pPr>
      <w:r>
        <w:t xml:space="preserve">Building on the previous section, it is evident that the BTL model typically functions as the measurement model for the trait of interest</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texts’ quality level (the latent variable)</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3"/>
    <w:bookmarkStart w:id="44" w:name="X9dbbad8caaa3c54d9587d95e1f023c4f6f9d268"/>
    <w:p>
      <w:pPr>
        <w:pStyle w:val="Heading2"/>
      </w:pPr>
      <w:r>
        <w:t xml:space="preserve">The role and impact of comparison algorithms</w:t>
      </w:r>
    </w:p>
    <w:bookmarkEnd w:id="44"/>
    <w:bookmarkEnd w:id="45"/>
    <w:bookmarkStart w:id="48" w:name="sec-theory"/>
    <w:p>
      <w:pPr>
        <w:pStyle w:val="Heading1"/>
      </w:pPr>
      <w:r>
        <w:t xml:space="preserve">Theory</w:t>
      </w:r>
    </w:p>
    <w:bookmarkStart w:id="46" w:name="sec-theory-theoretical"/>
    <w:p>
      <w:pPr>
        <w:pStyle w:val="Heading2"/>
      </w:pPr>
      <w:r>
        <w:t xml:space="preserve">A theoretical model for CJ</w:t>
      </w:r>
    </w:p>
    <w:bookmarkEnd w:id="46"/>
    <w:bookmarkStart w:id="47" w:name="sec-theory-statistics"/>
    <w:p>
      <w:pPr>
        <w:pStyle w:val="Heading2"/>
      </w:pPr>
      <w:r>
        <w:t xml:space="preserve">From theory to statistics</w:t>
      </w:r>
    </w:p>
    <w:bookmarkEnd w:id="47"/>
    <w:bookmarkEnd w:id="48"/>
    <w:bookmarkStart w:id="51" w:name="sec-discuss"/>
    <w:p>
      <w:pPr>
        <w:pStyle w:val="Heading1"/>
      </w:pPr>
      <w:r>
        <w:t xml:space="preserve">Discussion</w:t>
      </w:r>
    </w:p>
    <w:bookmarkStart w:id="49" w:name="sec-discuss-finding"/>
    <w:p>
      <w:pPr>
        <w:pStyle w:val="Heading2"/>
      </w:pPr>
      <w:r>
        <w:t xml:space="preserve">Findings</w:t>
      </w:r>
    </w:p>
    <w:bookmarkEnd w:id="49"/>
    <w:bookmarkStart w:id="50" w:name="sec-discuss-limitations"/>
    <w:p>
      <w:pPr>
        <w:pStyle w:val="Heading2"/>
      </w:pPr>
      <w:r>
        <w:t xml:space="preserve">Limitations and further research</w:t>
      </w:r>
    </w:p>
    <w:bookmarkEnd w:id="50"/>
    <w:bookmarkEnd w:id="51"/>
    <w:bookmarkStart w:id="52" w:name="sec-conclusion"/>
    <w:p>
      <w:pPr>
        <w:pStyle w:val="Heading1"/>
      </w:pPr>
      <w:r>
        <w:t xml:space="preserve">Conclusion</w:t>
      </w:r>
    </w:p>
    <w:p>
      <w:r>
        <w:br w:type="page"/>
      </w:r>
    </w:p>
    <w:bookmarkEnd w:id="52"/>
    <w:bookmarkStart w:id="5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4"/>
    <w:bookmarkStart w:id="55" w:name="sec-appendix"/>
    <w:p>
      <w:pPr>
        <w:pStyle w:val="Heading1"/>
      </w:pPr>
      <w:r>
        <w:t xml:space="preserve">Appendix</w:t>
      </w:r>
    </w:p>
    <w:p>
      <w:r>
        <w:br w:type="page"/>
      </w:r>
    </w:p>
    <w:bookmarkEnd w:id="55"/>
    <w:bookmarkStart w:id="123" w:name="references"/>
    <w:p>
      <w:pPr>
        <w:pStyle w:val="Heading1"/>
      </w:pPr>
      <w:r>
        <w:t xml:space="preserve">References</w:t>
      </w:r>
    </w:p>
    <w:bookmarkStart w:id="122" w:name="refs"/>
    <w:bookmarkStart w:id="57"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6">
        <w:r>
          <w:rPr>
            <w:rStyle w:val="Hyperlink"/>
          </w:rPr>
          <w:t xml:space="preserve">https://doi.org/10.1177/014662167800200319</w:t>
        </w:r>
      </w:hyperlink>
      <w:r>
        <w:t xml:space="preserve">.</w:t>
      </w:r>
    </w:p>
    <w:bookmarkEnd w:id="57"/>
    <w:bookmarkStart w:id="59"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58">
        <w:r>
          <w:rPr>
            <w:rStyle w:val="Hyperlink"/>
          </w:rPr>
          <w:t xml:space="preserve">https://doi.org/10.1080/10627197.2018.1444986</w:t>
        </w:r>
      </w:hyperlink>
      <w:r>
        <w:t xml:space="preserve">.</w:t>
      </w:r>
    </w:p>
    <w:bookmarkEnd w:id="59"/>
    <w:bookmarkStart w:id="61"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0">
        <w:r>
          <w:rPr>
            <w:rStyle w:val="Hyperlink"/>
          </w:rPr>
          <w:t xml:space="preserve">https://doi.org/10.1007/978-3-030-52229-2_18</w:t>
        </w:r>
      </w:hyperlink>
      <w:r>
        <w:t xml:space="preserve">.</w:t>
      </w:r>
    </w:p>
    <w:bookmarkEnd w:id="61"/>
    <w:bookmarkStart w:id="63"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2">
        <w:r>
          <w:rPr>
            <w:rStyle w:val="Hyperlink"/>
          </w:rPr>
          <w:t xml:space="preserve">https://doi.org/10.1016/j.jcomdis.2019.105969</w:t>
        </w:r>
      </w:hyperlink>
      <w:r>
        <w:t xml:space="preserve">.</w:t>
      </w:r>
    </w:p>
    <w:bookmarkEnd w:id="63"/>
    <w:bookmarkStart w:id="65"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4">
        <w:r>
          <w:rPr>
            <w:rStyle w:val="Hyperlink"/>
          </w:rPr>
          <w:t xml:space="preserve">https://doi.org/10.17239/jowr-2024.15.03.03</w:t>
        </w:r>
      </w:hyperlink>
      <w:r>
        <w:t xml:space="preserve">.</w:t>
      </w:r>
    </w:p>
    <w:bookmarkEnd w:id="65"/>
    <w:bookmarkStart w:id="67"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6">
        <w:r>
          <w:rPr>
            <w:rStyle w:val="Hyperlink"/>
          </w:rPr>
          <w:t xml:space="preserve">https://doi.org/10.2307/2334029</w:t>
        </w:r>
      </w:hyperlink>
      <w:r>
        <w:t xml:space="preserve">.</w:t>
      </w:r>
    </w:p>
    <w:bookmarkEnd w:id="67"/>
    <w:bookmarkStart w:id="69"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68">
        <w:r>
          <w:rPr>
            <w:rStyle w:val="Hyperlink"/>
          </w:rPr>
          <w:t xml:space="preserve">https://www.gov.uk/government/publications/techniques-for-monitoring-the-comparability-of-examination-standards</w:t>
        </w:r>
      </w:hyperlink>
      <w:r>
        <w:t xml:space="preserve">.</w:t>
      </w:r>
    </w:p>
    <w:bookmarkEnd w:id="69"/>
    <w:bookmarkStart w:id="71"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0">
        <w:r>
          <w:rPr>
            <w:rStyle w:val="Hyperlink"/>
          </w:rPr>
          <w:t xml:space="preserve">https://doi.org/10.1080/0969594X.2017.1418734</w:t>
        </w:r>
      </w:hyperlink>
      <w:r>
        <w:t xml:space="preserve">.</w:t>
      </w:r>
    </w:p>
    <w:bookmarkEnd w:id="71"/>
    <w:bookmarkStart w:id="73"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2">
        <w:r>
          <w:rPr>
            <w:rStyle w:val="Hyperlink"/>
          </w:rPr>
          <w:t xml:space="preserve">https://repository.uantwerpen.be/docman/irua/e71ea9/147930.pdf</w:t>
        </w:r>
      </w:hyperlink>
      <w:r>
        <w:t xml:space="preserve">.</w:t>
      </w:r>
    </w:p>
    <w:bookmarkEnd w:id="73"/>
    <w:bookmarkStart w:id="75"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4">
        <w:r>
          <w:rPr>
            <w:rStyle w:val="Hyperlink"/>
          </w:rPr>
          <w:t xml:space="preserve">https://doi.org/10.3389/feduc.2021.788202</w:t>
        </w:r>
      </w:hyperlink>
      <w:r>
        <w:t xml:space="preserve">.</w:t>
      </w:r>
    </w:p>
    <w:bookmarkEnd w:id="75"/>
    <w:bookmarkStart w:id="77" w:name="ref-Everitt_et_al_2010"/>
    <w:p>
      <w:pPr>
        <w:pStyle w:val="Bibliography"/>
      </w:pPr>
      <w:r>
        <w:t xml:space="preserve">Everitt, B., and A. Skrondal. 2010.</w:t>
      </w:r>
      <w:r>
        <w:t xml:space="preserve"> </w:t>
      </w:r>
      <w:hyperlink r:id="rId76">
        <w:r>
          <w:rPr>
            <w:rStyle w:val="Hyperlink"/>
            <w:i/>
            <w:iCs/>
          </w:rPr>
          <w:t xml:space="preserve">The Cambridge Dictionary of Statistics</w:t>
        </w:r>
      </w:hyperlink>
      <w:r>
        <w:t xml:space="preserve">. Cambridge University Press.</w:t>
      </w:r>
    </w:p>
    <w:bookmarkEnd w:id="77"/>
    <w:bookmarkStart w:id="78" w:name="ref-Fox_2010"/>
    <w:p>
      <w:pPr>
        <w:pStyle w:val="Bibliography"/>
      </w:pPr>
      <w:r>
        <w:t xml:space="preserve">Fox, J. P. 2010.</w:t>
      </w:r>
      <w:r>
        <w:t xml:space="preserve"> </w:t>
      </w:r>
      <w:hyperlink r:id="rId76">
        <w:r>
          <w:rPr>
            <w:rStyle w:val="Hyperlink"/>
            <w:i/>
            <w:iCs/>
          </w:rPr>
          <w:t xml:space="preserve">Bayesian Item Response Modeling, Theory and Applications</w:t>
        </w:r>
      </w:hyperlink>
      <w:r>
        <w:t xml:space="preserve">. Statistics for Social and Behavioral Sciences. Springer.</w:t>
      </w:r>
    </w:p>
    <w:bookmarkEnd w:id="78"/>
    <w:bookmarkStart w:id="80"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79">
        <w:r>
          <w:rPr>
            <w:rStyle w:val="Hyperlink"/>
          </w:rPr>
          <w:t xml:space="preserve">https://doi.org/10.3389/feduc.2020.582800</w:t>
        </w:r>
      </w:hyperlink>
      <w:r>
        <w:t xml:space="preserve">.</w:t>
      </w:r>
    </w:p>
    <w:bookmarkEnd w:id="80"/>
    <w:bookmarkStart w:id="82"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1">
        <w:r>
          <w:rPr>
            <w:rStyle w:val="Hyperlink"/>
          </w:rPr>
          <w:t xml:space="preserve">https://doi.org/10.1007/978-3-319-97807-9_2</w:t>
        </w:r>
      </w:hyperlink>
      <w:r>
        <w:t xml:space="preserve">.</w:t>
      </w:r>
    </w:p>
    <w:bookmarkEnd w:id="82"/>
    <w:bookmarkStart w:id="83" w:name="ref-Hoyle_et_al_2023"/>
    <w:p>
      <w:pPr>
        <w:pStyle w:val="Bibliography"/>
      </w:pPr>
      <w:r>
        <w:t xml:space="preserve">Hoyle, R. (eds.). 2023.</w:t>
      </w:r>
      <w:r>
        <w:t xml:space="preserve"> </w:t>
      </w:r>
      <w:hyperlink r:id="rId76">
        <w:r>
          <w:rPr>
            <w:rStyle w:val="Hyperlink"/>
            <w:i/>
            <w:iCs/>
          </w:rPr>
          <w:t xml:space="preserve">Handbook of Structural Equation Modeling</w:t>
        </w:r>
      </w:hyperlink>
      <w:r>
        <w:t xml:space="preserve">. Guilford Press.</w:t>
      </w:r>
    </w:p>
    <w:bookmarkEnd w:id="83"/>
    <w:bookmarkStart w:id="85"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4">
        <w:r>
          <w:rPr>
            <w:rStyle w:val="Hyperlink"/>
          </w:rPr>
          <w:t xml:space="preserve">https://doi.org/10.1002/berj.3519</w:t>
        </w:r>
      </w:hyperlink>
      <w:r>
        <w:t xml:space="preserve">.</w:t>
      </w:r>
    </w:p>
    <w:bookmarkEnd w:id="85"/>
    <w:bookmarkStart w:id="87"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6">
        <w:r>
          <w:rPr>
            <w:rStyle w:val="Hyperlink"/>
          </w:rPr>
          <w:t xml:space="preserve">https://doi.org/10.1007/s10649-015-9607-1</w:t>
        </w:r>
      </w:hyperlink>
      <w:r>
        <w:t xml:space="preserve">.</w:t>
      </w:r>
    </w:p>
    <w:bookmarkEnd w:id="87"/>
    <w:bookmarkStart w:id="89"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88">
        <w:r>
          <w:rPr>
            <w:rStyle w:val="Hyperlink"/>
          </w:rPr>
          <w:t xml:space="preserve">https://doi.org/10.1080/0969594X.2022.2147901</w:t>
        </w:r>
      </w:hyperlink>
      <w:r>
        <w:t xml:space="preserve">.</w:t>
      </w:r>
    </w:p>
    <w:bookmarkEnd w:id="89"/>
    <w:bookmarkStart w:id="91"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0">
        <w:r>
          <w:rPr>
            <w:rStyle w:val="Hyperlink"/>
          </w:rPr>
          <w:t xml:space="preserve">https://doi.org/10.1007/s10798-011-9190-4</w:t>
        </w:r>
      </w:hyperlink>
      <w:r>
        <w:t xml:space="preserve">.</w:t>
      </w:r>
    </w:p>
    <w:bookmarkEnd w:id="91"/>
    <w:bookmarkStart w:id="92" w:name="ref-Kline_et_al_2023"/>
    <w:p>
      <w:pPr>
        <w:pStyle w:val="Bibliography"/>
      </w:pPr>
      <w:r>
        <w:t xml:space="preserve">Kline, R. 2023.</w:t>
      </w:r>
      <w:r>
        <w:t xml:space="preserve"> </w:t>
      </w:r>
      <w:hyperlink r:id="rId76">
        <w:r>
          <w:rPr>
            <w:rStyle w:val="Hyperlink"/>
            <w:i/>
            <w:iCs/>
          </w:rPr>
          <w:t xml:space="preserve">Principles and Practice of Structural Equation Modeling</w:t>
        </w:r>
      </w:hyperlink>
      <w:r>
        <w:t xml:space="preserve">. Methodology in the Social Sciences. Guilford Press.</w:t>
      </w:r>
    </w:p>
    <w:bookmarkEnd w:id="92"/>
    <w:bookmarkStart w:id="94"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3">
        <w:r>
          <w:rPr>
            <w:rStyle w:val="Hyperlink"/>
          </w:rPr>
          <w:t xml:space="preserve">https://doi.org/10.2304/plat.2003.3.2.89</w:t>
        </w:r>
      </w:hyperlink>
      <w:r>
        <w:t xml:space="preserve">.</w:t>
      </w:r>
    </w:p>
    <w:bookmarkEnd w:id="94"/>
    <w:bookmarkStart w:id="95"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95"/>
    <w:bookmarkStart w:id="9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6">
        <w:r>
          <w:rPr>
            <w:rStyle w:val="Hyperlink"/>
          </w:rPr>
          <w:t xml:space="preserve">https://doi.org/10.1037/h0043178</w:t>
        </w:r>
      </w:hyperlink>
      <w:r>
        <w:t xml:space="preserve">.</w:t>
      </w:r>
    </w:p>
    <w:bookmarkEnd w:id="97"/>
    <w:bookmarkStart w:id="9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8">
        <w:r>
          <w:rPr>
            <w:rStyle w:val="Hyperlink"/>
          </w:rPr>
          <w:t xml:space="preserve">https://doi.org/10.1007/s40841-020-00163-3</w:t>
        </w:r>
      </w:hyperlink>
      <w:r>
        <w:t xml:space="preserve">.</w:t>
      </w:r>
    </w:p>
    <w:bookmarkEnd w:id="99"/>
    <w:bookmarkStart w:id="100" w:name="ref-McElreath_2020"/>
    <w:p>
      <w:pPr>
        <w:pStyle w:val="Bibliography"/>
      </w:pPr>
      <w:r>
        <w:t xml:space="preserve">McElreath, R. 2020.</w:t>
      </w:r>
      <w:r>
        <w:t xml:space="preserve"> </w:t>
      </w:r>
      <w:hyperlink r:id="rId76">
        <w:r>
          <w:rPr>
            <w:rStyle w:val="Hyperlink"/>
            <w:i/>
            <w:iCs/>
          </w:rPr>
          <w:t xml:space="preserve">Statistical Rethinking: A Bayesian Course with Examples in r and STAN</w:t>
        </w:r>
      </w:hyperlink>
      <w:r>
        <w:t xml:space="preserve">. Chapman; Hall/CRC.</w:t>
      </w:r>
    </w:p>
    <w:bookmarkEnd w:id="100"/>
    <w:bookmarkStart w:id="10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01">
        <w:r>
          <w:rPr>
            <w:rStyle w:val="Hyperlink"/>
          </w:rPr>
          <w:t xml:space="preserve">https://doi.org/10.1109/ICPR48806.2021.9412676</w:t>
        </w:r>
      </w:hyperlink>
      <w:r>
        <w:t xml:space="preserve">.</w:t>
      </w:r>
    </w:p>
    <w:bookmarkEnd w:id="102"/>
    <w:bookmarkStart w:id="104"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3">
        <w:r>
          <w:rPr>
            <w:rStyle w:val="Hyperlink"/>
          </w:rPr>
          <w:t xml:space="preserve">https://doi.org/10.1080/0969594X.2012.665354</w:t>
        </w:r>
      </w:hyperlink>
      <w:r>
        <w:t xml:space="preserve">.</w:t>
      </w:r>
    </w:p>
    <w:bookmarkEnd w:id="104"/>
    <w:bookmarkStart w:id="106"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05">
        <w:r>
          <w:rPr>
            <w:rStyle w:val="Hyperlink"/>
          </w:rPr>
          <w:t xml:space="preserve">https://www.cambridgeassessment.org.uk/Images/109707-monitoring-and-investigating-comparability-a-proper-role-for-human-judgement.pdf</w:t>
        </w:r>
      </w:hyperlink>
      <w:r>
        <w:t xml:space="preserve">.</w:t>
      </w:r>
    </w:p>
    <w:bookmarkEnd w:id="106"/>
    <w:bookmarkStart w:id="108"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07">
        <w:r>
          <w:rPr>
            <w:rStyle w:val="Hyperlink"/>
          </w:rPr>
          <w:t xml:space="preserve">https://doi.org/10.1037/h0070288</w:t>
        </w:r>
      </w:hyperlink>
      <w:r>
        <w:t xml:space="preserve">.</w:t>
      </w:r>
    </w:p>
    <w:bookmarkEnd w:id="108"/>
    <w:bookmarkStart w:id="110"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09">
        <w:r>
          <w:rPr>
            <w:rStyle w:val="Hyperlink"/>
          </w:rPr>
          <w:t xml:space="preserve">https://brocku.ca/MeadProject/Thurstone/Thurstone_1927g.html</w:t>
        </w:r>
      </w:hyperlink>
      <w:r>
        <w:t xml:space="preserve">.</w:t>
      </w:r>
    </w:p>
    <w:bookmarkEnd w:id="110"/>
    <w:bookmarkStart w:id="112"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1">
        <w:r>
          <w:rPr>
            <w:rStyle w:val="Hyperlink"/>
          </w:rPr>
          <w:t xml:space="preserve">https://doi.org/10.1080/0969594X.2016.1253542</w:t>
        </w:r>
      </w:hyperlink>
      <w:r>
        <w:t xml:space="preserve">.</w:t>
      </w:r>
    </w:p>
    <w:bookmarkEnd w:id="112"/>
    <w:bookmarkStart w:id="114"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13">
        <w:r>
          <w:rPr>
            <w:rStyle w:val="Hyperlink"/>
          </w:rPr>
          <w:t xml:space="preserve">https://doi.org/10.3389/feduc.2017.00044</w:t>
        </w:r>
      </w:hyperlink>
      <w:r>
        <w:t xml:space="preserve">.</w:t>
      </w:r>
    </w:p>
    <w:bookmarkEnd w:id="114"/>
    <w:bookmarkStart w:id="115" w:name="ref-vanderLinden_et_al_2017_I"/>
    <w:p>
      <w:pPr>
        <w:pStyle w:val="Bibliography"/>
      </w:pPr>
      <w:r>
        <w:t xml:space="preserve">van der Linden, W., ed. 2017.</w:t>
      </w:r>
      <w:r>
        <w:t xml:space="preserve"> </w:t>
      </w:r>
      <w:hyperlink r:id="rId76">
        <w:r>
          <w:rPr>
            <w:rStyle w:val="Hyperlink"/>
            <w:i/>
            <w:iCs/>
          </w:rPr>
          <w:t xml:space="preserve">Handbook of Item Response Theory: Models</w:t>
        </w:r>
      </w:hyperlink>
      <w:r>
        <w:t xml:space="preserve">. Vol. 1. Statistics in the Social and Behavioral Sciences Series. CRC Press.</w:t>
      </w:r>
    </w:p>
    <w:bookmarkEnd w:id="115"/>
    <w:bookmarkStart w:id="117"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16">
        <w:r>
          <w:rPr>
            <w:rStyle w:val="Hyperlink"/>
          </w:rPr>
          <w:t xml:space="preserve">https://doi.org/10.3389/feduc.2021.785919</w:t>
        </w:r>
      </w:hyperlink>
      <w:r>
        <w:t xml:space="preserve">.</w:t>
      </w:r>
    </w:p>
    <w:bookmarkEnd w:id="117"/>
    <w:bookmarkStart w:id="11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18">
        <w:r>
          <w:rPr>
            <w:rStyle w:val="Hyperlink"/>
          </w:rPr>
          <w:t xml:space="preserve">https://doi.org/10.1080/0969594X.2019.1602027</w:t>
        </w:r>
      </w:hyperlink>
      <w:r>
        <w:t xml:space="preserve">.</w:t>
      </w:r>
    </w:p>
    <w:bookmarkEnd w:id="119"/>
    <w:bookmarkStart w:id="121"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20">
        <w:r>
          <w:rPr>
            <w:rStyle w:val="Hyperlink"/>
          </w:rPr>
          <w:t xml:space="preserve">https://filestore.aqa.org.uk/content/research/CERP_RP_CW_24102012_0.pdf?download=1</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6" Target="" TargetMode="External" /><Relationship Type="http://schemas.openxmlformats.org/officeDocument/2006/relationships/hyperlink" Id="rId109" Target="https://brocku.ca/MeadProject/Thurstone/Thurstone_1927g.html" TargetMode="External" /><Relationship Type="http://schemas.openxmlformats.org/officeDocument/2006/relationships/hyperlink" Id="rId84"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6" Target="https://doi.org/10.1007/s10649-015-9607-1" TargetMode="External" /><Relationship Type="http://schemas.openxmlformats.org/officeDocument/2006/relationships/hyperlink" Id="rId90" Target="https://doi.org/10.1007/s10798-011-9190-4" TargetMode="External" /><Relationship Type="http://schemas.openxmlformats.org/officeDocument/2006/relationships/hyperlink" Id="rId98"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6" Target="https://doi.org/10.1037/h0043178" TargetMode="External" /><Relationship Type="http://schemas.openxmlformats.org/officeDocument/2006/relationships/hyperlink" Id="rId107" Target="https://doi.org/10.1037/h0070288" TargetMode="External" /><Relationship Type="http://schemas.openxmlformats.org/officeDocument/2006/relationships/hyperlink" Id="rId103" Target="https://doi.org/10.1080/0969594X.2012.665354" TargetMode="External" /><Relationship Type="http://schemas.openxmlformats.org/officeDocument/2006/relationships/hyperlink" Id="rId111"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8" Target="https://doi.org/10.1080/0969594X.2019.1602027" TargetMode="External" /><Relationship Type="http://schemas.openxmlformats.org/officeDocument/2006/relationships/hyperlink" Id="rId88" Target="https://doi.org/10.1080/0969594X.2022.2147901" TargetMode="External" /><Relationship Type="http://schemas.openxmlformats.org/officeDocument/2006/relationships/hyperlink" Id="rId58" Target="https://doi.org/10.1080/10627197.2018.1444986" TargetMode="External" /><Relationship Type="http://schemas.openxmlformats.org/officeDocument/2006/relationships/hyperlink" Id="rId101"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93"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13"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6"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20"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5"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76" Target="" TargetMode="External" /><Relationship Type="http://schemas.openxmlformats.org/officeDocument/2006/relationships/hyperlink" Id="rId109" Target="https://brocku.ca/MeadProject/Thurstone/Thurstone_1927g.html" TargetMode="External" /><Relationship Type="http://schemas.openxmlformats.org/officeDocument/2006/relationships/hyperlink" Id="rId84"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6" Target="https://doi.org/10.1007/s10649-015-9607-1" TargetMode="External" /><Relationship Type="http://schemas.openxmlformats.org/officeDocument/2006/relationships/hyperlink" Id="rId90" Target="https://doi.org/10.1007/s10798-011-9190-4" TargetMode="External" /><Relationship Type="http://schemas.openxmlformats.org/officeDocument/2006/relationships/hyperlink" Id="rId98"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6" Target="https://doi.org/10.1037/h0043178" TargetMode="External" /><Relationship Type="http://schemas.openxmlformats.org/officeDocument/2006/relationships/hyperlink" Id="rId107" Target="https://doi.org/10.1037/h0070288" TargetMode="External" /><Relationship Type="http://schemas.openxmlformats.org/officeDocument/2006/relationships/hyperlink" Id="rId103" Target="https://doi.org/10.1080/0969594X.2012.665354" TargetMode="External" /><Relationship Type="http://schemas.openxmlformats.org/officeDocument/2006/relationships/hyperlink" Id="rId111"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8" Target="https://doi.org/10.1080/0969594X.2019.1602027" TargetMode="External" /><Relationship Type="http://schemas.openxmlformats.org/officeDocument/2006/relationships/hyperlink" Id="rId88" Target="https://doi.org/10.1080/0969594X.2022.2147901" TargetMode="External" /><Relationship Type="http://schemas.openxmlformats.org/officeDocument/2006/relationships/hyperlink" Id="rId58" Target="https://doi.org/10.1080/10627197.2018.1444986" TargetMode="External" /><Relationship Type="http://schemas.openxmlformats.org/officeDocument/2006/relationships/hyperlink" Id="rId101"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93"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13"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6"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20"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5"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2024-11-16T11:11:28Z</dcterms:created>
  <dcterms:modified xsi:type="dcterms:W3CDTF">2024-11-16T11:11:28Z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