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8.png" ContentType="image/png"/>
  <Override PartName="/word/media/rId72.png" ContentType="image/png"/>
  <Override PartName="/word/media/rId76.png" ContentType="image/png"/>
  <Override PartName="/word/media/rId64.png" ContentType="image/png"/>
  <Override PartName="/word/media/rId68.png" ContentType="image/png"/>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2024-07-30</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framework</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w:t>
      </w:r>
      <w:r>
        <w:t xml:space="preserve"> </w:t>
      </w:r>
      <w:r>
        <w:t xml:space="preserve">(Wright 1927; Pearl 2009; Pearl, Glymour, and Jewell 2016)</w:t>
      </w:r>
      <w:r>
        <w:t xml:space="preserve">,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research provides a robust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63" w:name="sec-framework"/>
    <w:p>
      <w:pPr>
        <w:pStyle w:val="Heading1"/>
      </w:pPr>
      <w:r>
        <w:t xml:space="preserve">Theoretical framework</w:t>
      </w:r>
    </w:p>
    <w:bookmarkStart w:id="21" w:name="sec-framework-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form the foundation of causal inference and occupy the highest level of cognitive abstraction in the ladder of causation, followed by intervention and association.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(Wright 1927; 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Nevertheless,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are heuristics that can effectively convey the assumed causal structure of a system. They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52" w:name="sec-framework-dag"/>
    <w:p>
      <w:pPr>
        <w:pStyle w:val="Heading2"/>
      </w:pPr>
      <w:r>
        <w:t xml:space="preserve">Directed acyclic graphs (DAG)</w:t>
      </w:r>
    </w:p>
    <w:p>
      <w:pPr>
        <w:pStyle w:val="FirstParagraph"/>
      </w:pPr>
      <w:r>
        <w:t xml:space="preserve">Graph theory is a branch of mathematics focused on the study of graphs. Graphs are mathematical structures that model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that incorporates concepts from graph theory is causal inference. Specifically, the structural approach to causal inference uses directed acyclic graphs (DAG) to provide a formal and graphical representation of a system’s causal structure</w:t>
      </w:r>
      <w:r>
        <w:t xml:space="preserve"> </w:t>
      </w:r>
      <w:r>
        <w:t xml:space="preserve">(Neal 2020)</w:t>
      </w:r>
      <w:r>
        <w:t xml:space="preserve">. In this context, a</w:t>
      </w:r>
      <w:r>
        <w:t xml:space="preserve"> </w:t>
      </w:r>
      <w:r>
        <w:rPr>
          <w:i/>
          <w:iCs/>
        </w:rPr>
        <w:t xml:space="preserve">graph</w:t>
      </w:r>
      <w:r>
        <w:t xml:space="preserve"> </w:t>
      </w:r>
      <w:r>
        <w:t xml:space="preserve">is a collection of nodes connected by edges, where nodes represent random variables. The term</w:t>
      </w:r>
      <w:r>
        <w:t xml:space="preserve"> </w:t>
      </w:r>
      <w:r>
        <w:rPr>
          <w:i/>
          <w:iCs/>
        </w:rPr>
        <w:t xml:space="preserve">directed</w:t>
      </w:r>
      <w:r>
        <w:t xml:space="preserve"> </w:t>
      </w:r>
      <w:r>
        <w:t xml:space="preserve">indicates that the edges of the graph extend from a</w:t>
      </w:r>
      <w:r>
        <w:t xml:space="preserve"> </w:t>
      </w:r>
      <w:r>
        <w:rPr>
          <w:i/>
          <w:iCs/>
        </w:rPr>
        <w:t xml:space="preserve">parent</w:t>
      </w:r>
      <w:r>
        <w:t xml:space="preserve"> </w:t>
      </w:r>
      <w:r>
        <w:t xml:space="preserve">node to a</w:t>
      </w:r>
      <w:r>
        <w:t xml:space="preserve"> </w:t>
      </w:r>
      <w:r>
        <w:rPr>
          <w:i/>
          <w:iCs/>
        </w:rPr>
        <w:t xml:space="preserve">child</w:t>
      </w:r>
      <w:r>
        <w:t xml:space="preserve"> </w:t>
      </w:r>
      <w:r>
        <w:t xml:space="preserve">node, with arrows showing the direction of causal influence. The term</w:t>
      </w:r>
      <w:r>
        <w:t xml:space="preserve"> </w:t>
      </w:r>
      <w:r>
        <w:rPr>
          <w:i/>
          <w:iCs/>
        </w:rPr>
        <w:t xml:space="preserve">acyclic</w:t>
      </w:r>
      <w:r>
        <w:t xml:space="preserve"> </w:t>
      </w:r>
      <w:r>
        <w:t xml:space="preserve">indicates that the direction of causal influences does not form a loop, ensuring that the influences do not cycle back on themselves</w:t>
      </w:r>
      <w:r>
        <w:t xml:space="preserve"> </w:t>
      </w:r>
      <w:r>
        <w:t xml:space="preserve">(McElreath 2020)</w:t>
      </w:r>
      <w:r>
        <w:t xml:space="preserve">.</w:t>
      </w:r>
    </w:p>
    <w:p>
      <w:pPr>
        <w:pStyle w:val="BodyText"/>
      </w:pPr>
      <w:r>
        <w:t xml:space="preserve">A key advantage of DAGs is that, regardless of the complexity of the causal structure, these structures can be composed using a minimal set of building blocks. Moreover, representing any complex structure requires only five fundamental building blocks</w:t>
      </w:r>
      <w:r>
        <w:t xml:space="preserve"> </w:t>
      </w:r>
      <w:r>
        <w:t xml:space="preserve">(Neal 2020; McElreath 2020)</w:t>
      </w:r>
      <w:r>
        <w:t xml:space="preserve">. These advantages imply that a researcher seeking to depict and understand the causal assumptions of a complex system only needs to decompose the structure into these basic building blocks and then analyze the causal assumptions associated with each block</w:t>
      </w:r>
      <w:r>
        <w:t xml:space="preserve"> </w:t>
      </w:r>
      <w:r>
        <w:t xml:space="preserve">(McElreath 2020)</w:t>
      </w:r>
      <w:r>
        <w:t xml:space="preserve">.</w:t>
      </w:r>
    </w:p>
    <w:p>
      <w:pPr>
        <w:pStyle w:val="BodyText"/>
      </w:pPr>
      <w:hyperlink w:anchor="fig-dags">
        <w:r>
          <w:rPr>
            <w:rStyle w:val="Hyperlink"/>
          </w:rPr>
          <w:t xml:space="preserve">Figure 1</w:t>
        </w:r>
      </w:hyperlink>
      <w:r>
        <w:t xml:space="preserve"> </w:t>
      </w:r>
      <w:r>
        <w:t xml:space="preserve">presents the five fundamental building blocks of any DAG.</w:t>
      </w:r>
      <w:r>
        <w:t xml:space="preserve"> </w:t>
      </w:r>
      <w:hyperlink w:anchor="fig-dag_bb1">
        <w:r>
          <w:rPr>
            <w:rStyle w:val="Hyperlink"/>
          </w:rPr>
          <w:t xml:space="preserve">Figure 1 (a)</w:t>
        </w:r>
      </w:hyperlink>
      <w:r>
        <w:t xml:space="preserve"> </w:t>
      </w:r>
      <w:r>
        <w:t xml:space="preserve">illustrates two unconnected nodes, representing an scenario where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not causally related.</w:t>
      </w:r>
      <w:r>
        <w:t xml:space="preserve"> </w:t>
      </w:r>
      <w:hyperlink w:anchor="fig-dag_bb2">
        <w:r>
          <w:rPr>
            <w:rStyle w:val="Hyperlink"/>
          </w:rPr>
          <w:t xml:space="preserve">Figure 1 (b)</w:t>
        </w:r>
      </w:hyperlink>
      <w:r>
        <w:t xml:space="preserve"> </w:t>
      </w:r>
      <w:r>
        <w:t xml:space="preserve">shows two connected nodes, depicting an scenario where a</w:t>
      </w:r>
      <w:r>
        <w:t xml:space="preserve"> </w:t>
      </w:r>
      <w:r>
        <w:rPr>
          <w:i/>
          <w:iCs/>
        </w:rPr>
        <w:t xml:space="preserve">parent</w:t>
      </w:r>
      <w:r>
        <w:t xml:space="preserve"> </w:t>
      </w:r>
      <w:r>
        <w:t xml:space="preserve">node</w:t>
      </w:r>
      <w:r>
        <w:t xml:space="preserve"> </w:t>
      </w:r>
      <m:oMath>
        <m:sSub>
          <m:e>
            <m:r>
              <m:t>X</m:t>
            </m:r>
          </m:e>
          <m:sub>
            <m:r>
              <m:t>1</m:t>
            </m:r>
          </m:sub>
        </m:sSub>
      </m:oMath>
      <w:r>
        <w:t xml:space="preserve"> </w:t>
      </w:r>
      <w:r>
        <w:t xml:space="preserve">has a causal influence on a</w:t>
      </w:r>
      <w:r>
        <w:t xml:space="preserve"> </w:t>
      </w:r>
      <w:r>
        <w:rPr>
          <w:i/>
          <w:iCs/>
        </w:rPr>
        <w:t xml:space="preserve">child</w:t>
      </w:r>
      <w:r>
        <w:t xml:space="preserve"> </w:t>
      </w:r>
      <w:r>
        <w:t xml:space="preserve">node</w:t>
      </w:r>
      <w:r>
        <w:t xml:space="preserve"> </w:t>
      </w:r>
      <m:oMath>
        <m:sSub>
          <m:e>
            <m:r>
              <m:t>X</m:t>
            </m:r>
          </m:e>
          <m:sub>
            <m:r>
              <m:t>2</m:t>
            </m:r>
          </m:sub>
        </m:sSub>
      </m:oMath>
      <w:r>
        <w:t xml:space="preserve">. This implies that variable</w:t>
      </w:r>
      <w:r>
        <w:t xml:space="preserve"> </w:t>
      </w:r>
      <m:oMath>
        <m:sSub>
          <m:e>
            <m:r>
              <m:t>X</m:t>
            </m:r>
          </m:e>
          <m:sub>
            <m:r>
              <m:t>2</m:t>
            </m:r>
          </m:sub>
        </m:sSub>
      </m:oMath>
      <w:r>
        <w:t xml:space="preserve"> </w:t>
      </w:r>
      <w:r>
        <w:t xml:space="preserve">is a</w:t>
      </w:r>
      <w:r>
        <w:t xml:space="preserve"> </w:t>
      </w:r>
      <w:r>
        <w:rPr>
          <w:i/>
          <w:iCs/>
        </w:rPr>
        <w:t xml:space="preserve">descendant</w:t>
      </w:r>
      <w:r>
        <w:t xml:space="preserve"> </w:t>
      </w:r>
      <w:r>
        <w:t xml:space="preserve">of</w:t>
      </w:r>
      <w:r>
        <w:t xml:space="preserve"> </w:t>
      </w:r>
      <m:oMath>
        <m:sSub>
          <m:e>
            <m:r>
              <m:t>X</m:t>
            </m:r>
          </m:e>
          <m:sub>
            <m:r>
              <m:t>1</m:t>
            </m:r>
          </m:sub>
        </m:sSub>
      </m:oMath>
      <w:r>
        <w:t xml:space="preserve">.</w:t>
      </w:r>
      <w:r>
        <w:t xml:space="preserve"> </w:t>
      </w:r>
      <w:hyperlink w:anchor="fig-dag_bb3">
        <w:r>
          <w:rPr>
            <w:rStyle w:val="Hyperlink"/>
          </w:rPr>
          <w:t xml:space="preserve">Figure 1 (c)</w:t>
        </w:r>
      </w:hyperlink>
      <w:r>
        <w:t xml:space="preserve"> </w:t>
      </w:r>
      <w:r>
        <w:t xml:space="preserve">illustrates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sSub>
          <m:e>
            <m:r>
              <m:t>X</m:t>
            </m:r>
          </m:e>
          <m:sub>
            <m:r>
              <m:t>1</m:t>
            </m:r>
          </m:sub>
        </m:sSub>
      </m:oMath>
      <w:r>
        <w:t xml:space="preserve"> </w:t>
      </w:r>
      <w:r>
        <w:t xml:space="preserve">influences</w:t>
      </w:r>
      <w:r>
        <w:t xml:space="preserve"> </w:t>
      </w:r>
      <m:oMath>
        <m:sSub>
          <m:e>
            <m:r>
              <m:t>X</m:t>
            </m:r>
          </m:e>
          <m:sub>
            <m:r>
              <m:t>2</m:t>
            </m:r>
          </m:sub>
        </m:sSub>
      </m:oMath>
      <w:r>
        <w:t xml:space="preserve">, and</w:t>
      </w:r>
      <w:r>
        <w:t xml:space="preserve"> </w:t>
      </w:r>
      <m:oMath>
        <m:sSub>
          <m:e>
            <m:r>
              <m:t>X</m:t>
            </m:r>
          </m:e>
          <m:sub>
            <m:r>
              <m:t>2</m:t>
            </m:r>
          </m:sub>
        </m:sSub>
      </m:oMath>
      <w:r>
        <w:t xml:space="preserve"> </w:t>
      </w:r>
      <w:r>
        <w:t xml:space="preserve">influences</w:t>
      </w:r>
      <w:r>
        <w:t xml:space="preserve"> </w:t>
      </w:r>
      <m:oMath>
        <m:sSub>
          <m:e>
            <m:r>
              <m:t>X</m:t>
            </m:r>
          </m:e>
          <m:sub>
            <m:r>
              <m:t>3</m:t>
            </m:r>
          </m:sub>
        </m:sSub>
      </m:oMath>
      <w:r>
        <w:t xml:space="preserve">. This DAG indicates that</w:t>
      </w:r>
      <w:r>
        <w:t xml:space="preserve"> </w:t>
      </w:r>
      <m:oMath>
        <m:sSub>
          <m:e>
            <m:r>
              <m:t>X</m:t>
            </m:r>
          </m:e>
          <m:sub>
            <m:r>
              <m:t>1</m:t>
            </m:r>
          </m:sub>
        </m:sSub>
      </m:oMath>
      <w:r>
        <w:t xml:space="preserve"> </w:t>
      </w:r>
      <w:r>
        <w:t xml:space="preserve">is a parent node of</w:t>
      </w:r>
      <w:r>
        <w:t xml:space="preserve"> </w:t>
      </w:r>
      <m:oMath>
        <m:sSub>
          <m:e>
            <m:r>
              <m:t>X</m:t>
            </m:r>
          </m:e>
          <m:sub>
            <m:r>
              <m:t>2</m:t>
            </m:r>
          </m:sub>
        </m:sSub>
      </m:oMath>
      <w:r>
        <w:t xml:space="preserve">, and</w:t>
      </w:r>
      <w:r>
        <w:t xml:space="preserve"> </w:t>
      </w:r>
      <m:oMath>
        <m:sSub>
          <m:e>
            <m:r>
              <m:t>X</m:t>
            </m:r>
          </m:e>
          <m:sub>
            <m:r>
              <m:t>2</m:t>
            </m:r>
          </m:sub>
        </m:sSub>
      </m:oMath>
      <w:r>
        <w:t xml:space="preserve"> </w:t>
      </w:r>
      <w:r>
        <w:t xml:space="preserve">is a parent node</w:t>
      </w:r>
      <w:r>
        <w:t xml:space="preserve"> </w:t>
      </w:r>
      <m:oMath>
        <m:sSub>
          <m:e>
            <m:r>
              <m:t>X</m:t>
            </m:r>
          </m:e>
          <m:sub>
            <m:r>
              <m:t>3</m:t>
            </m:r>
          </m:sub>
        </m:sSub>
      </m:oMath>
      <w:r>
        <w:t xml:space="preserve">. Furthermore, it shows that</w:t>
      </w:r>
      <w:r>
        <w:t xml:space="preserve"> </w:t>
      </w:r>
      <m:oMath>
        <m:sSub>
          <m:e>
            <m:r>
              <m:t>X</m:t>
            </m:r>
          </m:e>
          <m:sub>
            <m:r>
              <m:t>1</m:t>
            </m:r>
          </m:sub>
        </m:sSub>
      </m:oMath>
      <w:r>
        <w:t xml:space="preserve"> </w:t>
      </w:r>
      <w:r>
        <w:t xml:space="preserve">is an</w:t>
      </w:r>
      <w:r>
        <w:t xml:space="preserve"> </w:t>
      </w:r>
      <w:r>
        <w:rPr>
          <w:i/>
          <w:iCs/>
        </w:rPr>
        <w:t xml:space="preserve">ancestor</w:t>
      </w:r>
      <w:r>
        <w:t xml:space="preserve"> </w:t>
      </w:r>
      <w:r>
        <w:t xml:space="preserve">of</w:t>
      </w:r>
      <w:r>
        <w:t xml:space="preserve"> </w:t>
      </w:r>
      <m:oMath>
        <m:sSub>
          <m:e>
            <m:r>
              <m:t>X</m:t>
            </m:r>
          </m:e>
          <m:sub>
            <m:r>
              <m:t>3</m:t>
            </m:r>
          </m:sub>
        </m:sSub>
      </m:oMath>
      <w:r>
        <w:t xml:space="preserve">, with the relationship between the two variables being mediated entirely by</w:t>
      </w:r>
      <w:r>
        <w:t xml:space="preserve"> </w:t>
      </w:r>
      <m:oMath>
        <m:sSub>
          <m:e>
            <m:r>
              <m:t>X</m:t>
            </m:r>
          </m:e>
          <m:sub>
            <m:r>
              <m:t>2</m:t>
            </m:r>
          </m:sub>
        </m:sSub>
      </m:oMath>
      <w:r>
        <w:t xml:space="preserve">.</w:t>
      </w:r>
      <w:r>
        <w:t xml:space="preserve"> </w:t>
      </w:r>
      <w:hyperlink w:anchor="fig-dag_bb4">
        <w:r>
          <w:rPr>
            <w:rStyle w:val="Hyperlink"/>
          </w:rPr>
          <w:t xml:space="preserve">Figure 1 (d)</w:t>
        </w:r>
      </w:hyperlink>
      <w:r>
        <w:t xml:space="preserve"> </w:t>
      </w:r>
      <w:r>
        <w:t xml:space="preserve">depicts a</w:t>
      </w:r>
      <w:r>
        <w:t xml:space="preserve"> </w:t>
      </w:r>
      <w:r>
        <w:rPr>
          <w:i/>
          <w:iCs/>
        </w:rPr>
        <w:t xml:space="preserve">fork</w:t>
      </w:r>
      <w:r>
        <w:t xml:space="preserve">, illustrating an scenario where variables</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both influenced by</w:t>
      </w:r>
      <w:r>
        <w:t xml:space="preserve"> </w:t>
      </w:r>
      <m:oMath>
        <m:sSub>
          <m:e>
            <m:r>
              <m:t>X</m:t>
            </m:r>
          </m:e>
          <m:sub>
            <m:r>
              <m:t>2</m:t>
            </m:r>
          </m:sub>
        </m:sSub>
      </m:oMath>
      <w:r>
        <w:t xml:space="preserve">. In this scenario</w:t>
      </w:r>
      <w:r>
        <w:t xml:space="preserve"> </w:t>
      </w:r>
      <m:oMath>
        <m:sSub>
          <m:e>
            <m:r>
              <m:t>X</m:t>
            </m:r>
          </m:e>
          <m:sub>
            <m:r>
              <m:t>2</m:t>
            </m:r>
          </m:sub>
        </m:sSub>
      </m:oMath>
      <w:r>
        <w:t xml:space="preserve"> </w:t>
      </w:r>
      <w:r>
        <w:t xml:space="preserve">is a parent node for both</w:t>
      </w:r>
      <w:r>
        <w:t xml:space="preserve"> </w:t>
      </w:r>
      <m:oMath>
        <m:sSub>
          <m:e>
            <m:r>
              <m:t>X</m:t>
            </m:r>
          </m:e>
          <m:sub>
            <m:r>
              <m:t>1</m:t>
            </m:r>
          </m:sub>
        </m:sSub>
      </m:oMath>
      <w:r>
        <w:t xml:space="preserve"> </w:t>
      </w:r>
      <w:r>
        <w:t xml:space="preserve">and</w:t>
      </w:r>
      <w:r>
        <w:t xml:space="preserve"> </w:t>
      </w:r>
      <m:oMath>
        <m:sSub>
          <m:e>
            <m:r>
              <m:t>X</m:t>
            </m:r>
          </m:e>
          <m:sub>
            <m:r>
              <m:t>3</m:t>
            </m:r>
          </m:sub>
        </m:sSub>
      </m:oMath>
      <w:r>
        <w:t xml:space="preserve">. Finally,</w:t>
      </w:r>
      <w:r>
        <w:t xml:space="preserve"> </w:t>
      </w:r>
      <w:hyperlink w:anchor="fig-dag_bb5">
        <w:r>
          <w:rPr>
            <w:rStyle w:val="Hyperlink"/>
          </w:rPr>
          <w:t xml:space="preserve">Figure 1 (e)</w:t>
        </w:r>
      </w:hyperlink>
      <w:r>
        <w:t xml:space="preserve"> </w:t>
      </w:r>
      <w:r>
        <w:t xml:space="preserve">illustrates a</w:t>
      </w:r>
      <w:r>
        <w:t xml:space="preserve"> </w:t>
      </w:r>
      <w:r>
        <w:rPr>
          <w:i/>
          <w:iCs/>
        </w:rPr>
        <w:t xml:space="preserve">collider</w:t>
      </w:r>
      <w:r>
        <w:t xml:space="preserve"> </w:t>
      </w:r>
      <w:r>
        <w:t xml:space="preserve">(also known as</w:t>
      </w:r>
      <w:r>
        <w:t xml:space="preserve"> </w:t>
      </w:r>
      <w:r>
        <w:rPr>
          <w:i/>
          <w:iCs/>
        </w:rPr>
        <w:t xml:space="preserve">inmorality</w:t>
      </w:r>
      <w:r>
        <w:t xml:space="preserve">), where variables</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concurrent causes of</w:t>
      </w:r>
      <w:r>
        <w:t xml:space="preserve"> </w:t>
      </w:r>
      <m:oMath>
        <m:sSub>
          <m:e>
            <m:r>
              <m:t>X</m:t>
            </m:r>
          </m:e>
          <m:sub>
            <m:r>
              <m:t>2</m:t>
            </m:r>
          </m:sub>
        </m:sSub>
      </m:oMath>
      <w:r>
        <w:t xml:space="preserve">. In this configuration,</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not causally related to each other but both influence</w:t>
      </w:r>
      <w:r>
        <w:t xml:space="preserve"> </w:t>
      </w:r>
      <m:oMath>
        <m:sSub>
          <m:e>
            <m:r>
              <m:t>X</m:t>
            </m:r>
          </m:e>
          <m:sub>
            <m:r>
              <m:t>2</m:t>
            </m:r>
          </m:sub>
        </m:sSub>
      </m:oMath>
      <w:r>
        <w:t xml:space="preserve">. Given the heuristic nature of DAGs, the use of fundamental building block to construct a causal structure of a system is easier to understand using a motivating example. The motivating example can also serve to point out about other conventions when using DAGs.</w:t>
      </w:r>
    </w:p>
    <w:bookmarkStart w:id="42" w:name="fig-dag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dag_bb1"/>
                <w:p>
                  <w:pPr>
                    <w:pStyle w:val="Compact"/>
                    <w:jc w:val="center"/>
                    <w:jc w:val="left"/>
                  </w:pPr>
                  <w:r>
                    <w:drawing>
                      <wp:inline>
                        <wp:extent cx="2971800" cy="1035387"/>
                        <wp:effectExtent b="0" l="0" r="0" t="0"/>
                        <wp:docPr descr="" title="" id="23" name="Picture"/>
                        <a:graphic>
                          <a:graphicData uri="http://schemas.openxmlformats.org/drawingml/2006/picture">
                            <pic:pic>
                              <pic:nvPicPr>
                                <pic:cNvPr descr="images/figures/dag_bb1.png" id="24" name="Picture"/>
                                <pic:cNvPicPr>
                                  <a:picLocks noChangeArrowheads="1" noChangeAspect="1"/>
                                </pic:cNvPicPr>
                              </pic:nvPicPr>
                              <pic:blipFill>
                                <a:blip r:embed="rId22"/>
                                <a:stretch>
                                  <a:fillRect/>
                                </a:stretch>
                              </pic:blipFill>
                              <pic:spPr bwMode="auto">
                                <a:xfrm>
                                  <a:off x="0" y="0"/>
                                  <a:ext cx="2971800" cy="103538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9" w:name="fig-dag_bb2"/>
                <w:p>
                  <w:pPr>
                    <w:pStyle w:val="Compact"/>
                    <w:jc w:val="center"/>
                    <w:jc w:val="left"/>
                  </w:pPr>
                  <w:r>
                    <w:drawing>
                      <wp:inline>
                        <wp:extent cx="1975104" cy="688134"/>
                        <wp:effectExtent b="0" l="0" r="0" t="0"/>
                        <wp:docPr descr="" title="" id="27" name="Picture"/>
                        <a:graphic>
                          <a:graphicData uri="http://schemas.openxmlformats.org/drawingml/2006/picture">
                            <pic:pic>
                              <pic:nvPicPr>
                                <pic:cNvPr descr="images/figures/dag_bb2.png" id="28" name="Picture"/>
                                <pic:cNvPicPr>
                                  <a:picLocks noChangeArrowheads="1" noChangeAspect="1"/>
                                </pic:cNvPicPr>
                              </pic:nvPicPr>
                              <pic:blipFill>
                                <a:blip r:embed="rId26"/>
                                <a:stretch>
                                  <a:fillRect/>
                                </a:stretch>
                              </pic:blipFill>
                              <pic:spPr bwMode="auto">
                                <a:xfrm>
                                  <a:off x="0" y="0"/>
                                  <a:ext cx="1975104" cy="68813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connected nodes or descendant</w:t>
                  </w:r>
                </w:p>
                <w:bookmarkEnd w:id="2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3" w:name="fig-dag_bb3"/>
                <w:p>
                  <w:pPr>
                    <w:pStyle w:val="Compact"/>
                    <w:jc w:val="center"/>
                    <w:jc w:val="left"/>
                  </w:pPr>
                  <w:r>
                    <w:drawing>
                      <wp:inline>
                        <wp:extent cx="1975104" cy="422775"/>
                        <wp:effectExtent b="0" l="0" r="0" t="0"/>
                        <wp:docPr descr="" title="" id="31" name="Picture"/>
                        <a:graphic>
                          <a:graphicData uri="http://schemas.openxmlformats.org/drawingml/2006/picture">
                            <pic:pic>
                              <pic:nvPicPr>
                                <pic:cNvPr descr="images/figures/dag_bb3.png" id="32" name="Picture"/>
                                <pic:cNvPicPr>
                                  <a:picLocks noChangeArrowheads="1" noChangeAspect="1"/>
                                </pic:cNvPicPr>
                              </pic:nvPicPr>
                              <pic:blipFill>
                                <a:blip r:embed="rId30"/>
                                <a:stretch>
                                  <a:fillRect/>
                                </a:stretch>
                              </pic:blipFill>
                              <pic:spPr bwMode="auto">
                                <a:xfrm>
                                  <a:off x="0" y="0"/>
                                  <a:ext cx="1975104" cy="42277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Chain or pipe</w:t>
                  </w:r>
                </w:p>
                <w:bookmarkEnd w:id="3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7" w:name="fig-dag_bb4"/>
                <w:p>
                  <w:pPr>
                    <w:pStyle w:val="Compact"/>
                    <w:jc w:val="center"/>
                    <w:jc w:val="left"/>
                  </w:pPr>
                  <w:r>
                    <w:drawing>
                      <wp:inline>
                        <wp:extent cx="1975104" cy="768096"/>
                        <wp:effectExtent b="0" l="0" r="0" t="0"/>
                        <wp:docPr descr="" title="" id="35" name="Picture"/>
                        <a:graphic>
                          <a:graphicData uri="http://schemas.openxmlformats.org/drawingml/2006/picture">
                            <pic:pic>
                              <pic:nvPicPr>
                                <pic:cNvPr descr="images/figures/dag_bb4.png" id="36" name="Picture"/>
                                <pic:cNvPicPr>
                                  <a:picLocks noChangeArrowheads="1" noChangeAspect="1"/>
                                </pic:cNvPicPr>
                              </pic:nvPicPr>
                              <pic:blipFill>
                                <a:blip r:embed="rId34"/>
                                <a:stretch>
                                  <a:fillRect/>
                                </a:stretch>
                              </pic:blipFill>
                              <pic:spPr bwMode="auto">
                                <a:xfrm>
                                  <a:off x="0" y="0"/>
                                  <a:ext cx="1975104" cy="7680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Fork</w:t>
                  </w:r>
                </w:p>
                <w:bookmarkEnd w:id="3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1" w:name="fig-dag_bb5"/>
                <w:p>
                  <w:pPr>
                    <w:pStyle w:val="Compact"/>
                    <w:jc w:val="center"/>
                    <w:jc w:val="left"/>
                  </w:pPr>
                  <w:r>
                    <w:drawing>
                      <wp:inline>
                        <wp:extent cx="1975104" cy="981097"/>
                        <wp:effectExtent b="0" l="0" r="0" t="0"/>
                        <wp:docPr descr="" title="" id="39" name="Picture"/>
                        <a:graphic>
                          <a:graphicData uri="http://schemas.openxmlformats.org/drawingml/2006/picture">
                            <pic:pic>
                              <pic:nvPicPr>
                                <pic:cNvPr descr="images/figures/dag_bb5.png" id="40" name="Picture"/>
                                <pic:cNvPicPr>
                                  <a:picLocks noChangeArrowheads="1" noChangeAspect="1"/>
                                </pic:cNvPicPr>
                              </pic:nvPicPr>
                              <pic:blipFill>
                                <a:blip r:embed="rId38"/>
                                <a:stretch>
                                  <a:fillRect/>
                                </a:stretch>
                              </pic:blipFill>
                              <pic:spPr bwMode="auto">
                                <a:xfrm>
                                  <a:off x="0" y="0"/>
                                  <a:ext cx="1975104" cy="98109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Collider or inmorality</w:t>
                  </w:r>
                </w:p>
                <w:bookmarkEnd w:id="41"/>
              </w:tc>
            </w:tr>
          </w:tbl>
          <w:p/>
        </w:tc>
      </w:tr>
    </w:tbl>
    <w:p>
      <w:pPr>
        <w:pStyle w:val="BodyText"/>
      </w:pPr>
      <w:pPr>
        <w:spacing w:before="200"/>
        <w:pStyle w:val="ImageCaption"/>
      </w:pPr>
      <w:r>
        <w:t xml:space="preserve">Figure 1: DAG’s fundamental building blocks.</w:t>
      </w:r>
    </w:p>
    <w:bookmarkEnd w:id="42"/>
    <w:p>
      <w:pPr>
        <w:pStyle w:val="BodyText"/>
      </w:pPr>
      <w:r>
        <w:t xml:space="preserve">Consider a system where variables</w:t>
      </w:r>
      <w:r>
        <w:t xml:space="preserve"> </w:t>
      </w:r>
      <m:oMath>
        <m:r>
          <m:t>X</m:t>
        </m:r>
      </m:oMath>
      <w:r>
        <w:t xml:space="preserve"> </w:t>
      </w:r>
      <w:r>
        <w:t xml:space="preserve">and</w:t>
      </w:r>
      <w:r>
        <w:t xml:space="preserve"> </w:t>
      </w:r>
      <m:oMath>
        <m:r>
          <m:t>Z</m:t>
        </m:r>
      </m:oMath>
      <w:r>
        <w:t xml:space="preserve"> </w:t>
      </w:r>
      <w:r>
        <w:t xml:space="preserve">influence a third variable</w:t>
      </w:r>
      <w:r>
        <w:t xml:space="preserve"> </w:t>
      </w:r>
      <m:oMath>
        <m:r>
          <m:t>Y</m:t>
        </m:r>
      </m:oMath>
      <w:r>
        <w:t xml:space="preserve">. In this system, it is assumed that</w:t>
      </w:r>
      <w:r>
        <w:t xml:space="preserve"> </w:t>
      </w:r>
      <m:oMath>
        <m:r>
          <m:t>X</m:t>
        </m:r>
      </m:oMath>
      <w:r>
        <w:t xml:space="preserve"> </w:t>
      </w:r>
      <w:r>
        <w:t xml:space="preserve">and</w:t>
      </w:r>
      <w:r>
        <w:t xml:space="preserve"> </w:t>
      </w:r>
      <m:oMath>
        <m:r>
          <m:t>Z</m:t>
        </m:r>
      </m:oMath>
      <w:r>
        <w:t xml:space="preserve"> </w:t>
      </w:r>
      <w:r>
        <w:t xml:space="preserve">are dependent on their own processes and are, therefore, independent from each other.</w:t>
      </w:r>
      <w:r>
        <w:t xml:space="preserve"> </w:t>
      </w:r>
      <w:hyperlink w:anchor="fig-dag_example1">
        <w:r>
          <w:rPr>
            <w:rStyle w:val="Hyperlink"/>
          </w:rPr>
          <w:t xml:space="preserve">Figure 2 (a)</w:t>
        </w:r>
      </w:hyperlink>
      <w:r>
        <w:t xml:space="preserve"> </w:t>
      </w:r>
      <w:r>
        <w:t xml:space="preserve">presents the plausible causal structure of this system. The DAG shows the endogenous 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as circled black nodes, indicating these variables are observed. The arrows connecting the variables indicate the direction of causal influence, while a lack of influence is indicated by the absence of arrows. Moreover, the exogenous 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w:t>
      </w:r>
      <w:r>
        <w:t xml:space="preserve">represent everything else that is chosen not to be modeled explicitly. These exogenous variables, or</w:t>
      </w:r>
      <w:r>
        <w:t xml:space="preserve"> </w:t>
      </w:r>
      <w:r>
        <w:rPr>
          <w:i/>
          <w:iCs/>
        </w:rPr>
        <w:t xml:space="preserve">disturbances</w:t>
      </w:r>
      <w:r>
        <w:t xml:space="preserve">, are usually represented by open circles to indicate their unobserved nature. Although this DAG explicitly shows the exogenous variables, conventionally these are omitted for brevity, resulting in an equivalent graph as shown in</w:t>
      </w:r>
      <w:r>
        <w:t xml:space="preserve"> </w:t>
      </w:r>
      <w:hyperlink w:anchor="fig-dag_example2">
        <w:r>
          <w:rPr>
            <w:rStyle w:val="Hyperlink"/>
          </w:rPr>
          <w:t xml:space="preserve">Figure 2 (b)</w:t>
        </w:r>
      </w:hyperlink>
      <w:r>
        <w:t xml:space="preserve">.</w:t>
      </w:r>
    </w:p>
    <w:bookmarkStart w:id="51" w:name="fig-exampl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6" w:name="fig-dag_example1"/>
                <w:p>
                  <w:pPr>
                    <w:pStyle w:val="Compact"/>
                    <w:jc w:val="center"/>
                    <w:jc w:val="left"/>
                  </w:pPr>
                  <w:r>
                    <w:drawing>
                      <wp:inline>
                        <wp:extent cx="2971800" cy="999989"/>
                        <wp:effectExtent b="0" l="0" r="0" t="0"/>
                        <wp:docPr descr="" title="" id="44" name="Picture"/>
                        <a:graphic>
                          <a:graphicData uri="http://schemas.openxmlformats.org/drawingml/2006/picture">
                            <pic:pic>
                              <pic:nvPicPr>
                                <pic:cNvPr descr="images/figures/dag_example1.png" id="45" name="Picture"/>
                                <pic:cNvPicPr>
                                  <a:picLocks noChangeArrowheads="1" noChangeAspect="1"/>
                                </pic:cNvPicPr>
                              </pic:nvPicPr>
                              <pic:blipFill>
                                <a:blip r:embed="rId43"/>
                                <a:stretch>
                                  <a:fillRect/>
                                </a:stretch>
                              </pic:blipFill>
                              <pic:spPr bwMode="auto">
                                <a:xfrm>
                                  <a:off x="0" y="0"/>
                                  <a:ext cx="2971800" cy="99998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Full DAG</w:t>
                  </w:r>
                </w:p>
                <w:bookmarkEnd w:id="4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0" w:name="fig-dag_example2"/>
                <w:p>
                  <w:pPr>
                    <w:pStyle w:val="Compact"/>
                    <w:jc w:val="center"/>
                    <w:jc w:val="left"/>
                  </w:pPr>
                  <w:r>
                    <w:drawing>
                      <wp:inline>
                        <wp:extent cx="2971800" cy="2397702"/>
                        <wp:effectExtent b="0" l="0" r="0" t="0"/>
                        <wp:docPr descr="" title="" id="48" name="Picture"/>
                        <a:graphic>
                          <a:graphicData uri="http://schemas.openxmlformats.org/drawingml/2006/picture">
                            <pic:pic>
                              <pic:nvPicPr>
                                <pic:cNvPr descr="images/figures/dag_example2.png" id="49" name="Picture"/>
                                <pic:cNvPicPr>
                                  <a:picLocks noChangeArrowheads="1" noChangeAspect="1"/>
                                </pic:cNvPicPr>
                              </pic:nvPicPr>
                              <pic:blipFill>
                                <a:blip r:embed="rId47"/>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Simplified DAG</w:t>
                  </w:r>
                </w:p>
                <w:bookmarkEnd w:id="50"/>
              </w:tc>
            </w:tr>
          </w:tbl>
          <w:p/>
        </w:tc>
      </w:tr>
    </w:tbl>
    <w:p>
      <w:pPr>
        <w:pStyle w:val="BodyText"/>
      </w:pPr>
      <w:pPr>
        <w:spacing w:before="200"/>
        <w:pStyle w:val="ImageCaption"/>
      </w:pPr>
      <w:r>
        <w:t xml:space="preserve">Figure 2: DAGs for a plausible causal structure in a system.</w:t>
      </w:r>
    </w:p>
    <w:bookmarkEnd w:id="51"/>
    <w:bookmarkEnd w:id="52"/>
    <w:bookmarkStart w:id="5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56" w:name="fig-ACflow"/>
          <w:p>
            <w:pPr>
              <w:pStyle w:val="Compact"/>
              <w:jc w:val="center"/>
            </w:pPr>
            <w:r>
              <w:drawing>
                <wp:inline>
                  <wp:extent cx="4345118" cy="485846"/>
                  <wp:effectExtent b="0" l="0" r="0" t="0"/>
                  <wp:docPr descr="" title="" id="54" name="Picture"/>
                  <a:graphic>
                    <a:graphicData uri="http://schemas.openxmlformats.org/drawingml/2006/picture">
                      <pic:pic>
                        <pic:nvPicPr>
                          <pic:cNvPr descr="images/figures/ACflow.png" id="55" name="Picture"/>
                          <pic:cNvPicPr>
                            <a:picLocks noChangeArrowheads="1" noChangeAspect="1"/>
                          </pic:cNvPicPr>
                        </pic:nvPicPr>
                        <pic:blipFill>
                          <a:blip r:embed="rId53"/>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from</w:t>
            </w:r>
            <w:r>
              <w:t xml:space="preserve"> </w:t>
            </w:r>
            <w:r>
              <w:t xml:space="preserve">Neal (2020, 31)</w:t>
            </w:r>
          </w:p>
          <w:bookmarkEnd w:id="56"/>
        </w:tc>
      </w:tr>
    </w:tbl>
    <w:bookmarkEnd w:id="57"/>
    <w:bookmarkStart w:id="62"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61" w:name="fig-IEflow"/>
          <w:p>
            <w:pPr>
              <w:pStyle w:val="Compact"/>
              <w:jc w:val="center"/>
            </w:pPr>
            <w:r>
              <w:drawing>
                <wp:inline>
                  <wp:extent cx="2133600" cy="1502761"/>
                  <wp:effectExtent b="0" l="0" r="0" t="0"/>
                  <wp:docPr descr="" title="" id="59" name="Picture"/>
                  <a:graphic>
                    <a:graphicData uri="http://schemas.openxmlformats.org/drawingml/2006/picture">
                      <pic:pic>
                        <pic:nvPicPr>
                          <pic:cNvPr descr="images/figures/IEflow.png" id="60" name="Picture"/>
                          <pic:cNvPicPr>
                            <a:picLocks noChangeArrowheads="1" noChangeAspect="1"/>
                          </pic:cNvPicPr>
                        </pic:nvPicPr>
                        <pic:blipFill>
                          <a:blip r:embed="rId58"/>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Identification-Estimation flowchart. Extracted from</w:t>
            </w:r>
            <w:r>
              <w:t xml:space="preserve"> </w:t>
            </w:r>
            <w:r>
              <w:t xml:space="preserve">Neal (2020, 32)</w:t>
            </w:r>
          </w:p>
          <w:bookmarkEnd w:id="61"/>
        </w:tc>
      </w:tr>
    </w:tbl>
    <w:bookmarkEnd w:id="62"/>
    <w:bookmarkEnd w:id="63"/>
    <w:bookmarkStart w:id="84" w:name="sec-theory"/>
    <w:p>
      <w:pPr>
        <w:pStyle w:val="Heading1"/>
      </w:pPr>
      <w:r>
        <w:t xml:space="preserve">Theory</w:t>
      </w:r>
    </w:p>
    <w:bookmarkStart w:id="80"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67" w:name="fig-SciModel_simp1"/>
          <w:p>
            <w:pPr>
              <w:pStyle w:val="Compact"/>
              <w:jc w:val="center"/>
            </w:pPr>
            <w:r>
              <w:drawing>
                <wp:inline>
                  <wp:extent cx="3304673" cy="1748589"/>
                  <wp:effectExtent b="0" l="0" r="0" t="0"/>
                  <wp:docPr descr="" title="" id="65" name="Picture"/>
                  <a:graphic>
                    <a:graphicData uri="http://schemas.openxmlformats.org/drawingml/2006/picture">
                      <pic:pic>
                        <pic:nvPicPr>
                          <pic:cNvPr descr="images/figures/SciModel_simp1.png" id="66" name="Picture"/>
                          <pic:cNvPicPr>
                            <a:picLocks noChangeArrowheads="1" noChangeAspect="1"/>
                          </pic:cNvPicPr>
                        </pic:nvPicPr>
                        <pic:blipFill>
                          <a:blip r:embed="rId64"/>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6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1" w:name="fig-SciModel_simp2"/>
          <w:p>
            <w:pPr>
              <w:pStyle w:val="Compact"/>
              <w:jc w:val="center"/>
            </w:pPr>
            <w:r>
              <w:drawing>
                <wp:inline>
                  <wp:extent cx="3082375" cy="1732547"/>
                  <wp:effectExtent b="0" l="0" r="0" t="0"/>
                  <wp:docPr descr="" title="" id="69" name="Picture"/>
                  <a:graphic>
                    <a:graphicData uri="http://schemas.openxmlformats.org/drawingml/2006/picture">
                      <pic:pic>
                        <pic:nvPicPr>
                          <pic:cNvPr descr="images/figures/SciModel_simp2.png" id="70" name="Picture"/>
                          <pic:cNvPicPr>
                            <a:picLocks noChangeArrowheads="1" noChangeAspect="1"/>
                          </pic:cNvPicPr>
                        </pic:nvPicPr>
                        <pic:blipFill>
                          <a:blip r:embed="rId68"/>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7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5" w:name="fig-SciModel_pop"/>
          <w:p>
            <w:pPr>
              <w:pStyle w:val="Compact"/>
              <w:jc w:val="center"/>
            </w:pPr>
            <w:r>
              <w:drawing>
                <wp:inline>
                  <wp:extent cx="3174045" cy="2252769"/>
                  <wp:effectExtent b="0" l="0" r="0" t="0"/>
                  <wp:docPr descr="" title="" id="73" name="Picture"/>
                  <a:graphic>
                    <a:graphicData uri="http://schemas.openxmlformats.org/drawingml/2006/picture">
                      <pic:pic>
                        <pic:nvPicPr>
                          <pic:cNvPr descr="images/figures/SciModel_pop.png" id="74" name="Picture"/>
                          <pic:cNvPicPr>
                            <a:picLocks noChangeArrowheads="1" noChangeAspect="1"/>
                          </pic:cNvPicPr>
                        </pic:nvPicPr>
                        <pic:blipFill>
                          <a:blip r:embed="rId72"/>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75"/>
        </w:tc>
      </w:tr>
    </w:tbl>
    <w:p/>
    <w:tbl>
      <w:tblPr>
        <w:tblStyle w:val="Table"/>
        <w:tblW w:type="pct" w:w="5000"/>
        <w:tblLayout w:type="fixed"/>
        <w:tblLook w:firstRow="0" w:lastRow="0" w:firstColumn="0" w:lastColumn="0" w:noHBand="0" w:noVBand="0" w:val="0000"/>
      </w:tblPr>
      <w:tblGrid>
        <w:gridCol w:w="7920"/>
      </w:tblGrid>
      <w:tr>
        <w:tc>
          <w:tcPr/>
          <w:bookmarkStart w:id="79" w:name="fig-SciModel_samp"/>
          <w:p>
            <w:pPr>
              <w:pStyle w:val="Compact"/>
              <w:jc w:val="center"/>
            </w:pPr>
            <w:r>
              <w:drawing>
                <wp:inline>
                  <wp:extent cx="3671350" cy="2245894"/>
                  <wp:effectExtent b="0" l="0" r="0" t="0"/>
                  <wp:docPr descr="" title="" id="77" name="Picture"/>
                  <a:graphic>
                    <a:graphicData uri="http://schemas.openxmlformats.org/drawingml/2006/picture">
                      <pic:pic>
                        <pic:nvPicPr>
                          <pic:cNvPr descr="images/figures/SciModel_samp.png" id="78" name="Picture"/>
                          <pic:cNvPicPr>
                            <a:picLocks noChangeArrowheads="1" noChangeAspect="1"/>
                          </pic:cNvPicPr>
                        </pic:nvPicPr>
                        <pic:blipFill>
                          <a:blip r:embed="rId76"/>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79"/>
        </w:tc>
      </w:tr>
    </w:tbl>
    <w:bookmarkEnd w:id="80"/>
    <w:bookmarkStart w:id="81" w:name="sec-theory-probability"/>
    <w:p>
      <w:pPr>
        <w:pStyle w:val="Heading2"/>
      </w:pPr>
      <w:r>
        <w:t xml:space="preserve">Probabilitics assumptions of the scientific model</w:t>
      </w:r>
    </w:p>
    <w:bookmarkEnd w:id="81"/>
    <w:bookmarkStart w:id="82" w:name="sec-theory-statistics"/>
    <w:p>
      <w:pPr>
        <w:pStyle w:val="Heading2"/>
      </w:pPr>
      <w:r>
        <w:t xml:space="preserve">From the scientific to statistical model</w:t>
      </w:r>
    </w:p>
    <w:bookmarkEnd w:id="82"/>
    <w:bookmarkStart w:id="83" w:name="sec-theory-thurstone"/>
    <w:p>
      <w:pPr>
        <w:pStyle w:val="Heading2"/>
      </w:pPr>
      <w:r>
        <w:t xml:space="preserve">Let’s talk about Thurstone</w:t>
      </w:r>
    </w:p>
    <w:bookmarkEnd w:id="83"/>
    <w:bookmarkEnd w:id="84"/>
    <w:bookmarkStart w:id="87" w:name="sec-discuss"/>
    <w:p>
      <w:pPr>
        <w:pStyle w:val="Heading1"/>
      </w:pPr>
      <w:r>
        <w:t xml:space="preserve">Discussion</w:t>
      </w:r>
    </w:p>
    <w:bookmarkStart w:id="85" w:name="sec-discuss-finding"/>
    <w:p>
      <w:pPr>
        <w:pStyle w:val="Heading2"/>
      </w:pPr>
      <w:r>
        <w:t xml:space="preserve">Findings</w:t>
      </w:r>
    </w:p>
    <w:bookmarkEnd w:id="85"/>
    <w:bookmarkStart w:id="86" w:name="sec-discuss-limitations"/>
    <w:p>
      <w:pPr>
        <w:pStyle w:val="Heading2"/>
      </w:pPr>
      <w:r>
        <w:t xml:space="preserve">Limitations and further research</w:t>
      </w:r>
    </w:p>
    <w:bookmarkEnd w:id="86"/>
    <w:bookmarkEnd w:id="87"/>
    <w:bookmarkStart w:id="88" w:name="sec-conclusion"/>
    <w:p>
      <w:pPr>
        <w:pStyle w:val="Heading1"/>
      </w:pPr>
      <w:r>
        <w:t xml:space="preserve">Conclusion</w:t>
      </w:r>
    </w:p>
    <w:p>
      <w:r>
        <w:br w:type="page"/>
      </w:r>
    </w:p>
    <w:bookmarkEnd w:id="88"/>
    <w:bookmarkStart w:id="90"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89">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90"/>
    <w:bookmarkStart w:id="158" w:name="sec-appendix"/>
    <w:p>
      <w:pPr>
        <w:pStyle w:val="Heading1"/>
      </w:pPr>
      <w:r>
        <w:t xml:space="preserve">Appendix</w:t>
      </w:r>
    </w:p>
    <w:bookmarkStart w:id="91" w:name="sec-appA"/>
    <w:p>
      <w:pPr>
        <w:pStyle w:val="Heading2"/>
      </w:pPr>
      <w:r>
        <w:t xml:space="preserve">Additional definitions</w:t>
      </w:r>
    </w:p>
    <w:bookmarkEnd w:id="91"/>
    <w:bookmarkStart w:id="92" w:name="sec-appB"/>
    <w:p>
      <w:pPr>
        <w:pStyle w:val="Heading2"/>
      </w:pPr>
      <w:r>
        <w:t xml:space="preserve">Why do we need to estimate judges’ abilities?</w:t>
      </w:r>
    </w:p>
    <w:p>
      <w:r>
        <w:br w:type="page"/>
      </w:r>
    </w:p>
    <w:bookmarkEnd w:id="92"/>
    <w:bookmarkStart w:id="157" w:name="references"/>
    <w:p>
      <w:pPr>
        <w:pStyle w:val="Heading2"/>
      </w:pPr>
      <w:r>
        <w:t xml:space="preserve">References</w:t>
      </w:r>
    </w:p>
    <w:bookmarkStart w:id="156" w:name="refs"/>
    <w:bookmarkStart w:id="94"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93">
        <w:r>
          <w:rPr>
            <w:rStyle w:val="Hyperlink"/>
          </w:rPr>
          <w:t xml:space="preserve">https://doi.org/10.2307/2347562</w:t>
        </w:r>
      </w:hyperlink>
      <w:r>
        <w:t xml:space="preserve">.</w:t>
      </w:r>
    </w:p>
    <w:bookmarkEnd w:id="94"/>
    <w:bookmarkStart w:id="96"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95">
        <w:r>
          <w:rPr>
            <w:rStyle w:val="Hyperlink"/>
          </w:rPr>
          <w:t xml:space="preserve">https://doi.org/10.1080/10627197.2018.1444986</w:t>
        </w:r>
      </w:hyperlink>
      <w:r>
        <w:t xml:space="preserve">.</w:t>
      </w:r>
    </w:p>
    <w:bookmarkEnd w:id="96"/>
    <w:bookmarkStart w:id="98"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97">
        <w:r>
          <w:rPr>
            <w:rStyle w:val="Hyperlink"/>
          </w:rPr>
          <w:t xml:space="preserve">https://doi.org/10.1007/978-3-030-52229-2_18</w:t>
        </w:r>
      </w:hyperlink>
      <w:r>
        <w:t xml:space="preserve">.</w:t>
      </w:r>
    </w:p>
    <w:bookmarkEnd w:id="98"/>
    <w:bookmarkStart w:id="100"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99">
        <w:r>
          <w:rPr>
            <w:rStyle w:val="Hyperlink"/>
          </w:rPr>
          <w:t xml:space="preserve">https://doi.org/10.1016/j.jcomdis.2019.105969</w:t>
        </w:r>
      </w:hyperlink>
      <w:r>
        <w:t xml:space="preserve">.</w:t>
      </w:r>
    </w:p>
    <w:bookmarkEnd w:id="100"/>
    <w:bookmarkStart w:id="10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01">
        <w:r>
          <w:rPr>
            <w:rStyle w:val="Hyperlink"/>
          </w:rPr>
          <w:t xml:space="preserve">https://doi.org/10.2307/2334029</w:t>
        </w:r>
      </w:hyperlink>
      <w:r>
        <w:t xml:space="preserve">.</w:t>
      </w:r>
    </w:p>
    <w:bookmarkEnd w:id="102"/>
    <w:bookmarkStart w:id="104" w:name="ref-Bramley_2015"/>
    <w:p>
      <w:pPr>
        <w:pStyle w:val="Bibliography"/>
      </w:pPr>
      <w:r>
        <w:t xml:space="preserve">Bramley, T. 2015.</w:t>
      </w:r>
      <w:r>
        <w:t xml:space="preserve"> </w:t>
      </w:r>
      <w:r>
        <w:t xml:space="preserve">“Investigating the Reliability of Adaptive Comparative Judgment.”</w:t>
      </w:r>
      <w:r>
        <w:t xml:space="preserve"> </w:t>
      </w:r>
      <w:hyperlink r:id="rId103">
        <w:r>
          <w:rPr>
            <w:rStyle w:val="Hyperlink"/>
          </w:rPr>
          <w:t xml:space="preserve">http://www.cambridgeassessment.org.uk/Images/232694-investigating-the-reliability-of-adaptive-comparative-judgment.pdf</w:t>
        </w:r>
      </w:hyperlink>
      <w:r>
        <w:t xml:space="preserve">.</w:t>
      </w:r>
    </w:p>
    <w:bookmarkEnd w:id="104"/>
    <w:bookmarkStart w:id="10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05">
        <w:r>
          <w:rPr>
            <w:rStyle w:val="Hyperlink"/>
          </w:rPr>
          <w:t xml:space="preserve">https://doi.org/10.1080/0969594X.2017.1418734</w:t>
        </w:r>
      </w:hyperlink>
      <w:r>
        <w:t xml:space="preserve">.</w:t>
      </w:r>
    </w:p>
    <w:bookmarkEnd w:id="106"/>
    <w:bookmarkStart w:id="108" w:name="ref-Counterfactual_2024"/>
    <w:p>
      <w:pPr>
        <w:pStyle w:val="Bibliography"/>
      </w:pPr>
      <w:r>
        <w:t xml:space="preserve">Counterfactual. 2024.</w:t>
      </w:r>
      <w:r>
        <w:t xml:space="preserve"> </w:t>
      </w:r>
      <w:r>
        <w:t xml:space="preserve">“Merriam-Webster.com Dictionary.”</w:t>
      </w:r>
      <w:r>
        <w:t xml:space="preserve"> </w:t>
      </w:r>
      <w:hyperlink r:id="rId107">
        <w:r>
          <w:rPr>
            <w:rStyle w:val="Hyperlink"/>
          </w:rPr>
          <w:t xml:space="preserve">https://www.merriam-webster.com/dictionary/hacker</w:t>
        </w:r>
      </w:hyperlink>
      <w:r>
        <w:t xml:space="preserve">.</w:t>
      </w:r>
    </w:p>
    <w:bookmarkEnd w:id="108"/>
    <w:bookmarkStart w:id="110"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09">
        <w:r>
          <w:rPr>
            <w:rStyle w:val="Hyperlink"/>
          </w:rPr>
          <w:t xml:space="preserve">https://doi.org/10.3389/feduc.2021.788202</w:t>
        </w:r>
      </w:hyperlink>
      <w:r>
        <w:t xml:space="preserve">.</w:t>
      </w:r>
    </w:p>
    <w:bookmarkEnd w:id="110"/>
    <w:bookmarkStart w:id="112"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11">
        <w:r>
          <w:rPr>
            <w:rStyle w:val="Hyperlink"/>
          </w:rPr>
          <w:t xml:space="preserve">https://doi.org/10.3389/feduc.2020.582800</w:t>
        </w:r>
      </w:hyperlink>
      <w:r>
        <w:t xml:space="preserve">.</w:t>
      </w:r>
    </w:p>
    <w:bookmarkEnd w:id="112"/>
    <w:bookmarkStart w:id="114"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13">
        <w:r>
          <w:rPr>
            <w:rStyle w:val="Hyperlink"/>
          </w:rPr>
          <w:t xml:space="preserve">https://doi.org/10.1201/9780429425134</w:t>
        </w:r>
        <w:r>
          <w:rPr>
            <w:rStyle w:val="Hyperlink"/>
          </w:rPr>
          <w:t xml:space="preserve"> </w:t>
        </w:r>
      </w:hyperlink>
      <w:r>
        <w:t xml:space="preserve">.</w:t>
      </w:r>
    </w:p>
    <w:bookmarkEnd w:id="114"/>
    <w:bookmarkStart w:id="116"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15">
        <w:r>
          <w:rPr>
            <w:rStyle w:val="Hyperlink"/>
          </w:rPr>
          <w:t xml:space="preserve">https://doi.org/10.1007/s10649-015-9607-1</w:t>
        </w:r>
      </w:hyperlink>
      <w:r>
        <w:t xml:space="preserve">.</w:t>
      </w:r>
    </w:p>
    <w:bookmarkEnd w:id="116"/>
    <w:bookmarkStart w:id="117"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17"/>
    <w:bookmarkStart w:id="119"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18">
        <w:r>
          <w:rPr>
            <w:rStyle w:val="Hyperlink"/>
          </w:rPr>
          <w:t xml:space="preserve">https://doi.org/10.1037/h0043178</w:t>
        </w:r>
      </w:hyperlink>
      <w:r>
        <w:t xml:space="preserve">.</w:t>
      </w:r>
    </w:p>
    <w:bookmarkEnd w:id="119"/>
    <w:bookmarkStart w:id="121"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20">
        <w:r>
          <w:rPr>
            <w:rStyle w:val="Hyperlink"/>
          </w:rPr>
          <w:t xml:space="preserve">https://doi.org/10.1007/s40841-020-00163-3</w:t>
        </w:r>
      </w:hyperlink>
      <w:r>
        <w:t xml:space="preserve">.</w:t>
      </w:r>
    </w:p>
    <w:bookmarkEnd w:id="121"/>
    <w:bookmarkStart w:id="123" w:name="ref-McElreath_2020"/>
    <w:p>
      <w:pPr>
        <w:pStyle w:val="Bibliography"/>
      </w:pPr>
      <w:r>
        <w:t xml:space="preserve">McElreath, R. 2020.</w:t>
      </w:r>
      <w:r>
        <w:t xml:space="preserve"> </w:t>
      </w:r>
      <w:hyperlink r:id="rId122">
        <w:r>
          <w:rPr>
            <w:rStyle w:val="Hyperlink"/>
            <w:i/>
            <w:iCs/>
          </w:rPr>
          <w:t xml:space="preserve">Statistical Rethinking: A Bayesian Course with Examples in r and STAN</w:t>
        </w:r>
      </w:hyperlink>
      <w:r>
        <w:t xml:space="preserve">. Chapman; Hall/CRC.</w:t>
      </w:r>
    </w:p>
    <w:bookmarkEnd w:id="123"/>
    <w:bookmarkStart w:id="125" w:name="ref-Neal_2020"/>
    <w:p>
      <w:pPr>
        <w:pStyle w:val="Bibliography"/>
      </w:pPr>
      <w:r>
        <w:t xml:space="preserve">Neal, B. 2020.</w:t>
      </w:r>
      <w:r>
        <w:t xml:space="preserve"> </w:t>
      </w:r>
      <w:r>
        <w:t xml:space="preserve">“Introduction to Causal Inference from a Machine Learning Perspective.”</w:t>
      </w:r>
      <w:r>
        <w:t xml:space="preserve"> </w:t>
      </w:r>
      <w:hyperlink r:id="rId124">
        <w:r>
          <w:rPr>
            <w:rStyle w:val="Hyperlink"/>
          </w:rPr>
          <w:t xml:space="preserve">https://www.bradyneal.com/Introduction_to_Causal_Inference-Dec17_2020-Neal.pdf</w:t>
        </w:r>
      </w:hyperlink>
      <w:r>
        <w:t xml:space="preserve">.</w:t>
      </w:r>
    </w:p>
    <w:bookmarkEnd w:id="125"/>
    <w:bookmarkStart w:id="127"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26">
        <w:r>
          <w:rPr>
            <w:rStyle w:val="Hyperlink"/>
          </w:rPr>
          <w:t xml:space="preserve">http://www.jstor.org/stable/2245382</w:t>
        </w:r>
      </w:hyperlink>
      <w:r>
        <w:t xml:space="preserve">.</w:t>
      </w:r>
    </w:p>
    <w:bookmarkEnd w:id="127"/>
    <w:bookmarkStart w:id="128" w:name="ref-Pearl_2009"/>
    <w:p>
      <w:pPr>
        <w:pStyle w:val="Bibliography"/>
      </w:pPr>
      <w:r>
        <w:t xml:space="preserve">Pearl, J. 2009.</w:t>
      </w:r>
      <w:r>
        <w:t xml:space="preserve"> </w:t>
      </w:r>
      <w:hyperlink r:id="rId122">
        <w:r>
          <w:rPr>
            <w:rStyle w:val="Hyperlink"/>
            <w:i/>
            <w:iCs/>
          </w:rPr>
          <w:t xml:space="preserve">Causality: Models, Reasoning and Inference</w:t>
        </w:r>
      </w:hyperlink>
      <w:r>
        <w:t xml:space="preserve">. Cambrige University Press.</w:t>
      </w:r>
    </w:p>
    <w:bookmarkEnd w:id="128"/>
    <w:bookmarkStart w:id="130"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29">
        <w:r>
          <w:rPr>
            <w:rStyle w:val="Hyperlink"/>
          </w:rPr>
          <w:t xml:space="preserve">https://doi.org/10.2202/1557-4679.1203</w:t>
        </w:r>
      </w:hyperlink>
      <w:r>
        <w:t xml:space="preserve">.</w:t>
      </w:r>
    </w:p>
    <w:bookmarkEnd w:id="130"/>
    <w:bookmarkStart w:id="131" w:name="ref-Pearl_et_al_2016"/>
    <w:p>
      <w:pPr>
        <w:pStyle w:val="Bibliography"/>
      </w:pPr>
      <w:r>
        <w:t xml:space="preserve">Pearl, J., M. Glymour, and N. Jewell. 2016.</w:t>
      </w:r>
      <w:r>
        <w:t xml:space="preserve"> </w:t>
      </w:r>
      <w:hyperlink r:id="rId122">
        <w:r>
          <w:rPr>
            <w:rStyle w:val="Hyperlink"/>
            <w:i/>
            <w:iCs/>
          </w:rPr>
          <w:t xml:space="preserve">Causal Inference in Statistics: A Primer</w:t>
        </w:r>
      </w:hyperlink>
      <w:r>
        <w:t xml:space="preserve">. John Wiley &amp; Sons, Inc.</w:t>
      </w:r>
    </w:p>
    <w:bookmarkEnd w:id="131"/>
    <w:bookmarkStart w:id="132" w:name="ref-Pearl_et_al_2018"/>
    <w:p>
      <w:pPr>
        <w:pStyle w:val="Bibliography"/>
      </w:pPr>
      <w:r>
        <w:t xml:space="preserve">Pearl, J., and D. Mackenzie. 2018.</w:t>
      </w:r>
      <w:r>
        <w:t xml:space="preserve"> </w:t>
      </w:r>
      <w:hyperlink r:id="rId122">
        <w:r>
          <w:rPr>
            <w:rStyle w:val="Hyperlink"/>
            <w:i/>
            <w:iCs/>
          </w:rPr>
          <w:t xml:space="preserve">The Book of Why: The New Science of Cause and Effect</w:t>
        </w:r>
      </w:hyperlink>
      <w:r>
        <w:t xml:space="preserve">. 1st ed. Basic Books, Inc.</w:t>
      </w:r>
    </w:p>
    <w:bookmarkEnd w:id="132"/>
    <w:bookmarkStart w:id="134"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33">
        <w:r>
          <w:rPr>
            <w:rStyle w:val="Hyperlink"/>
          </w:rPr>
          <w:t xml:space="preserve">https://doi.org/10.2307/2346567</w:t>
        </w:r>
      </w:hyperlink>
      <w:r>
        <w:t xml:space="preserve">.</w:t>
      </w:r>
    </w:p>
    <w:bookmarkEnd w:id="134"/>
    <w:bookmarkStart w:id="136"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35">
        <w:r>
          <w:rPr>
            <w:rStyle w:val="Hyperlink"/>
          </w:rPr>
          <w:t xml:space="preserve">https://doi.org/10.1007/s10798-011-9189-x</w:t>
        </w:r>
      </w:hyperlink>
      <w:r>
        <w:t xml:space="preserve">.</w:t>
      </w:r>
    </w:p>
    <w:bookmarkEnd w:id="136"/>
    <w:bookmarkStart w:id="138"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37">
        <w:r>
          <w:rPr>
            <w:rStyle w:val="Hyperlink"/>
          </w:rPr>
          <w:t xml:space="preserve">https://doi.org/10.1080/0969594X.2012.665354</w:t>
        </w:r>
      </w:hyperlink>
      <w:r>
        <w:t xml:space="preserve">.</w:t>
      </w:r>
    </w:p>
    <w:bookmarkEnd w:id="138"/>
    <w:bookmarkStart w:id="140"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39">
        <w:r>
          <w:rPr>
            <w:rStyle w:val="Hyperlink"/>
          </w:rPr>
          <w:t xml:space="preserve">https://doi.org/10.1037/h0037350</w:t>
        </w:r>
      </w:hyperlink>
      <w:r>
        <w:t xml:space="preserve">.</w:t>
      </w:r>
    </w:p>
    <w:bookmarkEnd w:id="140"/>
    <w:bookmarkStart w:id="142"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41">
        <w:r>
          <w:rPr>
            <w:rStyle w:val="Hyperlink"/>
          </w:rPr>
          <w:t xml:space="preserve">https://web.archive.org/web/20141015135541/http://www.mhhe.com/socscience/psychology/shaugh/ch01_concepts.html</w:t>
        </w:r>
      </w:hyperlink>
      <w:r>
        <w:t xml:space="preserve">.</w:t>
      </w:r>
    </w:p>
    <w:bookmarkEnd w:id="142"/>
    <w:bookmarkStart w:id="144"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43">
        <w:r>
          <w:rPr>
            <w:rStyle w:val="Hyperlink"/>
          </w:rPr>
          <w:t xml:space="preserve">https://doi.org/10.1037/h0070288</w:t>
        </w:r>
      </w:hyperlink>
      <w:r>
        <w:t xml:space="preserve">.</w:t>
      </w:r>
    </w:p>
    <w:bookmarkEnd w:id="144"/>
    <w:bookmarkStart w:id="146"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45">
        <w:r>
          <w:rPr>
            <w:rStyle w:val="Hyperlink"/>
          </w:rPr>
          <w:t xml:space="preserve">https://doi.org/10.1016/0022-2496(86)90034-9</w:t>
        </w:r>
      </w:hyperlink>
      <w:r>
        <w:t xml:space="preserve">.</w:t>
      </w:r>
    </w:p>
    <w:bookmarkEnd w:id="146"/>
    <w:bookmarkStart w:id="14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47"/>
    <w:bookmarkStart w:id="149"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48">
        <w:r>
          <w:rPr>
            <w:rStyle w:val="Hyperlink"/>
          </w:rPr>
          <w:t xml:space="preserve">https://doi.org/10.1080/0969594X.2016.1253542</w:t>
        </w:r>
      </w:hyperlink>
      <w:r>
        <w:t xml:space="preserve">.</w:t>
      </w:r>
    </w:p>
    <w:bookmarkEnd w:id="149"/>
    <w:bookmarkStart w:id="151"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50">
        <w:r>
          <w:rPr>
            <w:rStyle w:val="Hyperlink"/>
          </w:rPr>
          <w:t xml:space="preserve">https://doi.org/10.3389/feduc.2017.00044</w:t>
        </w:r>
      </w:hyperlink>
      <w:r>
        <w:t xml:space="preserve">.</w:t>
      </w:r>
    </w:p>
    <w:bookmarkEnd w:id="151"/>
    <w:bookmarkStart w:id="15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52">
        <w:r>
          <w:rPr>
            <w:rStyle w:val="Hyperlink"/>
          </w:rPr>
          <w:t xml:space="preserve">https://doi.org/10.1080/0969594X.2019.1602027</w:t>
        </w:r>
      </w:hyperlink>
      <w:r>
        <w:t xml:space="preserve">.</w:t>
      </w:r>
    </w:p>
    <w:bookmarkEnd w:id="153"/>
    <w:bookmarkStart w:id="155" w:name="ref-Wright_1921"/>
    <w:p>
      <w:pPr>
        <w:pStyle w:val="Bibliography"/>
      </w:pPr>
      <w:r>
        <w:t xml:space="preserve">Wright, S. 1927.</w:t>
      </w:r>
      <w:r>
        <w:t xml:space="preserve"> </w:t>
      </w:r>
      <w:r>
        <w:t xml:space="preserve">“Correlation and Causation.”</w:t>
      </w:r>
      <w:r>
        <w:t xml:space="preserve"> </w:t>
      </w:r>
      <w:r>
        <w:rPr>
          <w:i/>
          <w:iCs/>
        </w:rPr>
        <w:t xml:space="preserve">Correlation and Causation</w:t>
      </w:r>
      <w:r>
        <w:t xml:space="preserve"> </w:t>
      </w:r>
      <w:r>
        <w:t xml:space="preserve">20 (7): 557–85.</w:t>
      </w:r>
      <w:r>
        <w:t xml:space="preserve"> </w:t>
      </w:r>
      <w:hyperlink r:id="rId154">
        <w:r>
          <w:rPr>
            <w:rStyle w:val="Hyperlink"/>
          </w:rPr>
          <w:t xml:space="preserve">https://books.google.co.ao/books/about/Journal_of_Agricultural_Research.html?hl=pt-PT&amp;id=lNNdIV_qpwIC</w:t>
        </w:r>
      </w:hyperlink>
      <w:r>
        <w:t xml:space="preserve">.</w:t>
      </w:r>
    </w:p>
    <w:bookmarkEnd w:id="155"/>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122" Target="" TargetMode="External" /><Relationship Type="http://schemas.openxmlformats.org/officeDocument/2006/relationships/hyperlink" Id="rId103" Target="http://www.cambridgeassessment.org.uk/Images/232694-investigating-the-reliability-of-adaptive-comparative-judgment.pdf" TargetMode="External" /><Relationship Type="http://schemas.openxmlformats.org/officeDocument/2006/relationships/hyperlink" Id="rId126" Target="http://www.jstor.org/stable/2245382" TargetMode="External" /><Relationship Type="http://schemas.openxmlformats.org/officeDocument/2006/relationships/hyperlink" Id="rId154" Target="https://books.google.co.ao/books/about/Journal_of_Agricultural_Research.html?hl=pt-PT&amp;id=lNNdIV_qpwIC" TargetMode="External" /><Relationship Type="http://schemas.openxmlformats.org/officeDocument/2006/relationships/hyperlink" Id="rId97" Target="https://doi.org/10.1007/978-3-030-52229-2_18" TargetMode="External" /><Relationship Type="http://schemas.openxmlformats.org/officeDocument/2006/relationships/hyperlink" Id="rId115" Target="https://doi.org/10.1007/s10649-015-9607-1" TargetMode="External" /><Relationship Type="http://schemas.openxmlformats.org/officeDocument/2006/relationships/hyperlink" Id="rId135" Target="https://doi.org/10.1007/s10798-011-9189-x" TargetMode="External" /><Relationship Type="http://schemas.openxmlformats.org/officeDocument/2006/relationships/hyperlink" Id="rId120" Target="https://doi.org/10.1007/s40841-020-00163-3" TargetMode="External" /><Relationship Type="http://schemas.openxmlformats.org/officeDocument/2006/relationships/hyperlink" Id="rId145" Target="https://doi.org/10.1016/0022-2496(86)90034-9" TargetMode="External" /><Relationship Type="http://schemas.openxmlformats.org/officeDocument/2006/relationships/hyperlink" Id="rId99" Target="https://doi.org/10.1016/j.jcomdis.2019.105969" TargetMode="External" /><Relationship Type="http://schemas.openxmlformats.org/officeDocument/2006/relationships/hyperlink" Id="rId139" Target="https://doi.org/10.1037/h0037350" TargetMode="External" /><Relationship Type="http://schemas.openxmlformats.org/officeDocument/2006/relationships/hyperlink" Id="rId118" Target="https://doi.org/10.1037/h0043178" TargetMode="External" /><Relationship Type="http://schemas.openxmlformats.org/officeDocument/2006/relationships/hyperlink" Id="rId143" Target="https://doi.org/10.1037/h0070288" TargetMode="External" /><Relationship Type="http://schemas.openxmlformats.org/officeDocument/2006/relationships/hyperlink" Id="rId137" Target="https://doi.org/10.1080/0969594X.2012.665354" TargetMode="External" /><Relationship Type="http://schemas.openxmlformats.org/officeDocument/2006/relationships/hyperlink" Id="rId148" Target="https://doi.org/10.1080/0969594X.2016.1253542" TargetMode="External" /><Relationship Type="http://schemas.openxmlformats.org/officeDocument/2006/relationships/hyperlink" Id="rId105" Target="https://doi.org/10.1080/0969594X.2017.1418734" TargetMode="External" /><Relationship Type="http://schemas.openxmlformats.org/officeDocument/2006/relationships/hyperlink" Id="rId152" Target="https://doi.org/10.1080/0969594X.2019.1602027" TargetMode="External" /><Relationship Type="http://schemas.openxmlformats.org/officeDocument/2006/relationships/hyperlink" Id="rId95" Target="https://doi.org/10.1080/10627197.2018.1444986" TargetMode="External" /><Relationship Type="http://schemas.openxmlformats.org/officeDocument/2006/relationships/hyperlink" Id="rId113" Target="https://doi.org/10.1201/9780429425134 " TargetMode="External" /><Relationship Type="http://schemas.openxmlformats.org/officeDocument/2006/relationships/hyperlink" Id="rId129" Target="https://doi.org/10.2202/1557-4679.1203" TargetMode="External" /><Relationship Type="http://schemas.openxmlformats.org/officeDocument/2006/relationships/hyperlink" Id="rId101" Target="https://doi.org/10.2307/2334029" TargetMode="External" /><Relationship Type="http://schemas.openxmlformats.org/officeDocument/2006/relationships/hyperlink" Id="rId133" Target="https://doi.org/10.2307/2346567" TargetMode="External" /><Relationship Type="http://schemas.openxmlformats.org/officeDocument/2006/relationships/hyperlink" Id="rId93" Target="https://doi.org/10.2307/2347562" TargetMode="External" /><Relationship Type="http://schemas.openxmlformats.org/officeDocument/2006/relationships/hyperlink" Id="rId150" Target="https://doi.org/10.3389/feduc.2017.00044" TargetMode="External" /><Relationship Type="http://schemas.openxmlformats.org/officeDocument/2006/relationships/hyperlink" Id="rId111" Target="https://doi.org/10.3389/feduc.2020.582800" TargetMode="External" /><Relationship Type="http://schemas.openxmlformats.org/officeDocument/2006/relationships/hyperlink" Id="rId109" Target="https://doi.org/10.3389/feduc.2021.788202" TargetMode="External" /><Relationship Type="http://schemas.openxmlformats.org/officeDocument/2006/relationships/hyperlink" Id="rId89" Target="https://jriveraespejo.github.io/paper2_manuscript/" TargetMode="External" /><Relationship Type="http://schemas.openxmlformats.org/officeDocument/2006/relationships/hyperlink" Id="rId141" Target="https://web.archive.org/web/20141015135541/http://www.mhhe.com/socscience/psychology/shaugh/ch01_concepts.html" TargetMode="External" /><Relationship Type="http://schemas.openxmlformats.org/officeDocument/2006/relationships/hyperlink" Id="rId124" Target="https://www.bradyneal.com/Introduction_to_Causal_Inference-Dec17_2020-Neal.pdf" TargetMode="External" /><Relationship Type="http://schemas.openxmlformats.org/officeDocument/2006/relationships/hyperlink" Id="rId107"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22" Target="" TargetMode="External" /><Relationship Type="http://schemas.openxmlformats.org/officeDocument/2006/relationships/hyperlink" Id="rId103" Target="http://www.cambridgeassessment.org.uk/Images/232694-investigating-the-reliability-of-adaptive-comparative-judgment.pdf" TargetMode="External" /><Relationship Type="http://schemas.openxmlformats.org/officeDocument/2006/relationships/hyperlink" Id="rId126" Target="http://www.jstor.org/stable/2245382" TargetMode="External" /><Relationship Type="http://schemas.openxmlformats.org/officeDocument/2006/relationships/hyperlink" Id="rId154" Target="https://books.google.co.ao/books/about/Journal_of_Agricultural_Research.html?hl=pt-PT&amp;id=lNNdIV_qpwIC" TargetMode="External" /><Relationship Type="http://schemas.openxmlformats.org/officeDocument/2006/relationships/hyperlink" Id="rId97" Target="https://doi.org/10.1007/978-3-030-52229-2_18" TargetMode="External" /><Relationship Type="http://schemas.openxmlformats.org/officeDocument/2006/relationships/hyperlink" Id="rId115" Target="https://doi.org/10.1007/s10649-015-9607-1" TargetMode="External" /><Relationship Type="http://schemas.openxmlformats.org/officeDocument/2006/relationships/hyperlink" Id="rId135" Target="https://doi.org/10.1007/s10798-011-9189-x" TargetMode="External" /><Relationship Type="http://schemas.openxmlformats.org/officeDocument/2006/relationships/hyperlink" Id="rId120" Target="https://doi.org/10.1007/s40841-020-00163-3" TargetMode="External" /><Relationship Type="http://schemas.openxmlformats.org/officeDocument/2006/relationships/hyperlink" Id="rId145" Target="https://doi.org/10.1016/0022-2496(86)90034-9" TargetMode="External" /><Relationship Type="http://schemas.openxmlformats.org/officeDocument/2006/relationships/hyperlink" Id="rId99" Target="https://doi.org/10.1016/j.jcomdis.2019.105969" TargetMode="External" /><Relationship Type="http://schemas.openxmlformats.org/officeDocument/2006/relationships/hyperlink" Id="rId139" Target="https://doi.org/10.1037/h0037350" TargetMode="External" /><Relationship Type="http://schemas.openxmlformats.org/officeDocument/2006/relationships/hyperlink" Id="rId118" Target="https://doi.org/10.1037/h0043178" TargetMode="External" /><Relationship Type="http://schemas.openxmlformats.org/officeDocument/2006/relationships/hyperlink" Id="rId143" Target="https://doi.org/10.1037/h0070288" TargetMode="External" /><Relationship Type="http://schemas.openxmlformats.org/officeDocument/2006/relationships/hyperlink" Id="rId137" Target="https://doi.org/10.1080/0969594X.2012.665354" TargetMode="External" /><Relationship Type="http://schemas.openxmlformats.org/officeDocument/2006/relationships/hyperlink" Id="rId148" Target="https://doi.org/10.1080/0969594X.2016.1253542" TargetMode="External" /><Relationship Type="http://schemas.openxmlformats.org/officeDocument/2006/relationships/hyperlink" Id="rId105" Target="https://doi.org/10.1080/0969594X.2017.1418734" TargetMode="External" /><Relationship Type="http://schemas.openxmlformats.org/officeDocument/2006/relationships/hyperlink" Id="rId152" Target="https://doi.org/10.1080/0969594X.2019.1602027" TargetMode="External" /><Relationship Type="http://schemas.openxmlformats.org/officeDocument/2006/relationships/hyperlink" Id="rId95" Target="https://doi.org/10.1080/10627197.2018.1444986" TargetMode="External" /><Relationship Type="http://schemas.openxmlformats.org/officeDocument/2006/relationships/hyperlink" Id="rId113" Target="https://doi.org/10.1201/9780429425134 " TargetMode="External" /><Relationship Type="http://schemas.openxmlformats.org/officeDocument/2006/relationships/hyperlink" Id="rId129" Target="https://doi.org/10.2202/1557-4679.1203" TargetMode="External" /><Relationship Type="http://schemas.openxmlformats.org/officeDocument/2006/relationships/hyperlink" Id="rId101" Target="https://doi.org/10.2307/2334029" TargetMode="External" /><Relationship Type="http://schemas.openxmlformats.org/officeDocument/2006/relationships/hyperlink" Id="rId133" Target="https://doi.org/10.2307/2346567" TargetMode="External" /><Relationship Type="http://schemas.openxmlformats.org/officeDocument/2006/relationships/hyperlink" Id="rId93" Target="https://doi.org/10.2307/2347562" TargetMode="External" /><Relationship Type="http://schemas.openxmlformats.org/officeDocument/2006/relationships/hyperlink" Id="rId150" Target="https://doi.org/10.3389/feduc.2017.00044" TargetMode="External" /><Relationship Type="http://schemas.openxmlformats.org/officeDocument/2006/relationships/hyperlink" Id="rId111" Target="https://doi.org/10.3389/feduc.2020.582800" TargetMode="External" /><Relationship Type="http://schemas.openxmlformats.org/officeDocument/2006/relationships/hyperlink" Id="rId109" Target="https://doi.org/10.3389/feduc.2021.788202" TargetMode="External" /><Relationship Type="http://schemas.openxmlformats.org/officeDocument/2006/relationships/hyperlink" Id="rId89" Target="https://jriveraespejo.github.io/paper2_manuscript/" TargetMode="External" /><Relationship Type="http://schemas.openxmlformats.org/officeDocument/2006/relationships/hyperlink" Id="rId141" Target="https://web.archive.org/web/20141015135541/http://www.mhhe.com/socscience/psychology/shaugh/ch01_concepts.html" TargetMode="External" /><Relationship Type="http://schemas.openxmlformats.org/officeDocument/2006/relationships/hyperlink" Id="rId124" Target="https://www.bradyneal.com/Introduction_to_Causal_Inference-Dec17_2020-Neal.pdf" TargetMode="External" /><Relationship Type="http://schemas.openxmlformats.org/officeDocument/2006/relationships/hyperlink" Id="rId107"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comparative judgement, directed acycilc graph, causal analysis, probabilistic statistics</cp:keywords>
  <dcterms:created xsi:type="dcterms:W3CDTF">2024-07-30T09:11:06Z</dcterms:created>
  <dcterms:modified xsi:type="dcterms:W3CDTF">2024-07-30T09:11:06Z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framework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2024-07-30</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