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 and effects in Dichotomous Comparative Judgments: an information-theoretical system of plausible mechanism</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2024-10-16</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 Pollitt 2012a)</w:t>
      </w:r>
      <w:r>
        <w:t xml:space="preserve"> </w:t>
      </w:r>
      <w:r>
        <w:t xml:space="preserve">for assessing competencies and traits. These studies have evaluated CJ from two main perspectives: its ability to produce reliable and valid trait scores, and its practical applicability. In terms of reliability and validity, research has shown that CJ can generate precise and consistent scores that accurately represent the traits being measured. Notable contributions in this research area include studies by</w:t>
      </w:r>
      <w:r>
        <w:t xml:space="preserve"> </w:t>
      </w:r>
      <w:r>
        <w:t xml:space="preserve">Pollitt (2012b)</w:t>
      </w:r>
      <w:r>
        <w:t xml:space="preserve">,</w:t>
      </w:r>
      <w:r>
        <w:t xml:space="preserve"> </w:t>
      </w:r>
      <w:r>
        <w:t xml:space="preserve">Whitehouse (2012)</w:t>
      </w:r>
      <w:r>
        <w:t xml:space="preserve">,</w:t>
      </w:r>
      <w:r>
        <w:t xml:space="preserve"> </w:t>
      </w:r>
      <w:r>
        <w:t xml:space="preserve">van Daal et al. (2019a)</w:t>
      </w:r>
      <w:r>
        <w:t xml:space="preserve">,</w:t>
      </w:r>
      <w:r>
        <w:t xml:space="preserve"> </w:t>
      </w:r>
      <w:r>
        <w:t xml:space="preserve">Lesterhuis (2018)</w:t>
      </w:r>
      <w:r>
        <w:t xml:space="preserve">,</w:t>
      </w:r>
      <w:r>
        <w:t xml:space="preserve"> </w:t>
      </w:r>
      <w:r>
        <w:t xml:space="preserve">van Daal et al. (2019b)</w:t>
      </w:r>
      <w:r>
        <w:t xml:space="preserve">,</w:t>
      </w:r>
      <w:r>
        <w:t xml:space="preserve"> </w:t>
      </w:r>
      <w:r>
        <w:t xml:space="preserve">Bramley and Vitello (2019)</w:t>
      </w:r>
      <w:r>
        <w:t xml:space="preserve">,</w:t>
      </w:r>
      <w:r>
        <w:t xml:space="preserve"> </w:t>
      </w:r>
      <w:r>
        <w:t xml:space="preserve">Verhavert et al. (2019)</w:t>
      </w:r>
      <w:r>
        <w:t xml:space="preserve">,</w:t>
      </w:r>
      <w:r>
        <w:t xml:space="preserve"> </w:t>
      </w:r>
      <w:r>
        <w:t xml:space="preserve">Crompvoets, Béguin, and Sijtsma (2022)</w:t>
      </w:r>
      <w:r>
        <w:t xml:space="preserve">, and</w:t>
      </w:r>
      <w:r>
        <w:t xml:space="preserve"> </w:t>
      </w:r>
      <w:r>
        <w:t xml:space="preserve">Bouwer et al. (2023)</w:t>
      </w:r>
      <w:r>
        <w:t xml:space="preserve">. Regarding practical applicability, several studies have highlighted the method’s versatility in both educational and non-educational contexts, presenting it as an efficient and effective alternative for measurement and evaluation. Key examples in this research area include the works of</w:t>
      </w:r>
      <w:r>
        <w:t xml:space="preserve"> </w:t>
      </w:r>
      <w:r>
        <w:t xml:space="preserve">Jones (2015)</w:t>
      </w:r>
      <w:r>
        <w:t xml:space="preserve">,</w:t>
      </w:r>
      <w:r>
        <w:t xml:space="preserve"> </w:t>
      </w:r>
      <w:r>
        <w:t xml:space="preserve">Bartholomew et al. (2018)</w:t>
      </w:r>
      <w:r>
        <w:t xml:space="preserve">,</w:t>
      </w:r>
      <w:r>
        <w:t xml:space="preserve"> </w:t>
      </w:r>
      <w:r>
        <w:t xml:space="preserve">Jones et al. (2019)</w:t>
      </w:r>
      <w:r>
        <w:t xml:space="preserve">,</w:t>
      </w:r>
      <w:r>
        <w:t xml:space="preserve"> </w:t>
      </w:r>
      <w:r>
        <w:t xml:space="preserve">Marshall et al. (2020)</w:t>
      </w:r>
      <w:r>
        <w:t xml:space="preserve">,</w:t>
      </w:r>
      <w:r>
        <w:t xml:space="preserve"> </w:t>
      </w:r>
      <w:r>
        <w:t xml:space="preserve">Bartholomew and Williams (2020)</w:t>
      </w:r>
      <w:r>
        <w:t xml:space="preserve">, and</w:t>
      </w:r>
      <w:r>
        <w:t xml:space="preserve"> </w:t>
      </w:r>
      <w:r>
        <w:t xml:space="preserve">Boonen, Kloots, and Gillis (2020)</w:t>
      </w:r>
      <w:r>
        <w:t xml:space="preserve">.</w:t>
      </w:r>
    </w:p>
    <w:p>
      <w:pPr>
        <w:pStyle w:val="BodyText"/>
      </w:pPr>
      <w:r>
        <w:t xml:space="preserve">Nevertheless, despite the growing number of CJ studies, the research approaches employed in the literature have been unsystematic and non-integrated, leading to the oversight of several critical issues related to the method. These issues include concerns about the measurement model responsible for generating the CJ scores, the structural component used for further data analysis and hypothesis testing, and challenges related to the design of CJ experiments. For instance, a notable concern regarding the measurement model is the prevalent reliance on the assumptions of Case 5 from Thurstone’s law of comparative judgment</w:t>
      </w:r>
      <w:r>
        <w:t xml:space="preserve"> </w:t>
      </w:r>
      <w:r>
        <w:t xml:space="preserve">(1927)</w:t>
      </w:r>
      <w:r>
        <w:t xml:space="preserve">. Although Case 5 was originally articulated to produce a</w:t>
      </w:r>
      <w:r>
        <w:t xml:space="preserve"> </w:t>
      </w:r>
      <w:r>
        <w:t xml:space="preserve">“rough measurement”</w:t>
      </w:r>
      <w:r>
        <w:t xml:space="preserve"> </w:t>
      </w:r>
      <w:r>
        <w:t xml:space="preserve">or</w:t>
      </w:r>
      <w:r>
        <w:t xml:space="preserve"> </w:t>
      </w:r>
      <w:r>
        <w:t xml:space="preserve">“rather coarse scaling”</w:t>
      </w:r>
      <w:r>
        <w:t xml:space="preserve"> </w:t>
      </w:r>
      <w:r>
        <w:t xml:space="preserve">of traits</w:t>
      </w:r>
      <w:r>
        <w:t xml:space="preserve"> </w:t>
      </w:r>
      <w:r>
        <w:t xml:space="preserve">(Thurstone 1927, 268–69)</w:t>
      </w:r>
      <w:r>
        <w:t xml:space="preserve">, its assumptions have become predominant in the literature due to its implementation through the Bradley-Terry-Luce (BTL) model</w:t>
      </w:r>
      <w:r>
        <w:t xml:space="preserve"> </w:t>
      </w:r>
      <w:r>
        <w:t xml:space="preserve">(Bradley and Terry 1952; Luce 1959)</w:t>
      </w:r>
      <w:r>
        <w:t xml:space="preserve">. This leaves issues such as the presence of judge’ biases hinted by</w:t>
      </w:r>
      <w:r>
        <w:t xml:space="preserve"> </w:t>
      </w:r>
      <w:r>
        <w:t xml:space="preserve">Bramley (2008)</w:t>
      </w:r>
      <w:r>
        <w:t xml:space="preserve"> </w:t>
      </w:r>
      <w:r>
        <w:t xml:space="preserve">and</w:t>
      </w:r>
      <w:r>
        <w:t xml:space="preserve"> </w:t>
      </w:r>
      <w:r>
        <w:t xml:space="preserve">Kelly, Richardson, and Isaacs (2022)</w:t>
      </w:r>
      <w:r>
        <w:t xml:space="preserve">, and evidenced by</w:t>
      </w:r>
      <w:r>
        <w:t xml:space="preserve"> </w:t>
      </w:r>
      <w:r>
        <w:t xml:space="preserve">Pollitt and Elliott (2003)</w:t>
      </w:r>
      <w:r>
        <w:t xml:space="preserve">,</w:t>
      </w:r>
      <w:r>
        <w:t xml:space="preserve"> </w:t>
      </w:r>
      <w:r>
        <w:t xml:space="preserve">(</w:t>
      </w:r>
      <w:r>
        <w:rPr>
          <w:b/>
          <w:bCs/>
        </w:rPr>
        <w:t xml:space="preserve">Arlett_2003?</w:t>
      </w:r>
      <w:r>
        <w:t xml:space="preserve">)</w:t>
      </w:r>
      <w:r>
        <w:t xml:space="preserve">, and</w:t>
      </w:r>
      <w:r>
        <w:t xml:space="preserve"> </w:t>
      </w:r>
      <w:r>
        <w:t xml:space="preserve">(</w:t>
      </w:r>
      <w:r>
        <w:rPr>
          <w:b/>
          <w:bCs/>
        </w:rPr>
        <w:t xml:space="preserve">Guthrie_2003?</w:t>
      </w:r>
      <w:r>
        <w:t xml:space="preserve">)</w:t>
      </w:r>
    </w:p>
    <w:bookmarkEnd w:id="20"/>
    <w:bookmarkStart w:id="24" w:name="sec-theory"/>
    <w:p>
      <w:pPr>
        <w:pStyle w:val="Heading1"/>
      </w:pPr>
      <w:r>
        <w:t xml:space="preserve">Theory</w:t>
      </w:r>
    </w:p>
    <w:bookmarkStart w:id="21" w:name="sec-theory-thurstone"/>
    <w:p>
      <w:pPr>
        <w:pStyle w:val="Heading2"/>
      </w:pPr>
      <w:r>
        <w:t xml:space="preserve">Let’s talk about Thurstone co.</w:t>
      </w:r>
    </w:p>
    <w:bookmarkEnd w:id="21"/>
    <w:bookmarkStart w:id="22" w:name="sec-theory-scientific"/>
    <w:p>
      <w:pPr>
        <w:pStyle w:val="Heading2"/>
      </w:pPr>
      <w:r>
        <w:t xml:space="preserve">A scientific model for the CJ</w:t>
      </w:r>
    </w:p>
    <w:bookmarkEnd w:id="22"/>
    <w:bookmarkStart w:id="23" w:name="sec-theory-statmodel"/>
    <w:p>
      <w:pPr>
        <w:pStyle w:val="Heading2"/>
      </w:pPr>
      <w:r>
        <w:t xml:space="preserve">From theory to statistical model</w:t>
      </w:r>
    </w:p>
    <w:bookmarkEnd w:id="23"/>
    <w:bookmarkEnd w:id="24"/>
    <w:bookmarkStart w:id="27" w:name="sec-discuss"/>
    <w:p>
      <w:pPr>
        <w:pStyle w:val="Heading1"/>
      </w:pPr>
      <w:r>
        <w:t xml:space="preserve">Discussion</w:t>
      </w:r>
    </w:p>
    <w:bookmarkStart w:id="25" w:name="sec-discuss-finding"/>
    <w:p>
      <w:pPr>
        <w:pStyle w:val="Heading2"/>
      </w:pPr>
      <w:r>
        <w:t xml:space="preserve">Findings</w:t>
      </w:r>
    </w:p>
    <w:bookmarkEnd w:id="25"/>
    <w:bookmarkStart w:id="26" w:name="sec-discuss-limitations"/>
    <w:p>
      <w:pPr>
        <w:pStyle w:val="Heading2"/>
      </w:pPr>
      <w:r>
        <w:t xml:space="preserve">Limitations and further research</w:t>
      </w:r>
    </w:p>
    <w:bookmarkEnd w:id="26"/>
    <w:bookmarkEnd w:id="27"/>
    <w:bookmarkStart w:id="28" w:name="sec-conclusion"/>
    <w:p>
      <w:pPr>
        <w:pStyle w:val="Heading1"/>
      </w:pPr>
      <w:r>
        <w:t xml:space="preserve">Conclusion</w:t>
      </w:r>
    </w:p>
    <w:p>
      <w:r>
        <w:br w:type="page"/>
      </w:r>
    </w:p>
    <w:bookmarkEnd w:id="28"/>
    <w:bookmarkStart w:id="30"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29">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0"/>
    <w:bookmarkStart w:id="75" w:name="sec-appendix"/>
    <w:p>
      <w:pPr>
        <w:pStyle w:val="Heading1"/>
      </w:pPr>
      <w:r>
        <w:t xml:space="preserve">Appendix</w:t>
      </w:r>
    </w:p>
    <w:p>
      <w:r>
        <w:br w:type="page"/>
      </w:r>
    </w:p>
    <w:bookmarkStart w:id="74" w:name="references"/>
    <w:p>
      <w:pPr>
        <w:pStyle w:val="Heading2"/>
      </w:pPr>
      <w:r>
        <w:t xml:space="preserve">References</w:t>
      </w:r>
    </w:p>
    <w:bookmarkStart w:id="73" w:name="refs"/>
    <w:bookmarkStart w:id="32"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1">
        <w:r>
          <w:rPr>
            <w:rStyle w:val="Hyperlink"/>
          </w:rPr>
          <w:t xml:space="preserve">https://doi.org/10.1080/10627197.2018.1444986</w:t>
        </w:r>
      </w:hyperlink>
      <w:r>
        <w:t xml:space="preserve">.</w:t>
      </w:r>
    </w:p>
    <w:bookmarkEnd w:id="32"/>
    <w:bookmarkStart w:id="34"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3">
        <w:r>
          <w:rPr>
            <w:rStyle w:val="Hyperlink"/>
          </w:rPr>
          <w:t xml:space="preserve">https://doi.org/10.1007/978-3-030-52229-2_18</w:t>
        </w:r>
      </w:hyperlink>
      <w:r>
        <w:t xml:space="preserve">.</w:t>
      </w:r>
    </w:p>
    <w:bookmarkEnd w:id="34"/>
    <w:bookmarkStart w:id="36"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5">
        <w:r>
          <w:rPr>
            <w:rStyle w:val="Hyperlink"/>
          </w:rPr>
          <w:t xml:space="preserve">https://doi.org/10.1016/j.jcomdis.2019.105969</w:t>
        </w:r>
      </w:hyperlink>
      <w:r>
        <w:t xml:space="preserve">.</w:t>
      </w:r>
    </w:p>
    <w:bookmarkEnd w:id="36"/>
    <w:bookmarkStart w:id="38"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37">
        <w:r>
          <w:rPr>
            <w:rStyle w:val="Hyperlink"/>
          </w:rPr>
          <w:t xml:space="preserve">https://doi.org/10.17239/jowr-2024.15.03.03</w:t>
        </w:r>
      </w:hyperlink>
      <w:r>
        <w:t xml:space="preserve">.</w:t>
      </w:r>
    </w:p>
    <w:bookmarkEnd w:id="38"/>
    <w:bookmarkStart w:id="40"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39">
        <w:r>
          <w:rPr>
            <w:rStyle w:val="Hyperlink"/>
          </w:rPr>
          <w:t xml:space="preserve">https://doi.org/10.2307/2334029</w:t>
        </w:r>
      </w:hyperlink>
      <w:r>
        <w:t xml:space="preserve">.</w:t>
      </w:r>
    </w:p>
    <w:bookmarkEnd w:id="40"/>
    <w:bookmarkStart w:id="42"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41">
        <w:r>
          <w:rPr>
            <w:rStyle w:val="Hyperlink"/>
          </w:rPr>
          <w:t xml:space="preserve">https://www.gov.uk/government/publications/techniques-for-monitoring-the-comparability-of-examination-standards</w:t>
        </w:r>
      </w:hyperlink>
      <w:r>
        <w:t xml:space="preserve">.</w:t>
      </w:r>
    </w:p>
    <w:bookmarkEnd w:id="42"/>
    <w:bookmarkStart w:id="44"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3">
        <w:r>
          <w:rPr>
            <w:rStyle w:val="Hyperlink"/>
          </w:rPr>
          <w:t xml:space="preserve">https://doi.org/10.1080/0969594X.2017.1418734</w:t>
        </w:r>
      </w:hyperlink>
      <w:r>
        <w:t xml:space="preserve">.</w:t>
      </w:r>
    </w:p>
    <w:bookmarkEnd w:id="44"/>
    <w:bookmarkStart w:id="46"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5">
        <w:r>
          <w:rPr>
            <w:rStyle w:val="Hyperlink"/>
          </w:rPr>
          <w:t xml:space="preserve">https://doi.org/10.3389/feduc.2021.788202</w:t>
        </w:r>
      </w:hyperlink>
      <w:r>
        <w:t xml:space="preserve">.</w:t>
      </w:r>
    </w:p>
    <w:bookmarkEnd w:id="46"/>
    <w:bookmarkStart w:id="48"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47">
        <w:r>
          <w:rPr>
            <w:rStyle w:val="Hyperlink"/>
          </w:rPr>
          <w:t xml:space="preserve">https://doi.org/10.1007/s10649-015-9607-1</w:t>
        </w:r>
      </w:hyperlink>
      <w:r>
        <w:t xml:space="preserve">.</w:t>
      </w:r>
    </w:p>
    <w:bookmarkEnd w:id="48"/>
    <w:bookmarkStart w:id="50"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49">
        <w:r>
          <w:rPr>
            <w:rStyle w:val="Hyperlink"/>
          </w:rPr>
          <w:t xml:space="preserve">https://doi.org/10.1002/berj.3519</w:t>
        </w:r>
      </w:hyperlink>
      <w:r>
        <w:t xml:space="preserve">.</w:t>
      </w:r>
    </w:p>
    <w:bookmarkEnd w:id="50"/>
    <w:bookmarkStart w:id="52"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51">
        <w:r>
          <w:rPr>
            <w:rStyle w:val="Hyperlink"/>
          </w:rPr>
          <w:t xml:space="preserve">https://doi.org/10.1080/0969594X.2022.2147901</w:t>
        </w:r>
      </w:hyperlink>
      <w:r>
        <w:t xml:space="preserve">.</w:t>
      </w:r>
    </w:p>
    <w:bookmarkEnd w:id="52"/>
    <w:bookmarkStart w:id="53"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53"/>
    <w:bookmarkStart w:id="55"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54">
        <w:r>
          <w:rPr>
            <w:rStyle w:val="Hyperlink"/>
          </w:rPr>
          <w:t xml:space="preserve">https://doi.org/10.1037/h0043178</w:t>
        </w:r>
      </w:hyperlink>
      <w:r>
        <w:t xml:space="preserve">.</w:t>
      </w:r>
    </w:p>
    <w:bookmarkEnd w:id="55"/>
    <w:bookmarkStart w:id="57"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56">
        <w:r>
          <w:rPr>
            <w:rStyle w:val="Hyperlink"/>
          </w:rPr>
          <w:t xml:space="preserve">https://doi.org/10.1007/s40841-020-00163-3</w:t>
        </w:r>
      </w:hyperlink>
      <w:r>
        <w:t xml:space="preserve">.</w:t>
      </w:r>
    </w:p>
    <w:bookmarkEnd w:id="57"/>
    <w:bookmarkStart w:id="59"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58">
        <w:r>
          <w:rPr>
            <w:rStyle w:val="Hyperlink"/>
          </w:rPr>
          <w:t xml:space="preserve">https://doi.org/10.1007/s10798-011-9189-x</w:t>
        </w:r>
      </w:hyperlink>
      <w:r>
        <w:t xml:space="preserve">.</w:t>
      </w:r>
    </w:p>
    <w:bookmarkEnd w:id="59"/>
    <w:bookmarkStart w:id="61"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60">
        <w:r>
          <w:rPr>
            <w:rStyle w:val="Hyperlink"/>
          </w:rPr>
          <w:t xml:space="preserve">https://doi.org/10.1080/0969594X.2012.665354</w:t>
        </w:r>
      </w:hyperlink>
      <w:r>
        <w:t xml:space="preserve">.</w:t>
      </w:r>
    </w:p>
    <w:bookmarkEnd w:id="61"/>
    <w:bookmarkStart w:id="63"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62">
        <w:r>
          <w:rPr>
            <w:rStyle w:val="Hyperlink"/>
          </w:rPr>
          <w:t xml:space="preserve">https://www.cambridgeassessment.org.uk/Images/109707-monitoring-and-investigating-comparability-a-proper-role-for-human-judgement.pdf</w:t>
        </w:r>
      </w:hyperlink>
      <w:r>
        <w:t xml:space="preserve">.</w:t>
      </w:r>
    </w:p>
    <w:bookmarkEnd w:id="63"/>
    <w:bookmarkStart w:id="65"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64">
        <w:r>
          <w:rPr>
            <w:rStyle w:val="Hyperlink"/>
          </w:rPr>
          <w:t xml:space="preserve">https://doi.org/10.1037/h0070288</w:t>
        </w:r>
      </w:hyperlink>
      <w:r>
        <w:t xml:space="preserve">.</w:t>
      </w:r>
    </w:p>
    <w:bookmarkEnd w:id="65"/>
    <w:bookmarkStart w:id="67" w:name="ref-vanDaal_et_al_2016"/>
    <w:p>
      <w:pPr>
        <w:pStyle w:val="Bibliography"/>
      </w:pPr>
      <w:r>
        <w:t xml:space="preserve">van Daal, T., M. Lesterhuis, L. Coertjens, V. Donche, and S. De Maeyer. 2019a.</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66">
        <w:r>
          <w:rPr>
            <w:rStyle w:val="Hyperlink"/>
          </w:rPr>
          <w:t xml:space="preserve">https://doi.org/10.1080/0969594X.2016.1253542</w:t>
        </w:r>
      </w:hyperlink>
      <w:r>
        <w:t xml:space="preserve">.</w:t>
      </w:r>
    </w:p>
    <w:bookmarkEnd w:id="67"/>
    <w:bookmarkStart w:id="68" w:name="ref-vanDaal_et_al_2019"/>
    <w:p>
      <w:pPr>
        <w:pStyle w:val="Bibliography"/>
      </w:pPr>
      <w:r>
        <w:t xml:space="preserve">———. 2019b.</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66">
        <w:r>
          <w:rPr>
            <w:rStyle w:val="Hyperlink"/>
          </w:rPr>
          <w:t xml:space="preserve">https://doi.org/10.1080/0969594X.2016.1253542</w:t>
        </w:r>
      </w:hyperlink>
      <w:r>
        <w:t xml:space="preserve">.</w:t>
      </w:r>
    </w:p>
    <w:bookmarkEnd w:id="68"/>
    <w:bookmarkStart w:id="70"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69">
        <w:r>
          <w:rPr>
            <w:rStyle w:val="Hyperlink"/>
          </w:rPr>
          <w:t xml:space="preserve">https://doi.org/10.1080/0969594X.2019.1602027</w:t>
        </w:r>
      </w:hyperlink>
      <w:r>
        <w:t xml:space="preserve">.</w:t>
      </w:r>
    </w:p>
    <w:bookmarkEnd w:id="70"/>
    <w:bookmarkStart w:id="72"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71">
        <w:r>
          <w:rPr>
            <w:rStyle w:val="Hyperlink"/>
          </w:rPr>
          <w:t xml:space="preserve">https://filestore.aqa.org.uk/content/research/CERP_RP_CW_24102012_0.pdf?download=1</w:t>
        </w:r>
      </w:hyperlink>
      <w:r>
        <w:t xml:space="preserve">.</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02/berj.3519" TargetMode="External" /><Relationship Type="http://schemas.openxmlformats.org/officeDocument/2006/relationships/hyperlink" Id="rId33" Target="https://doi.org/10.1007/978-3-030-52229-2_18" TargetMode="External" /><Relationship Type="http://schemas.openxmlformats.org/officeDocument/2006/relationships/hyperlink" Id="rId47" Target="https://doi.org/10.1007/s10649-015-9607-1" TargetMode="External" /><Relationship Type="http://schemas.openxmlformats.org/officeDocument/2006/relationships/hyperlink" Id="rId58" Target="https://doi.org/10.1007/s10798-011-9189-x" TargetMode="External" /><Relationship Type="http://schemas.openxmlformats.org/officeDocument/2006/relationships/hyperlink" Id="rId56" Target="https://doi.org/10.1007/s40841-020-00163-3" TargetMode="External" /><Relationship Type="http://schemas.openxmlformats.org/officeDocument/2006/relationships/hyperlink" Id="rId35" Target="https://doi.org/10.1016/j.jcomdis.2019.105969" TargetMode="External" /><Relationship Type="http://schemas.openxmlformats.org/officeDocument/2006/relationships/hyperlink" Id="rId54" Target="https://doi.org/10.1037/h0043178" TargetMode="External" /><Relationship Type="http://schemas.openxmlformats.org/officeDocument/2006/relationships/hyperlink" Id="rId64" Target="https://doi.org/10.1037/h0070288" TargetMode="External" /><Relationship Type="http://schemas.openxmlformats.org/officeDocument/2006/relationships/hyperlink" Id="rId60" Target="https://doi.org/10.1080/0969594X.2012.665354" TargetMode="External" /><Relationship Type="http://schemas.openxmlformats.org/officeDocument/2006/relationships/hyperlink" Id="rId66" Target="https://doi.org/10.1080/0969594X.2016.1253542" TargetMode="External" /><Relationship Type="http://schemas.openxmlformats.org/officeDocument/2006/relationships/hyperlink" Id="rId43" Target="https://doi.org/10.1080/0969594X.2017.1418734" TargetMode="External" /><Relationship Type="http://schemas.openxmlformats.org/officeDocument/2006/relationships/hyperlink" Id="rId69" Target="https://doi.org/10.1080/0969594X.2019.1602027" TargetMode="External" /><Relationship Type="http://schemas.openxmlformats.org/officeDocument/2006/relationships/hyperlink" Id="rId51" Target="https://doi.org/10.1080/0969594X.2022.2147901" TargetMode="External" /><Relationship Type="http://schemas.openxmlformats.org/officeDocument/2006/relationships/hyperlink" Id="rId31" Target="https://doi.org/10.1080/10627197.2018.1444986" TargetMode="External" /><Relationship Type="http://schemas.openxmlformats.org/officeDocument/2006/relationships/hyperlink" Id="rId37" Target="https://doi.org/10.17239/jowr-2024.15.03.03" TargetMode="External" /><Relationship Type="http://schemas.openxmlformats.org/officeDocument/2006/relationships/hyperlink" Id="rId39" Target="https://doi.org/10.2307/2334029" TargetMode="External" /><Relationship Type="http://schemas.openxmlformats.org/officeDocument/2006/relationships/hyperlink" Id="rId45" Target="https://doi.org/10.3389/feduc.2021.788202" TargetMode="External" /><Relationship Type="http://schemas.openxmlformats.org/officeDocument/2006/relationships/hyperlink" Id="rId71" Target="https://filestore.aqa.org.uk/content/research/CERP_RP_CW_24102012_0.pdf?download=1" TargetMode="External" /><Relationship Type="http://schemas.openxmlformats.org/officeDocument/2006/relationships/hyperlink" Id="rId29" Target="https://jriveraespejo.github.io/paper2_manuscript/" TargetMode="External" /><Relationship Type="http://schemas.openxmlformats.org/officeDocument/2006/relationships/hyperlink" Id="rId62" Target="https://www.cambridgeassessment.org.uk/Images/109707-monitoring-and-investigating-comparability-a-proper-role-for-human-judgement.pdf" TargetMode="External" /><Relationship Type="http://schemas.openxmlformats.org/officeDocument/2006/relationships/hyperlink" Id="rId41"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2/berj.3519" TargetMode="External" /><Relationship Type="http://schemas.openxmlformats.org/officeDocument/2006/relationships/hyperlink" Id="rId33" Target="https://doi.org/10.1007/978-3-030-52229-2_18" TargetMode="External" /><Relationship Type="http://schemas.openxmlformats.org/officeDocument/2006/relationships/hyperlink" Id="rId47" Target="https://doi.org/10.1007/s10649-015-9607-1" TargetMode="External" /><Relationship Type="http://schemas.openxmlformats.org/officeDocument/2006/relationships/hyperlink" Id="rId58" Target="https://doi.org/10.1007/s10798-011-9189-x" TargetMode="External" /><Relationship Type="http://schemas.openxmlformats.org/officeDocument/2006/relationships/hyperlink" Id="rId56" Target="https://doi.org/10.1007/s40841-020-00163-3" TargetMode="External" /><Relationship Type="http://schemas.openxmlformats.org/officeDocument/2006/relationships/hyperlink" Id="rId35" Target="https://doi.org/10.1016/j.jcomdis.2019.105969" TargetMode="External" /><Relationship Type="http://schemas.openxmlformats.org/officeDocument/2006/relationships/hyperlink" Id="rId54" Target="https://doi.org/10.1037/h0043178" TargetMode="External" /><Relationship Type="http://schemas.openxmlformats.org/officeDocument/2006/relationships/hyperlink" Id="rId64" Target="https://doi.org/10.1037/h0070288" TargetMode="External" /><Relationship Type="http://schemas.openxmlformats.org/officeDocument/2006/relationships/hyperlink" Id="rId60" Target="https://doi.org/10.1080/0969594X.2012.665354" TargetMode="External" /><Relationship Type="http://schemas.openxmlformats.org/officeDocument/2006/relationships/hyperlink" Id="rId66" Target="https://doi.org/10.1080/0969594X.2016.1253542" TargetMode="External" /><Relationship Type="http://schemas.openxmlformats.org/officeDocument/2006/relationships/hyperlink" Id="rId43" Target="https://doi.org/10.1080/0969594X.2017.1418734" TargetMode="External" /><Relationship Type="http://schemas.openxmlformats.org/officeDocument/2006/relationships/hyperlink" Id="rId69" Target="https://doi.org/10.1080/0969594X.2019.1602027" TargetMode="External" /><Relationship Type="http://schemas.openxmlformats.org/officeDocument/2006/relationships/hyperlink" Id="rId51" Target="https://doi.org/10.1080/0969594X.2022.2147901" TargetMode="External" /><Relationship Type="http://schemas.openxmlformats.org/officeDocument/2006/relationships/hyperlink" Id="rId31" Target="https://doi.org/10.1080/10627197.2018.1444986" TargetMode="External" /><Relationship Type="http://schemas.openxmlformats.org/officeDocument/2006/relationships/hyperlink" Id="rId37" Target="https://doi.org/10.17239/jowr-2024.15.03.03" TargetMode="External" /><Relationship Type="http://schemas.openxmlformats.org/officeDocument/2006/relationships/hyperlink" Id="rId39" Target="https://doi.org/10.2307/2334029" TargetMode="External" /><Relationship Type="http://schemas.openxmlformats.org/officeDocument/2006/relationships/hyperlink" Id="rId45" Target="https://doi.org/10.3389/feduc.2021.788202" TargetMode="External" /><Relationship Type="http://schemas.openxmlformats.org/officeDocument/2006/relationships/hyperlink" Id="rId71" Target="https://filestore.aqa.org.uk/content/research/CERP_RP_CW_24102012_0.pdf?download=1" TargetMode="External" /><Relationship Type="http://schemas.openxmlformats.org/officeDocument/2006/relationships/hyperlink" Id="rId29" Target="https://jriveraespejo.github.io/paper2_manuscript/" TargetMode="External" /><Relationship Type="http://schemas.openxmlformats.org/officeDocument/2006/relationships/hyperlink" Id="rId62" Target="https://www.cambridgeassessment.org.uk/Images/109707-monitoring-and-investigating-comparability-a-proper-role-for-human-judgement.pdf" TargetMode="External" /><Relationship Type="http://schemas.openxmlformats.org/officeDocument/2006/relationships/hyperlink" Id="rId41"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2024-10-16T17:01:41Z</dcterms:created>
  <dcterms:modified xsi:type="dcterms:W3CDTF">2024-10-16T17:01:41Z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2024-10-16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