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21.png" ContentType="image/png"/>
  <Override PartName="/word/media/rId97.png" ContentType="image/png"/>
  <Override PartName="/word/media/rId101.png" ContentType="image/png"/>
  <Override PartName="/word/media/rId89.png" ContentType="image/png"/>
  <Override PartName="/word/media/rId93.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2024-08-20</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8" w:name="sec-framework"/>
    <w:p>
      <w:pPr>
        <w:pStyle w:val="Heading1"/>
      </w:pPr>
      <w:r>
        <w:t xml:space="preserve">Theoretical framework</w:t>
      </w:r>
    </w:p>
    <w:p>
      <w:pPr>
        <w:pStyle w:val="FirstParagraph"/>
      </w:pPr>
      <w:r>
        <w:t xml:space="preserve">This section introduces fundamental concepts in causal inference but does not offer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T</m:t>
        </m:r>
      </m:oMath>
      <w:r>
        <w:t xml:space="preserve">) influence students’ conceptual understanding of a topic (</w:t>
      </w:r>
      <m:oMath>
        <m:r>
          <m:t>Y</m:t>
        </m:r>
      </m:oMath>
      <w:r>
        <w:t xml:space="preserve">)?</w:t>
      </w:r>
      <w:r>
        <w:t xml:space="preserve">”</w:t>
      </w:r>
      <w:r>
        <w:t xml:space="preserve"> </w:t>
      </w:r>
      <w:r>
        <w:t xml:space="preserve">To investigate this, the study could randomly assign students to two groups, each using a different teaching method</w:t>
      </w:r>
      <w:r>
        <w:t xml:space="preserve"> </w:t>
      </w:r>
      <m:oMath>
        <m:d>
          <m:dPr>
            <m:begChr m:val="("/>
            <m:endChr m:val=")"/>
            <m:sepChr m:val=""/>
            <m:grow/>
          </m:dPr>
          <m:e>
            <m:r>
              <m:t>T</m:t>
            </m:r>
            <m:r>
              <m:rPr>
                <m:sty m:val="p"/>
              </m:rPr>
              <m:t>=</m:t>
            </m:r>
            <m:r>
              <m:rPr>
                <m:sty m:val="p"/>
              </m:rPr>
              <m:t>{</m:t>
            </m:r>
            <m:r>
              <m:t>1</m:t>
            </m:r>
            <m:r>
              <m:rPr>
                <m:sty m:val="p"/>
              </m:rPr>
              <m:t>,</m:t>
            </m:r>
            <m:r>
              <m:t>2</m:t>
            </m:r>
            <m:r>
              <m:rPr>
                <m:sty m:val="p"/>
              </m:rPr>
              <m:t>}</m:t>
            </m:r>
          </m:e>
        </m:d>
      </m:oMath>
      <w:r>
        <w:t xml:space="preserve">. Students’ conceptual understanding of the topic could be evaluated through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indicating which student among those compared has a higher level of understanding. The research question could be then framed as the estimand,</w:t>
      </w:r>
      <w:r>
        <w:t xml:space="preserve"> </w:t>
      </w:r>
      <w:r>
        <w:t xml:space="preserve">“</w:t>
      </w:r>
      <w:r>
        <w:rPr>
          <w:i/>
          <w:iCs/>
        </w:rPr>
        <w:t xml:space="preserve">On average</w:t>
      </w:r>
      <w:r>
        <w:t xml:space="preserve">, is there a difference in conceptual understanding of the topic between the two groups of students?</w:t>
      </w:r>
      <w:r>
        <w:t xml:space="preserve">”</w:t>
      </w:r>
      <w:r>
        <w:t xml:space="preserve"> </w:t>
      </w:r>
      <w:r>
        <w:t xml:space="preserve">This estimand could be mathematically expressed by the random quantity</w:t>
      </w:r>
      <w:r>
        <w:t xml:space="preserve"> </w:t>
      </w:r>
      <m:oMath>
        <m:r>
          <m:t>E</m:t>
        </m:r>
        <m:d>
          <m:dPr>
            <m:begChr m:val="["/>
            <m:endChr m:val="]"/>
            <m:sepChr m:val=""/>
            <m:grow/>
          </m:dPr>
          <m:e>
            <m:r>
              <m:t>Y</m:t>
            </m:r>
            <m:r>
              <m:rPr>
                <m:sty m:val="p"/>
              </m:rPr>
              <m:t>|</m:t>
            </m:r>
            <m:r>
              <m:t>T</m:t>
            </m:r>
            <m:r>
              <m:rPr>
                <m:sty m:val="p"/>
              </m:rPr>
              <m:t>=</m:t>
            </m:r>
            <m:r>
              <m:t>1</m:t>
            </m:r>
          </m:e>
        </m:d>
        <m:r>
          <m:rPr>
            <m:sty m:val="p"/>
          </m:rPr>
          <m:t>−</m:t>
        </m:r>
        <m:r>
          <m:t>E</m:t>
        </m:r>
        <m:d>
          <m:dPr>
            <m:begChr m:val="["/>
            <m:endChr m:val="]"/>
            <m:sepChr m:val=""/>
            <m:grow/>
          </m:dPr>
          <m:e>
            <m:r>
              <m:t>Y</m:t>
            </m:r>
            <m:r>
              <m:rPr>
                <m:sty m:val="p"/>
              </m:rPr>
              <m:t>|</m:t>
            </m:r>
            <m:r>
              <m:t>T</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transforms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refers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Z-test is an estimator known for its effectiveness in comparing groups’ proportions, yielding accurate estimates when the underlying assumptions of the statistic are met</w:t>
      </w:r>
      <w:r>
        <w:t xml:space="preserve"> </w:t>
      </w:r>
      <w:r>
        <w:t xml:space="preserve">(Kanji 2006)</w:t>
      </w:r>
      <w:r>
        <w:t xml:space="preserve">. The Z-test is expressed as a signal-to-noise ratio:</w:t>
      </w:r>
      <w:r>
        <w:t xml:space="preserve"> </w:t>
      </w:r>
      <m:oMath>
        <m:r>
          <m:t>Z</m:t>
        </m:r>
        <m:r>
          <m:rPr>
            <m:sty m:val="p"/>
          </m:rPr>
          <m:t>=</m:t>
        </m:r>
        <m:d>
          <m:dPr>
            <m:begChr m:val="("/>
            <m:endChr m:val=")"/>
            <m:sepChr m:val=""/>
            <m:grow/>
          </m:dPr>
          <m:e>
            <m:sSub>
              <m:e>
                <m:acc>
                  <m:accPr>
                    <m:chr m:val="̂"/>
                  </m:accPr>
                  <m:e>
                    <m:r>
                      <m:t>p</m:t>
                    </m:r>
                  </m:e>
                </m:acc>
              </m:e>
              <m:sub>
                <m:r>
                  <m:t>1</m:t>
                </m:r>
              </m:sub>
            </m:sSub>
            <m:r>
              <m:rPr>
                <m:sty m:val="p"/>
              </m:rPr>
              <m:t>−</m:t>
            </m:r>
            <m:sSub>
              <m:e>
                <m:acc>
                  <m:accPr>
                    <m:chr m:val="̂"/>
                  </m:accPr>
                  <m:e>
                    <m:r>
                      <m:t>p</m:t>
                    </m:r>
                  </m:e>
                </m:acc>
              </m:e>
              <m:sub>
                <m:r>
                  <m:t>2</m:t>
                </m:r>
              </m:sub>
            </m:sSub>
          </m:e>
        </m:d>
        <m:r>
          <m:rPr>
            <m:sty m:val="p"/>
          </m:rPr>
          <m:t>/</m:t>
        </m:r>
        <m:sSub>
          <m:e>
            <m:acc>
              <m:accPr>
                <m:chr m:val="̂"/>
              </m:accPr>
              <m:e>
                <m:r>
                  <m:t>s</m:t>
                </m:r>
              </m:e>
            </m:acc>
          </m:e>
          <m:sub>
            <m:r>
              <m:t>p</m:t>
            </m:r>
          </m:sub>
        </m:sSub>
      </m:oMath>
      <w:r>
        <w:t xml:space="preserve">. The signal is the difference between the group sample proportions,</w:t>
      </w:r>
      <w:r>
        <w:t xml:space="preserve"> </w:t>
      </w:r>
      <m:oMath>
        <m:sSub>
          <m:e>
            <m:acc>
              <m:accPr>
                <m:chr m:val="̂"/>
              </m:accPr>
              <m:e>
                <m:r>
                  <m:t>p</m:t>
                </m:r>
              </m:e>
            </m:acc>
          </m:e>
          <m:sub>
            <m:r>
              <m:t>1</m:t>
            </m:r>
          </m:sub>
        </m:sSub>
        <m:r>
          <m:rPr>
            <m:sty m:val="p"/>
          </m:rPr>
          <m:t>=</m:t>
        </m:r>
        <m:nary>
          <m:naryPr>
            <m:chr m:val="∑"/>
            <m:limLoc m:val="undOvr"/>
            <m:subHide m:val="off"/>
            <m:supHide m:val="off"/>
          </m:naryPr>
          <m:sub>
            <m:r>
              <m:t>i</m:t>
            </m:r>
            <m:r>
              <m:rPr>
                <m:sty m:val="p"/>
              </m:rPr>
              <m:t>=</m:t>
            </m:r>
            <m:r>
              <m:t>1</m:t>
            </m:r>
          </m:sub>
          <m:sup>
            <m:sSub>
              <m:e>
                <m:r>
                  <m:t>n</m:t>
                </m:r>
              </m:e>
              <m:sub>
                <m:r>
                  <m:t>1</m:t>
                </m:r>
              </m:sub>
            </m:sSub>
          </m:sup>
          <m:e>
            <m:sSub>
              <m:e>
                <m:r>
                  <m:t>Y</m:t>
                </m:r>
              </m:e>
              <m:sub>
                <m:r>
                  <m:t>i</m:t>
                </m:r>
              </m:sub>
            </m:sSub>
            <m:r>
              <m:rPr>
                <m:sty m:val="p"/>
              </m:rPr>
              <m:t>/</m:t>
            </m:r>
            <m:sSub>
              <m:e>
                <m:r>
                  <m:t>n</m:t>
                </m:r>
              </m:e>
              <m:sub>
                <m:r>
                  <m:t>1</m:t>
                </m:r>
              </m:sub>
            </m:sSub>
          </m:e>
        </m:nary>
      </m:oMath>
      <w:r>
        <w:t xml:space="preserve"> </w:t>
      </w:r>
      <w:r>
        <w:t xml:space="preserve">and</w:t>
      </w:r>
      <w:r>
        <w:t xml:space="preserve"> </w:t>
      </w:r>
      <m:oMath>
        <m:sSub>
          <m:e>
            <m:acc>
              <m:accPr>
                <m:chr m:val="̂"/>
              </m:accPr>
              <m:e>
                <m:r>
                  <m:t>p</m:t>
                </m:r>
              </m:e>
            </m:acc>
          </m:e>
          <m:sub>
            <m:r>
              <m:t>2</m:t>
            </m:r>
          </m:sub>
        </m:sSub>
        <m:r>
          <m:rPr>
            <m:sty m:val="p"/>
          </m:rPr>
          <m:t>=</m:t>
        </m:r>
        <m:nary>
          <m:naryPr>
            <m:chr m:val="∑"/>
            <m:limLoc m:val="undOvr"/>
            <m:subHide m:val="off"/>
            <m:supHide m:val="off"/>
          </m:naryPr>
          <m:sub>
            <m:r>
              <m:t>i</m:t>
            </m:r>
            <m:r>
              <m:rPr>
                <m:sty m:val="p"/>
              </m:rPr>
              <m:t>=</m:t>
            </m:r>
            <m:r>
              <m:t>1</m:t>
            </m:r>
          </m:sub>
          <m:sup>
            <m:sSub>
              <m:e>
                <m:r>
                  <m:t>n</m:t>
                </m:r>
              </m:e>
              <m:sub>
                <m:r>
                  <m:t>2</m:t>
                </m:r>
              </m:sub>
            </m:sSub>
          </m:sup>
          <m:e>
            <m:sSub>
              <m:e>
                <m:r>
                  <m:t>Y</m:t>
                </m:r>
              </m:e>
              <m:sub>
                <m:r>
                  <m:t>i</m:t>
                </m:r>
              </m:sub>
            </m:sSub>
            <m:r>
              <m:rPr>
                <m:sty m:val="p"/>
              </m:rPr>
              <m:t>/</m:t>
            </m:r>
            <m:sSub>
              <m:e>
                <m:r>
                  <m:t>n</m:t>
                </m:r>
              </m:e>
              <m:sub>
                <m:r>
                  <m:t>2</m:t>
                </m:r>
              </m:sub>
            </m:sSub>
          </m:e>
        </m:nary>
      </m:oMath>
      <w:r>
        <w:t xml:space="preserve">, analogous to</w:t>
      </w:r>
      <w:r>
        <w:t xml:space="preserve"> </w:t>
      </w:r>
      <m:oMath>
        <m:r>
          <m:t>E</m:t>
        </m:r>
        <m:d>
          <m:dPr>
            <m:begChr m:val="["/>
            <m:endChr m:val="]"/>
            <m:sepChr m:val=""/>
            <m:grow/>
          </m:dPr>
          <m:e>
            <m:r>
              <m:t>Y</m:t>
            </m:r>
            <m:r>
              <m:rPr>
                <m:sty m:val="p"/>
              </m:rPr>
              <m:t>|</m:t>
            </m:r>
            <m:r>
              <m:t>T</m:t>
            </m:r>
            <m:r>
              <m:rPr>
                <m:sty m:val="p"/>
              </m:rPr>
              <m:t>=</m:t>
            </m:r>
            <m:r>
              <m:t>1</m:t>
            </m:r>
          </m:e>
        </m:d>
      </m:oMath>
      <w:r>
        <w:t xml:space="preserve"> </w:t>
      </w:r>
      <w:r>
        <w:t xml:space="preserve">and</w:t>
      </w:r>
      <w:r>
        <w:t xml:space="preserve"> </w:t>
      </w:r>
      <m:oMath>
        <m:r>
          <m:t>E</m:t>
        </m:r>
        <m:d>
          <m:dPr>
            <m:begChr m:val="["/>
            <m:endChr m:val="]"/>
            <m:sepChr m:val=""/>
            <m:grow/>
          </m:dPr>
          <m:e>
            <m:r>
              <m:t>Y</m:t>
            </m:r>
            <m:r>
              <m:rPr>
                <m:sty m:val="p"/>
              </m:rPr>
              <m:t>|</m:t>
            </m:r>
            <m:r>
              <m:t>T</m:t>
            </m:r>
            <m:r>
              <m:rPr>
                <m:sty m:val="p"/>
              </m:rPr>
              <m:t>=</m:t>
            </m:r>
            <m:r>
              <m:t>2</m:t>
            </m:r>
          </m:e>
        </m:d>
      </m:oMath>
      <w:r>
        <w:t xml:space="preserve">, respectively. The noise</w:t>
      </w:r>
      <w:r>
        <w:t xml:space="preserve"> </w:t>
      </w:r>
      <m:oMath>
        <m:sSub>
          <m:e>
            <m:acc>
              <m:accPr>
                <m:chr m:val="̂"/>
              </m:accPr>
              <m:e>
                <m:r>
                  <m:t>s</m:t>
                </m:r>
              </m:e>
            </m:acc>
          </m:e>
          <m:sub>
            <m:r>
              <m:t>p</m:t>
            </m:r>
          </m:sub>
        </m:sSub>
      </m:oMath>
      <w:r>
        <w:t xml:space="preserve"> </w:t>
      </w:r>
      <w:r>
        <w:t xml:space="preserve">is the unpooled sample variability observed between the two groups.</w:t>
      </w:r>
    </w:p>
    <w:p>
      <w:pPr>
        <w:pStyle w:val="BodyText"/>
      </w:pPr>
      <w:r>
        <w:t xml:space="preserve">However, many studies aim to understand the mechanisms underlying specific data and also seek to establish causal relationships rather than merely infer associations. In the earlier example, the differences between groups obtained using the Z-test, referred to as the associational estimate, can be interpreted as causal because the data were collected through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associations</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Experiments are widely recognized as the gold standard in evidence-based science</w:t>
      </w:r>
      <w:r>
        <w:t xml:space="preserve"> </w:t>
      </w:r>
      <w:r>
        <w:t xml:space="preserve">(Hariton and Locascio 2018; Hansson 2014)</w:t>
      </w:r>
      <w:r>
        <w:t xml:space="preserve">. However, researchers often face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situations, causal inference provides a valuable alternative for generating causal estimates, particularly when the goal is to understand the mechanisms underlying specific data. Moreover, the framework provides significant theoretical insights that enhance the design of observational and experimental studies</w:t>
      </w:r>
      <w:r>
        <w:t xml:space="preserve"> </w:t>
      </w:r>
      <w:r>
        <w:t xml:space="preserve">(McElreath 2020)</w:t>
      </w:r>
      <w:r>
        <w:t xml:space="preserve">.</w:t>
      </w:r>
    </w:p>
    <w:p>
      <w:pPr>
        <w:pStyle w:val="BodyText"/>
      </w:pPr>
      <w:r>
        <w:t xml:space="preserve">Unlike classical statistical modeling, which focuses primarily on summarizing data and inferring associations,</w:t>
      </w:r>
      <w:r>
        <w:t xml:space="preserve"> </w:t>
      </w:r>
      <w:r>
        <w:rPr>
          <w:i/>
          <w:iCs/>
        </w:rPr>
        <w:t xml:space="preserve">causal inference</w:t>
      </w:r>
      <w:r>
        <w:t xml:space="preserve"> </w:t>
      </w:r>
      <w:r>
        <w:t xml:space="preserve">is a framework designed to identify causes and estimate their effects using data</w:t>
      </w:r>
      <w:r>
        <w:t xml:space="preserve"> </w:t>
      </w:r>
      <w:r>
        <w:t xml:space="preserve">(Shaughnessy, Zechmeister, and Zechmeister 2010; Neal 2020)</w:t>
      </w:r>
      <w:r>
        <w:t xml:space="preserve">. The framework employs rigorous mathematical techniques to address the</w:t>
      </w:r>
      <w:r>
        <w:t xml:space="preserve"> </w:t>
      </w:r>
      <w:r>
        <w:rPr>
          <w:i/>
          <w:iCs/>
        </w:rPr>
        <w:t xml:space="preserve">fundamental problem of causality</w:t>
      </w:r>
      <w:r>
        <w:t xml:space="preserve"> </w:t>
      </w:r>
      <w:r>
        <w:t xml:space="preserve">(Pearl 2009)</w:t>
      </w:r>
      <w:r>
        <w:t xml:space="preserve">. This problem revolves around the question,</w:t>
      </w:r>
      <w:r>
        <w:t xml:space="preserve"> </w:t>
      </w:r>
      <w:r>
        <w:t xml:space="preserve">“</w:t>
      </w:r>
      <w:r>
        <w:t xml:space="preserve">What would have happened</w:t>
      </w:r>
      <w:r>
        <w:t xml:space="preserve"> </w:t>
      </w:r>
      <w:r>
        <w:t xml:space="preserve">‘</w:t>
      </w:r>
      <w:r>
        <w:t xml:space="preserve">in the world</w:t>
      </w:r>
      <w:r>
        <w:t xml:space="preserve">’</w:t>
      </w:r>
      <w:r>
        <w:t xml:space="preserve"> </w:t>
      </w:r>
      <w:r>
        <w:t xml:space="preserve">under different circumstances?</w:t>
      </w:r>
      <w:r>
        <w:t xml:space="preserve">”</w:t>
      </w:r>
      <w:r>
        <w:t xml:space="preserve"> </w:t>
      </w:r>
      <w:r>
        <w:t xml:space="preserve">a concept known as counterfactuals, essential for understanding and defining causal effects.</w:t>
      </w:r>
      <w:r>
        <w:t xml:space="preserve"> </w:t>
      </w:r>
      <w:r>
        <w:rPr>
          <w:i/>
          <w:iCs/>
        </w:rPr>
        <w:t xml:space="preserve">Counterfactuals</w:t>
      </w:r>
      <w:r>
        <w:t xml:space="preserve"> </w:t>
      </w:r>
      <w:r>
        <w:t xml:space="preserve">represent hypothetical scenarios that are</w:t>
      </w:r>
      <w:r>
        <w:t xml:space="preserve"> </w:t>
      </w:r>
      <w:r>
        <w:rPr>
          <w:i/>
          <w:iCs/>
        </w:rPr>
        <w:t xml:space="preserve">contrary to fact</w:t>
      </w:r>
      <w:r>
        <w:t xml:space="preserve">, where alternative outcomes resulting from a specific cause are neither observed nor observable</w:t>
      </w:r>
      <w:r>
        <w:t xml:space="preserve"> </w:t>
      </w:r>
      <w:r>
        <w:t xml:space="preserve">(Neal 2020; Counterfactual 2024)</w:t>
      </w:r>
      <w:r>
        <w:t xml:space="preserve">.</w:t>
      </w:r>
    </w:p>
    <w:p>
      <w:pPr>
        <w:pStyle w:val="BodyText"/>
      </w:pPr>
      <w:r>
        <w:t xml:space="preserve">Although a comprehensive discussion of causes and counterfactuals exceeds the scope of this document, a brief overview of how the framework addresses the fundamental problem of causality can be provided. The framework begins by defining</w:t>
      </w:r>
      <w:r>
        <w:t xml:space="preserve"> </w:t>
      </w:r>
      <w:r>
        <w:rPr>
          <w:i/>
          <w:iCs/>
        </w:rPr>
        <w:t xml:space="preserve">individual causal effects</w:t>
      </w:r>
      <w:r>
        <w:t xml:space="preserve"> </w:t>
      </w:r>
      <w:r>
        <w:t xml:space="preserve">(ICE) as the difference between students’ observed and unobserved potential outcomes:</w:t>
      </w:r>
      <w:r>
        <w:t xml:space="preserve"> </w:t>
      </w:r>
      <m:oMath>
        <m:sSub>
          <m:e>
            <m:r>
              <m:t>τ</m:t>
            </m:r>
          </m:e>
          <m:sub>
            <m:r>
              <m:t>i</m:t>
            </m:r>
          </m:sub>
        </m:sSub>
        <m:r>
          <m:rPr>
            <m:sty m:val="p"/>
          </m:rPr>
          <m:t>=</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Notice when a student is assigned to</w:t>
      </w:r>
      <w:r>
        <w:t xml:space="preserve"> </w:t>
      </w:r>
      <m:oMath>
        <m:sSub>
          <m:e>
            <m:r>
              <m:t>T</m:t>
            </m:r>
          </m:e>
          <m:sub>
            <m:r>
              <m:t>i</m:t>
            </m:r>
          </m:sub>
        </m:sSub>
        <m:r>
          <m:rPr>
            <m:sty m:val="p"/>
          </m:rPr>
          <m:t>=</m:t>
        </m:r>
        <m:r>
          <m:t>1</m:t>
        </m:r>
      </m:oMath>
      <w:r>
        <w:t xml:space="preserve">, the potential outcome under</w:t>
      </w:r>
      <w:r>
        <w:t xml:space="preserve"> </w:t>
      </w:r>
      <m:oMath>
        <m:sSub>
          <m:e>
            <m:r>
              <m:t>T</m:t>
            </m:r>
          </m:e>
          <m:sub>
            <m:r>
              <m:t>i</m:t>
            </m:r>
          </m:sub>
        </m:sSub>
        <m:r>
          <m:rPr>
            <m:sty m:val="p"/>
          </m:rPr>
          <m:t>=</m:t>
        </m:r>
        <m:r>
          <m:t>2</m:t>
        </m:r>
      </m:oMath>
      <w:r>
        <w:t xml:space="preserve"> </w:t>
      </w:r>
      <w:r>
        <w:t xml:space="preserve">is no longer observed nor observable, and thus termed a</w:t>
      </w:r>
      <w:r>
        <w:t xml:space="preserve"> </w:t>
      </w:r>
      <w:r>
        <w:rPr>
          <w:i/>
          <w:iCs/>
        </w:rPr>
        <w:t xml:space="preserve">counterfactual</w:t>
      </w:r>
      <w:r>
        <w:t xml:space="preserve">. To overcome the challenge posed by counterfactuals, the framework extends the ICE to</w:t>
      </w:r>
      <w:r>
        <w:t xml:space="preserve"> </w:t>
      </w:r>
      <w:r>
        <w:rPr>
          <w:i/>
          <w:iCs/>
        </w:rPr>
        <w:t xml:space="preserve">average causal effects</w:t>
      </w:r>
      <w:r>
        <w:t xml:space="preserve"> </w:t>
      </w:r>
      <w:r>
        <w:t xml:space="preserve">(ACE). The ACE is defined as</w:t>
      </w:r>
      <w:r>
        <w:t xml:space="preserve"> </w:t>
      </w:r>
      <m:oMath>
        <m:r>
          <m:t>τ</m:t>
        </m:r>
        <m:r>
          <m:rPr>
            <m:sty m:val="p"/>
          </m:rPr>
          <m:t>=</m:t>
        </m:r>
        <m:r>
          <m:t>E</m:t>
        </m:r>
        <m:d>
          <m:dPr>
            <m:begChr m:val="["/>
            <m:endChr m:val="]"/>
            <m:sepChr m:val=""/>
            <m:grow/>
          </m:dPr>
          <m:e>
            <m:sSub>
              <m:e>
                <m:r>
                  <m:t>τ</m:t>
                </m:r>
              </m:e>
              <m:sub>
                <m:r>
                  <m:t>i</m:t>
                </m:r>
              </m:sub>
            </m:sSub>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1</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e>
        </m:d>
      </m:oMath>
      <w:r>
        <w:t xml:space="preserve">, representing the difference between the average of observed potential outcomes and counterfactuals across the sample. Finally, similar to experimental studies, the counterfactuals are identified from associational estimates by ensuring the absence of confounding. This is accomplished by statistically conditioning on a</w:t>
      </w:r>
      <w:r>
        <w:t xml:space="preserve"> </w:t>
      </w:r>
      <w:r>
        <w:rPr>
          <w:i/>
          <w:iCs/>
        </w:rPr>
        <w:t xml:space="preserve">sufficient adjustment set</w:t>
      </w:r>
      <w:r>
        <w:t xml:space="preserve"> </w:t>
      </w:r>
      <w:r>
        <w:t xml:space="preserve">of variables (</w:t>
      </w:r>
      <m:oMath>
        <m:r>
          <m:t>X</m:t>
        </m:r>
      </m:oMath>
      <w:r>
        <w:t xml:space="preserve">). As a result, the ACE is expressed as</w:t>
      </w:r>
      <w:r>
        <w:t xml:space="preserve"> </w:t>
      </w:r>
      <m:oMath>
        <m:r>
          <m:t>τ</m:t>
        </m:r>
        <m:r>
          <m:rPr>
            <m:sty m:val="p"/>
          </m:rPr>
          <m:t>=</m:t>
        </m:r>
        <m:sSub>
          <m:e>
            <m:r>
              <m:t>E</m:t>
            </m:r>
          </m:e>
          <m:sub>
            <m:r>
              <m:t>X</m:t>
            </m:r>
          </m:sub>
        </m:sSub>
        <m:d>
          <m:dPr>
            <m:begChr m:val="["/>
            <m:endChr m:val="]"/>
            <m:sepChr m:val=""/>
            <m:grow/>
          </m:dPr>
          <m:e>
            <m:r>
              <m:t>E</m:t>
            </m:r>
            <m:d>
              <m:dPr>
                <m:begChr m:val="["/>
                <m:endChr m:val="]"/>
                <m:sepChr m:val=""/>
                <m:grow/>
              </m:dPr>
              <m:e>
                <m:sSub>
                  <m:e>
                    <m:r>
                      <m:t>Y</m:t>
                    </m:r>
                  </m:e>
                  <m:sub>
                    <m:r>
                      <m:t>i</m:t>
                    </m:r>
                  </m:sub>
                </m:sSub>
                <m:r>
                  <m:rPr>
                    <m:sty m:val="p"/>
                  </m:rPr>
                  <m:t>|</m:t>
                </m:r>
                <m:sSub>
                  <m:e>
                    <m:r>
                      <m:t>T</m:t>
                    </m:r>
                  </m:e>
                  <m:sub>
                    <m:r>
                      <m:t>i</m:t>
                    </m:r>
                  </m:sub>
                </m:sSub>
                <m:r>
                  <m:rPr>
                    <m:sty m:val="p"/>
                  </m:rPr>
                  <m:t>=</m:t>
                </m:r>
                <m:r>
                  <m:t>1</m:t>
                </m:r>
                <m:r>
                  <m:rPr>
                    <m:sty m:val="p"/>
                  </m:rPr>
                  <m:t>,</m:t>
                </m:r>
                <m:r>
                  <m:t>X</m:t>
                </m:r>
              </m:e>
            </m:d>
            <m:r>
              <m:rPr>
                <m:sty m:val="p"/>
              </m:rPr>
              <m:t>−</m:t>
            </m:r>
            <m:r>
              <m:t>E</m:t>
            </m:r>
            <m:d>
              <m:dPr>
                <m:begChr m:val="["/>
                <m:endChr m:val="]"/>
                <m:sepChr m:val=""/>
                <m:grow/>
              </m:dPr>
              <m:e>
                <m:sSub>
                  <m:e>
                    <m:r>
                      <m:t>Y</m:t>
                    </m:r>
                  </m:e>
                  <m:sub>
                    <m:r>
                      <m:t>i</m:t>
                    </m:r>
                  </m:sub>
                </m:sSub>
                <m:r>
                  <m:rPr>
                    <m:sty m:val="p"/>
                  </m:rPr>
                  <m:t>|</m:t>
                </m:r>
                <m:sSub>
                  <m:e>
                    <m:r>
                      <m:t>T</m:t>
                    </m:r>
                  </m:e>
                  <m:sub>
                    <m:r>
                      <m:t>i</m:t>
                    </m:r>
                  </m:sub>
                </m:sSub>
                <m:r>
                  <m:rPr>
                    <m:sty m:val="p"/>
                  </m:rPr>
                  <m:t>=</m:t>
                </m:r>
                <m:r>
                  <m:t>2</m:t>
                </m:r>
                <m:r>
                  <m:rPr>
                    <m:sty m:val="p"/>
                  </m:rPr>
                  <m:t>,</m:t>
                </m:r>
                <m:r>
                  <m:t>X</m:t>
                </m:r>
              </m:e>
            </m:d>
          </m:e>
        </m:d>
      </m:oMath>
      <w:r>
        <w:t xml:space="preserve">, where</w:t>
      </w:r>
      <w:r>
        <w:t xml:space="preserve"> </w:t>
      </w:r>
      <m:oMath>
        <m:sSub>
          <m:e>
            <m:r>
              <m:t>E</m:t>
            </m:r>
          </m:e>
          <m:sub>
            <m:r>
              <m:t>X</m:t>
            </m:r>
          </m:sub>
        </m:sSub>
        <m:d>
          <m:dPr>
            <m:begChr m:val="["/>
            <m:endChr m:val="]"/>
            <m:sepChr m:val=""/>
            <m:grow/>
          </m:dPr>
          <m:e>
            <m:r>
              <m:rPr>
                <m:sty m:val="p"/>
              </m:rPr>
              <m:t>⋅</m:t>
            </m:r>
          </m:e>
        </m:d>
      </m:oMath>
      <w:r>
        <w:t xml:space="preserve"> </w:t>
      </w:r>
      <w:r>
        <w:t xml:space="preserve">denotes the marginal expected value over</w:t>
      </w:r>
      <w:r>
        <w:t xml:space="preserve"> </w:t>
      </w:r>
      <m:oMath>
        <m:r>
          <m:t>X</m:t>
        </m:r>
      </m:oMath>
      <w:r>
        <w:t xml:space="preserve"> </w:t>
      </w:r>
      <w:r>
        <w:t xml:space="preserve">(Morgan and Winship 2014)</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the ACE,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The structural approach, however, offers a notable advantage over the potential outcomes approach by allowing the graphical and formal representation of a system through directed acyclic graphs</w:t>
      </w:r>
      <w:r>
        <w:t xml:space="preserve"> </w:t>
      </w:r>
      <w:r>
        <w:t xml:space="preserve">(DAG, Pearl 2009; Pearl, Glymour, and Jewell 2016; Gross, Yellen, and Anderson 2018; Neal 2020)</w:t>
      </w:r>
      <w:r>
        <w:t xml:space="preserve">. DAGs function as heuristics, effectively conveying the presumed causal structure of the system underlying the ACE, referred to as a</w:t>
      </w:r>
      <w:r>
        <w:t xml:space="preserve"> </w:t>
      </w:r>
      <w:r>
        <w:rPr>
          <w:i/>
          <w:iCs/>
        </w:rPr>
        <w:t xml:space="preserve">scientific model</w:t>
      </w:r>
      <w:r>
        <w:t xml:space="preserve">. They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the process of transitioning from estimands to estimates, as well as the application of the scientific model and data to identify and estimate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8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individual building blocks</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The motivating example in</w:t>
      </w:r>
      <w:r>
        <w:t xml:space="preserve"> </w:t>
      </w:r>
      <w:hyperlink w:anchor="sec-framework-structural">
        <w:r>
          <w:rPr>
            <w:rStyle w:val="Hyperlink"/>
          </w:rPr>
          <w:t xml:space="preserve">Section 2.1</w:t>
        </w:r>
      </w:hyperlink>
      <w:r>
        <w:t xml:space="preserve"> </w:t>
      </w:r>
      <w:r>
        <w:t xml:space="preserve">can be used to further illustrate how the five fundamental building blocks help construct a system’s causal structure. In this scenario, an experiment cannot be conducted but the investigator still aims to determine whether,</w:t>
      </w:r>
      <w:r>
        <w:t xml:space="preserve"> </w:t>
      </w:r>
      <w:r>
        <w:rPr>
          <w:i/>
          <w:iCs/>
        </w:rPr>
        <w:t xml:space="preserve">on average</w:t>
      </w:r>
      <w:r>
        <w:t xml:space="preserve">, there is a difference in conceptual understanding of a topic</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w:t>
      </w:r>
      <w:r>
        <w:t xml:space="preserve">between two groups of students</w:t>
      </w:r>
      <w:r>
        <w:t xml:space="preserve"> </w:t>
      </w:r>
      <m:oMath>
        <m:d>
          <m:dPr>
            <m:begChr m:val="("/>
            <m:endChr m:val=")"/>
            <m:sepChr m:val=""/>
            <m:grow/>
          </m:dPr>
          <m:e>
            <m:r>
              <m:t>T</m:t>
            </m:r>
            <m:r>
              <m:rPr>
                <m:sty m:val="p"/>
              </m:rPr>
              <m:t>=</m:t>
            </m:r>
            <m:r>
              <m:rPr>
                <m:sty m:val="p"/>
              </m:rPr>
              <m:t>{</m:t>
            </m:r>
            <m:r>
              <m:t>1</m:t>
            </m:r>
            <m:r>
              <m:rPr>
                <m:sty m:val="p"/>
              </m:rPr>
              <m:t>,</m:t>
            </m:r>
            <m:r>
              <m:t>2</m:t>
            </m:r>
            <m:r>
              <m:rPr>
                <m:sty m:val="p"/>
              </m:rPr>
              <m:t>}</m:t>
            </m:r>
          </m:e>
        </m:d>
      </m:oMath>
      <w:r>
        <w:t xml:space="preserve">, described by the estimand</w:t>
      </w:r>
      <w:r>
        <w:t xml:space="preserve"> </w:t>
      </w:r>
      <m:oMath>
        <m:r>
          <m:t>E</m:t>
        </m:r>
        <m:d>
          <m:dPr>
            <m:begChr m:val="["/>
            <m:endChr m:val="]"/>
            <m:sepChr m:val=""/>
            <m:grow/>
          </m:dPr>
          <m:e>
            <m:r>
              <m:t>Y</m:t>
            </m:r>
            <m:r>
              <m:rPr>
                <m:sty m:val="p"/>
              </m:rPr>
              <m:t>|</m:t>
            </m:r>
            <m:r>
              <m:t>T</m:t>
            </m:r>
            <m:r>
              <m:rPr>
                <m:sty m:val="p"/>
              </m:rPr>
              <m:t>=</m:t>
            </m:r>
            <m:r>
              <m:t>1</m:t>
            </m:r>
          </m:e>
        </m:d>
        <m:r>
          <m:rPr>
            <m:sty m:val="p"/>
          </m:rPr>
          <m:t>−</m:t>
        </m:r>
        <m:r>
          <m:t>E</m:t>
        </m:r>
        <m:d>
          <m:dPr>
            <m:begChr m:val="["/>
            <m:endChr m:val="]"/>
            <m:sepChr m:val=""/>
            <m:grow/>
          </m:dPr>
          <m:e>
            <m:r>
              <m:t>Y</m:t>
            </m:r>
            <m:r>
              <m:rPr>
                <m:sty m:val="p"/>
              </m:rPr>
              <m:t>|</m:t>
            </m:r>
            <m:r>
              <m:t>T</m:t>
            </m:r>
            <m:r>
              <m:rPr>
                <m:sty m:val="p"/>
              </m:rPr>
              <m:t>=</m:t>
            </m:r>
            <m:r>
              <m:t>2</m:t>
            </m:r>
          </m:e>
        </m:d>
      </m:oMath>
      <w:r>
        <w:t xml:space="preserve">. The problem further suggests that the country to which a student belongs (</w:t>
      </w:r>
      <m:oMath>
        <m:r>
          <m:t>X</m:t>
        </m:r>
      </m:oMath>
      <w:r>
        <w:t xml:space="preserve">) may influence both</w:t>
      </w:r>
      <w:r>
        <w:t xml:space="preserve"> </w:t>
      </w:r>
      <m:oMath>
        <m:r>
          <m:t>T</m:t>
        </m:r>
      </m:oMath>
      <w:r>
        <w:t xml:space="preserve"> </w:t>
      </w:r>
      <w:r>
        <w:t xml:space="preserve">and</w:t>
      </w:r>
      <w:r>
        <w:t xml:space="preserve"> </w:t>
      </w:r>
      <m:oMath>
        <m:r>
          <m:t>Y</m:t>
        </m:r>
      </m:oMath>
      <w:r>
        <w:t xml:space="preserve">. Such scenarios are plausible, especially when the teaching methods depend on software or access to technology, which may be limited in certain countries</w:t>
      </w:r>
      <w:r>
        <w:t xml:space="preserve"> </w:t>
      </w:r>
      <w:r>
        <w:t xml:space="preserve">(maybe an example with more impact?)</w:t>
      </w:r>
      <w:r>
        <w:t xml:space="preserve">.</w:t>
      </w:r>
      <w:r>
        <w:t xml:space="preserve"> </w:t>
      </w:r>
      <w:hyperlink w:anchor="fig-example">
        <w:r>
          <w:rPr>
            <w:rStyle w:val="Hyperlink"/>
          </w:rPr>
          <w:t xml:space="preserve">Figure 3</w:t>
        </w:r>
      </w:hyperlink>
      <w:r>
        <w:t xml:space="preserve"> </w:t>
      </w:r>
      <w:r>
        <w:t xml:space="preserve">illustrates the plausible causal structure of this motivating example. A detailed examination of Figures</w:t>
      </w:r>
      <w:r>
        <w:t xml:space="preserve"> </w:t>
      </w:r>
      <w:hyperlink w:anchor="fig-mdag_example1">
        <w:r>
          <w:rPr>
            <w:rStyle w:val="Hyperlink"/>
          </w:rPr>
          <w:t xml:space="preserve">3 (a)</w:t>
        </w:r>
      </w:hyperlink>
      <w:r>
        <w:t xml:space="preserve">,</w:t>
      </w:r>
      <w:r>
        <w:t xml:space="preserve"> </w:t>
      </w:r>
      <w:hyperlink w:anchor="fig-sdag_example1">
        <w:r>
          <w:rPr>
            <w:rStyle w:val="Hyperlink"/>
          </w:rPr>
          <w:t xml:space="preserve">3 (b)</w:t>
        </w:r>
      </w:hyperlink>
      <w:r>
        <w:t xml:space="preserve">, and SCM</w:t>
      </w:r>
      <w:r>
        <w:t xml:space="preserve"> </w:t>
      </w:r>
      <w:hyperlink w:anchor="fig-scm_example1">
        <w:r>
          <w:rPr>
            <w:rStyle w:val="Hyperlink"/>
          </w:rPr>
          <w:t xml:space="preserve">3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the fork</w:t>
      </w:r>
      <w:r>
        <w:t xml:space="preserve"> </w:t>
      </w:r>
      <m:oMath>
        <m:r>
          <m:t>X</m:t>
        </m:r>
        <m:r>
          <m:rPr>
            <m:sty m:val="p"/>
          </m:rPr>
          <m:t>→</m:t>
        </m:r>
        <m:r>
          <m:rPr>
            <m:sty m:val="p"/>
          </m:rPr>
          <m:t>{</m:t>
        </m:r>
        <m:r>
          <m:t>T</m:t>
        </m:r>
        <m:r>
          <m:rPr>
            <m:sty m:val="p"/>
          </m:rPr>
          <m:t>,</m:t>
        </m:r>
        <m:r>
          <m:t>Y</m:t>
        </m:r>
        <m:r>
          <m:rPr>
            <m:sty m:val="p"/>
          </m:rPr>
          <m:t>}</m:t>
        </m:r>
      </m:oMath>
      <w:r>
        <w:t xml:space="preserve">, and two colliders with</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81"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5" w:name="fig-mdag_example1"/>
                <w:p>
                  <w:pPr>
                    <w:pStyle w:val="Compact"/>
                    <w:jc w:val="center"/>
                    <w:jc w:val="left"/>
                  </w:pPr>
                  <w:r>
                    <w:drawing>
                      <wp:inline>
                        <wp:extent cx="1975104" cy="602134"/>
                        <wp:effectExtent b="0" l="0" r="0" t="0"/>
                        <wp:docPr descr="" title="" id="73" name="Picture"/>
                        <a:graphic>
                          <a:graphicData uri="http://schemas.openxmlformats.org/drawingml/2006/picture">
                            <pic:pic>
                              <pic:nvPicPr>
                                <pic:cNvPr descr="images/figures/mdag_example1.png" id="74" name="Picture"/>
                                <pic:cNvPicPr>
                                  <a:picLocks noChangeArrowheads="1" noChangeAspect="1"/>
                                </pic:cNvPicPr>
                              </pic:nvPicPr>
                              <pic:blipFill>
                                <a:blip r:embed="rId72"/>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9" w:name="fig-sdag_example1"/>
                <w:p>
                  <w:pPr>
                    <w:pStyle w:val="Compact"/>
                    <w:jc w:val="center"/>
                    <w:jc w:val="left"/>
                  </w:pPr>
                  <w:r>
                    <w:drawing>
                      <wp:inline>
                        <wp:extent cx="1975104" cy="1075643"/>
                        <wp:effectExtent b="0" l="0" r="0" t="0"/>
                        <wp:docPr descr="" title="" id="77" name="Picture"/>
                        <a:graphic>
                          <a:graphicData uri="http://schemas.openxmlformats.org/drawingml/2006/picture">
                            <pic:pic>
                              <pic:nvPicPr>
                                <pic:cNvPr descr="images/figures/sdag_example1.png" id="78" name="Picture"/>
                                <pic:cNvPicPr>
                                  <a:picLocks noChangeArrowheads="1" noChangeAspect="1"/>
                                </pic:cNvPicPr>
                              </pic:nvPicPr>
                              <pic:blipFill>
                                <a:blip r:embed="rId76"/>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80"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80"/>
              </w:tc>
            </w:tr>
          </w:tbl>
          <w:p/>
        </w:tc>
      </w:tr>
    </w:tbl>
    <w:p>
      <w:pPr>
        <w:pStyle w:val="BodyText"/>
      </w:pPr>
      <w:pPr>
        <w:spacing w:before="200"/>
        <w:pStyle w:val="ImageCaption"/>
      </w:pPr>
      <w:r>
        <w:t xml:space="preserve">Figure 3: DAGs for a plausible causal structure in a system.</w:t>
      </w:r>
    </w:p>
    <w:bookmarkEnd w:id="81"/>
    <w:bookmarkEnd w:id="82"/>
    <w:bookmarkStart w:id="8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6" w:name="fig-ACflow"/>
          <w:p>
            <w:pPr>
              <w:pStyle w:val="Compact"/>
              <w:jc w:val="center"/>
            </w:pPr>
            <w:r>
              <w:drawing>
                <wp:inline>
                  <wp:extent cx="3416968" cy="485846"/>
                  <wp:effectExtent b="0" l="0" r="0" t="0"/>
                  <wp:docPr descr="" title="" id="84" name="Picture"/>
                  <a:graphic>
                    <a:graphicData uri="http://schemas.openxmlformats.org/drawingml/2006/picture">
                      <pic:pic>
                        <pic:nvPicPr>
                          <pic:cNvPr descr="images/figures/ACflow.png" id="85" name="Picture"/>
                          <pic:cNvPicPr>
                            <a:picLocks noChangeArrowheads="1" noChangeAspect="1"/>
                          </pic:cNvPicPr>
                        </pic:nvPicPr>
                        <pic:blipFill>
                          <a:blip r:embed="rId8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flow of association and causation in graphs. Extracted and slightly modified from</w:t>
            </w:r>
            <w:r>
              <w:t xml:space="preserve"> </w:t>
            </w:r>
            <w:r>
              <w:t xml:space="preserve">Neal (2020, 31)</w:t>
            </w:r>
          </w:p>
          <w:bookmarkEnd w:id="86"/>
        </w:tc>
      </w:tr>
    </w:tbl>
    <w:bookmarkEnd w:id="87"/>
    <w:bookmarkEnd w:id="88"/>
    <w:bookmarkStart w:id="109" w:name="sec-theory"/>
    <w:p>
      <w:pPr>
        <w:pStyle w:val="Heading1"/>
      </w:pPr>
      <w:r>
        <w:t xml:space="preserve">Theory</w:t>
      </w:r>
    </w:p>
    <w:bookmarkStart w:id="105"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2" w:name="fig-SciModel_simp1"/>
          <w:p>
            <w:pPr>
              <w:pStyle w:val="Compact"/>
              <w:jc w:val="center"/>
            </w:pPr>
            <w:r>
              <w:drawing>
                <wp:inline>
                  <wp:extent cx="3304673" cy="1748589"/>
                  <wp:effectExtent b="0" l="0" r="0" t="0"/>
                  <wp:docPr descr="" title="" id="90" name="Picture"/>
                  <a:graphic>
                    <a:graphicData uri="http://schemas.openxmlformats.org/drawingml/2006/picture">
                      <pic:pic>
                        <pic:nvPicPr>
                          <pic:cNvPr descr="images/figures/SciModel_simp1.png" id="91" name="Picture"/>
                          <pic:cNvPicPr>
                            <a:picLocks noChangeArrowheads="1" noChangeAspect="1"/>
                          </pic:cNvPicPr>
                        </pic:nvPicPr>
                        <pic:blipFill>
                          <a:blip r:embed="rId89"/>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6" w:name="fig-SciModel_simp2"/>
          <w:p>
            <w:pPr>
              <w:pStyle w:val="Compact"/>
              <w:jc w:val="center"/>
            </w:pPr>
            <w:r>
              <w:drawing>
                <wp:inline>
                  <wp:extent cx="3082375" cy="1732547"/>
                  <wp:effectExtent b="0" l="0" r="0" t="0"/>
                  <wp:docPr descr="" title="" id="94" name="Picture"/>
                  <a:graphic>
                    <a:graphicData uri="http://schemas.openxmlformats.org/drawingml/2006/picture">
                      <pic:pic>
                        <pic:nvPicPr>
                          <pic:cNvPr descr="images/figures/SciModel_simp2.png" id="95" name="Picture"/>
                          <pic:cNvPicPr>
                            <a:picLocks noChangeArrowheads="1" noChangeAspect="1"/>
                          </pic:cNvPicPr>
                        </pic:nvPicPr>
                        <pic:blipFill>
                          <a:blip r:embed="rId93"/>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0" w:name="fig-SciModel_pop"/>
          <w:p>
            <w:pPr>
              <w:pStyle w:val="Compact"/>
              <w:jc w:val="center"/>
            </w:pPr>
            <w:r>
              <w:drawing>
                <wp:inline>
                  <wp:extent cx="3174045" cy="2252769"/>
                  <wp:effectExtent b="0" l="0" r="0" t="0"/>
                  <wp:docPr descr="" title="" id="98" name="Picture"/>
                  <a:graphic>
                    <a:graphicData uri="http://schemas.openxmlformats.org/drawingml/2006/picture">
                      <pic:pic>
                        <pic:nvPicPr>
                          <pic:cNvPr descr="images/figures/SciModel_pop.png" id="99" name="Picture"/>
                          <pic:cNvPicPr>
                            <a:picLocks noChangeArrowheads="1" noChangeAspect="1"/>
                          </pic:cNvPicPr>
                        </pic:nvPicPr>
                        <pic:blipFill>
                          <a:blip r:embed="rId97"/>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0"/>
        </w:tc>
      </w:tr>
    </w:tbl>
    <w:p/>
    <w:tbl>
      <w:tblPr>
        <w:tblStyle w:val="Table"/>
        <w:tblW w:type="pct" w:w="5000"/>
        <w:tblLayout w:type="fixed"/>
        <w:tblLook w:firstRow="0" w:lastRow="0" w:firstColumn="0" w:lastColumn="0" w:noHBand="0" w:noVBand="0" w:val="0000"/>
      </w:tblPr>
      <w:tblGrid>
        <w:gridCol w:w="7920"/>
      </w:tblGrid>
      <w:tr>
        <w:tc>
          <w:tcPr/>
          <w:bookmarkStart w:id="104" w:name="fig-SciModel_samp"/>
          <w:p>
            <w:pPr>
              <w:pStyle w:val="Compact"/>
              <w:jc w:val="center"/>
            </w:pPr>
            <w:r>
              <w:drawing>
                <wp:inline>
                  <wp:extent cx="3671350" cy="2245894"/>
                  <wp:effectExtent b="0" l="0" r="0" t="0"/>
                  <wp:docPr descr="" title="" id="102" name="Picture"/>
                  <a:graphic>
                    <a:graphicData uri="http://schemas.openxmlformats.org/drawingml/2006/picture">
                      <pic:pic>
                        <pic:nvPicPr>
                          <pic:cNvPr descr="images/figures/SciModel_samp.png" id="103" name="Picture"/>
                          <pic:cNvPicPr>
                            <a:picLocks noChangeArrowheads="1" noChangeAspect="1"/>
                          </pic:cNvPicPr>
                        </pic:nvPicPr>
                        <pic:blipFill>
                          <a:blip r:embed="rId101"/>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4"/>
        </w:tc>
      </w:tr>
    </w:tbl>
    <w:bookmarkEnd w:id="105"/>
    <w:bookmarkStart w:id="106" w:name="sec-theory-probability"/>
    <w:p>
      <w:pPr>
        <w:pStyle w:val="Heading2"/>
      </w:pPr>
      <w:r>
        <w:t xml:space="preserve">Probabilitics assumptions of the scientific model</w:t>
      </w:r>
    </w:p>
    <w:bookmarkEnd w:id="106"/>
    <w:bookmarkStart w:id="107" w:name="sec-theory-statistics"/>
    <w:p>
      <w:pPr>
        <w:pStyle w:val="Heading2"/>
      </w:pPr>
      <w:r>
        <w:t xml:space="preserve">From the scientific to statistical model</w:t>
      </w:r>
    </w:p>
    <w:bookmarkEnd w:id="107"/>
    <w:bookmarkStart w:id="108" w:name="sec-theory-thurstone"/>
    <w:p>
      <w:pPr>
        <w:pStyle w:val="Heading2"/>
      </w:pPr>
      <w:r>
        <w:t xml:space="preserve">Let’s talk about Thurstone</w:t>
      </w:r>
    </w:p>
    <w:bookmarkEnd w:id="108"/>
    <w:bookmarkEnd w:id="109"/>
    <w:bookmarkStart w:id="112" w:name="sec-discuss"/>
    <w:p>
      <w:pPr>
        <w:pStyle w:val="Heading1"/>
      </w:pPr>
      <w:r>
        <w:t xml:space="preserve">Discussion</w:t>
      </w:r>
    </w:p>
    <w:bookmarkStart w:id="110" w:name="sec-discuss-finding"/>
    <w:p>
      <w:pPr>
        <w:pStyle w:val="Heading2"/>
      </w:pPr>
      <w:r>
        <w:t xml:space="preserve">Findings</w:t>
      </w:r>
    </w:p>
    <w:bookmarkEnd w:id="110"/>
    <w:bookmarkStart w:id="111" w:name="sec-discuss-limitations"/>
    <w:p>
      <w:pPr>
        <w:pStyle w:val="Heading2"/>
      </w:pPr>
      <w:r>
        <w:t xml:space="preserve">Limitations and further research</w:t>
      </w:r>
    </w:p>
    <w:bookmarkEnd w:id="111"/>
    <w:bookmarkEnd w:id="112"/>
    <w:bookmarkStart w:id="113" w:name="sec-conclusion"/>
    <w:p>
      <w:pPr>
        <w:pStyle w:val="Heading1"/>
      </w:pPr>
      <w:r>
        <w:t xml:space="preserve">Conclusion</w:t>
      </w:r>
    </w:p>
    <w:p>
      <w:r>
        <w:br w:type="page"/>
      </w:r>
    </w:p>
    <w:bookmarkEnd w:id="113"/>
    <w:bookmarkStart w:id="115"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4">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5"/>
    <w:bookmarkStart w:id="205" w:name="sec-appendix"/>
    <w:p>
      <w:pPr>
        <w:pStyle w:val="Heading1"/>
      </w:pPr>
      <w:r>
        <w:t xml:space="preserve">Appendix</w:t>
      </w:r>
    </w:p>
    <w:bookmarkStart w:id="116" w:name="sec-appA"/>
    <w:p>
      <w:pPr>
        <w:pStyle w:val="Heading2"/>
      </w:pPr>
      <w:r>
        <w:t xml:space="preserve">Why do we need to estimate judges’ abilities?</w:t>
      </w:r>
    </w:p>
    <w:bookmarkEnd w:id="116"/>
    <w:bookmarkStart w:id="117" w:name="sec-appB"/>
    <w:p>
      <w:pPr>
        <w:pStyle w:val="Heading2"/>
      </w:pPr>
      <w:r>
        <w:t xml:space="preserve">Latent variables as a mean of imputation</w:t>
      </w:r>
    </w:p>
    <w:bookmarkEnd w:id="117"/>
    <w:bookmarkStart w:id="118" w:name="sec-appC"/>
    <w:p>
      <w:pPr>
        <w:pStyle w:val="Heading2"/>
      </w:pPr>
      <w:r>
        <w:t xml:space="preserve">Other comparative scenarios</w:t>
      </w:r>
    </w:p>
    <w:p>
      <w:r>
        <w:br w:type="page"/>
      </w:r>
    </w:p>
    <w:bookmarkEnd w:id="118"/>
    <w:bookmarkStart w:id="204" w:name="references"/>
    <w:p>
      <w:pPr>
        <w:pStyle w:val="Heading2"/>
      </w:pPr>
      <w:r>
        <w:t xml:space="preserve">References</w:t>
      </w:r>
    </w:p>
    <w:bookmarkStart w:id="203" w:name="refs"/>
    <w:bookmarkStart w:id="120"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9">
        <w:r>
          <w:rPr>
            <w:rStyle w:val="Hyperlink"/>
          </w:rPr>
          <w:t xml:space="preserve">https://doi.org/10.2307/2347562</w:t>
        </w:r>
      </w:hyperlink>
      <w:r>
        <w:t xml:space="preserve">.</w:t>
      </w:r>
    </w:p>
    <w:bookmarkEnd w:id="120"/>
    <w:bookmarkStart w:id="12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1">
        <w:r>
          <w:rPr>
            <w:rStyle w:val="Hyperlink"/>
          </w:rPr>
          <w:t xml:space="preserve">https://doi.org/10.1080/10627197.2018.1444986</w:t>
        </w:r>
      </w:hyperlink>
      <w:r>
        <w:t xml:space="preserve">.</w:t>
      </w:r>
    </w:p>
    <w:bookmarkEnd w:id="122"/>
    <w:bookmarkStart w:id="12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3">
        <w:r>
          <w:rPr>
            <w:rStyle w:val="Hyperlink"/>
          </w:rPr>
          <w:t xml:space="preserve">https://doi.org/10.1007/978-3-030-52229-2_18</w:t>
        </w:r>
      </w:hyperlink>
      <w:r>
        <w:t xml:space="preserve">.</w:t>
      </w:r>
    </w:p>
    <w:bookmarkEnd w:id="124"/>
    <w:bookmarkStart w:id="12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5">
        <w:r>
          <w:rPr>
            <w:rStyle w:val="Hyperlink"/>
          </w:rPr>
          <w:t xml:space="preserve">https://doi.org/10.1016/j.jcomdis.2019.105969</w:t>
        </w:r>
      </w:hyperlink>
      <w:r>
        <w:t xml:space="preserve">.</w:t>
      </w:r>
    </w:p>
    <w:bookmarkEnd w:id="126"/>
    <w:bookmarkStart w:id="12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7">
        <w:r>
          <w:rPr>
            <w:rStyle w:val="Hyperlink"/>
          </w:rPr>
          <w:t xml:space="preserve">https://doi.org/10.17239/jowr-2024.15.03.03</w:t>
        </w:r>
      </w:hyperlink>
      <w:r>
        <w:t xml:space="preserve">.</w:t>
      </w:r>
    </w:p>
    <w:bookmarkEnd w:id="128"/>
    <w:bookmarkStart w:id="13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9">
        <w:r>
          <w:rPr>
            <w:rStyle w:val="Hyperlink"/>
          </w:rPr>
          <w:t xml:space="preserve">https://doi.org/10.2307/2334029</w:t>
        </w:r>
      </w:hyperlink>
      <w:r>
        <w:t xml:space="preserve">.</w:t>
      </w:r>
    </w:p>
    <w:bookmarkEnd w:id="130"/>
    <w:bookmarkStart w:id="132" w:name="ref-Bramley_2015"/>
    <w:p>
      <w:pPr>
        <w:pStyle w:val="Bibliography"/>
      </w:pPr>
      <w:r>
        <w:t xml:space="preserve">Bramley, T. 2015.</w:t>
      </w:r>
      <w:r>
        <w:t xml:space="preserve"> </w:t>
      </w:r>
      <w:r>
        <w:t xml:space="preserve">“Investigating the Reliability of Adaptive Comparative Judgment.”</w:t>
      </w:r>
      <w:r>
        <w:t xml:space="preserve"> </w:t>
      </w:r>
      <w:hyperlink r:id="rId131">
        <w:r>
          <w:rPr>
            <w:rStyle w:val="Hyperlink"/>
          </w:rPr>
          <w:t xml:space="preserve">http://www.cambridgeassessment.org.uk/Images/232694-investigating-the-reliability-of-adaptive-comparative-judgment.pdf</w:t>
        </w:r>
      </w:hyperlink>
      <w:r>
        <w:t xml:space="preserve">.</w:t>
      </w:r>
    </w:p>
    <w:bookmarkEnd w:id="132"/>
    <w:bookmarkStart w:id="134"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3">
        <w:r>
          <w:rPr>
            <w:rStyle w:val="Hyperlink"/>
          </w:rPr>
          <w:t xml:space="preserve">https://doi.org/10.1080/0969594X.2017.1418734</w:t>
        </w:r>
      </w:hyperlink>
      <w:r>
        <w:t xml:space="preserve">.</w:t>
      </w:r>
    </w:p>
    <w:bookmarkEnd w:id="134"/>
    <w:bookmarkStart w:id="136"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5">
        <w:r>
          <w:rPr>
            <w:rStyle w:val="Hyperlink"/>
          </w:rPr>
          <w:t xml:space="preserve">https://doi.org/10.2139/ssrn.3689437</w:t>
        </w:r>
      </w:hyperlink>
      <w:r>
        <w:t xml:space="preserve">.</w:t>
      </w:r>
    </w:p>
    <w:bookmarkEnd w:id="136"/>
    <w:bookmarkStart w:id="138" w:name="ref-Counterfactual_2024"/>
    <w:p>
      <w:pPr>
        <w:pStyle w:val="Bibliography"/>
      </w:pPr>
      <w:r>
        <w:t xml:space="preserve">Counterfactual. 2024.</w:t>
      </w:r>
      <w:r>
        <w:t xml:space="preserve"> </w:t>
      </w:r>
      <w:r>
        <w:t xml:space="preserve">“Merriam-Webster.com Dictionary.”</w:t>
      </w:r>
      <w:r>
        <w:t xml:space="preserve"> </w:t>
      </w:r>
      <w:hyperlink r:id="rId137">
        <w:r>
          <w:rPr>
            <w:rStyle w:val="Hyperlink"/>
          </w:rPr>
          <w:t xml:space="preserve">https://www.merriam-webster.com/dictionary/hacker</w:t>
        </w:r>
      </w:hyperlink>
      <w:r>
        <w:t xml:space="preserve">.</w:t>
      </w:r>
    </w:p>
    <w:bookmarkEnd w:id="138"/>
    <w:bookmarkStart w:id="140"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9">
        <w:r>
          <w:rPr>
            <w:rStyle w:val="Hyperlink"/>
          </w:rPr>
          <w:t xml:space="preserve">https://doi.org/10.3389/feduc.2021.788202</w:t>
        </w:r>
      </w:hyperlink>
      <w:r>
        <w:t xml:space="preserve">.</w:t>
      </w:r>
    </w:p>
    <w:bookmarkEnd w:id="140"/>
    <w:bookmarkStart w:id="142" w:name="ref-Everitt_et_al_2010"/>
    <w:p>
      <w:pPr>
        <w:pStyle w:val="Bibliography"/>
      </w:pPr>
      <w:r>
        <w:t xml:space="preserve">Everitt, B., and A. Skrondal. 2010.</w:t>
      </w:r>
      <w:r>
        <w:t xml:space="preserve"> </w:t>
      </w:r>
      <w:hyperlink r:id="rId141">
        <w:r>
          <w:rPr>
            <w:rStyle w:val="Hyperlink"/>
            <w:i/>
            <w:iCs/>
          </w:rPr>
          <w:t xml:space="preserve">The Cambridge Dictionary of Statistics</w:t>
        </w:r>
      </w:hyperlink>
      <w:r>
        <w:t xml:space="preserve">. Cambridge University Press.</w:t>
      </w:r>
    </w:p>
    <w:bookmarkEnd w:id="142"/>
    <w:bookmarkStart w:id="14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3">
        <w:r>
          <w:rPr>
            <w:rStyle w:val="Hyperlink"/>
          </w:rPr>
          <w:t xml:space="preserve">https://doi.org/10.3389/feduc.2020.582800</w:t>
        </w:r>
      </w:hyperlink>
      <w:r>
        <w:t xml:space="preserve">.</w:t>
      </w:r>
    </w:p>
    <w:bookmarkEnd w:id="144"/>
    <w:bookmarkStart w:id="146"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5">
        <w:r>
          <w:rPr>
            <w:rStyle w:val="Hyperlink"/>
          </w:rPr>
          <w:t xml:space="preserve">https://doi.org/10.1201/9780429425134</w:t>
        </w:r>
        <w:r>
          <w:rPr>
            <w:rStyle w:val="Hyperlink"/>
          </w:rPr>
          <w:t xml:space="preserve"> </w:t>
        </w:r>
      </w:hyperlink>
      <w:r>
        <w:t xml:space="preserve">.</w:t>
      </w:r>
    </w:p>
    <w:bookmarkEnd w:id="146"/>
    <w:bookmarkStart w:id="148"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47">
        <w:r>
          <w:rPr>
            <w:rStyle w:val="Hyperlink"/>
          </w:rPr>
          <w:t xml:space="preserve">https://doi.org/10.1177/1403494813516712</w:t>
        </w:r>
      </w:hyperlink>
      <w:r>
        <w:t xml:space="preserve">.</w:t>
      </w:r>
    </w:p>
    <w:bookmarkEnd w:id="148"/>
    <w:bookmarkStart w:id="150"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9">
        <w:r>
          <w:rPr>
            <w:rStyle w:val="Hyperlink"/>
          </w:rPr>
          <w:t xml:space="preserve">https://doi.org/10.1111/1471-0528.15199</w:t>
        </w:r>
      </w:hyperlink>
      <w:r>
        <w:t xml:space="preserve">.</w:t>
      </w:r>
    </w:p>
    <w:bookmarkEnd w:id="150"/>
    <w:bookmarkStart w:id="152"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51">
        <w:r>
          <w:rPr>
            <w:rStyle w:val="Hyperlink"/>
          </w:rPr>
          <w:t xml:space="preserve">https://www.hsph.harvard.edu/miguel-hernan/causal-inference-book</w:t>
        </w:r>
      </w:hyperlink>
      <w:r>
        <w:t xml:space="preserve">.</w:t>
      </w:r>
    </w:p>
    <w:bookmarkEnd w:id="152"/>
    <w:bookmarkStart w:id="15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3">
        <w:r>
          <w:rPr>
            <w:rStyle w:val="Hyperlink"/>
          </w:rPr>
          <w:t xml:space="preserve">https://doi.org/10.1007/s10649-015-9607-1</w:t>
        </w:r>
      </w:hyperlink>
      <w:r>
        <w:t xml:space="preserve">.</w:t>
      </w:r>
    </w:p>
    <w:bookmarkEnd w:id="154"/>
    <w:bookmarkStart w:id="15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55">
        <w:r>
          <w:rPr>
            <w:rStyle w:val="Hyperlink"/>
          </w:rPr>
          <w:t xml:space="preserve">https://doi.org/10.1002/berj.3519</w:t>
        </w:r>
      </w:hyperlink>
      <w:r>
        <w:t xml:space="preserve">.</w:t>
      </w:r>
    </w:p>
    <w:bookmarkEnd w:id="156"/>
    <w:bookmarkStart w:id="157" w:name="ref-Kanji_2006"/>
    <w:p>
      <w:pPr>
        <w:pStyle w:val="Bibliography"/>
      </w:pPr>
      <w:r>
        <w:t xml:space="preserve">Kanji, G. 2006.</w:t>
      </w:r>
      <w:r>
        <w:t xml:space="preserve"> </w:t>
      </w:r>
      <w:hyperlink r:id="rId141">
        <w:r>
          <w:rPr>
            <w:rStyle w:val="Hyperlink"/>
            <w:i/>
            <w:iCs/>
          </w:rPr>
          <w:t xml:space="preserve">100 Statistical Tests</w:t>
        </w:r>
      </w:hyperlink>
      <w:r>
        <w:t xml:space="preserve">. Introduction to Statistics. SAGE Publications.</w:t>
      </w:r>
    </w:p>
    <w:bookmarkEnd w:id="157"/>
    <w:bookmarkStart w:id="15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8"/>
    <w:bookmarkStart w:id="16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9">
        <w:r>
          <w:rPr>
            <w:rStyle w:val="Hyperlink"/>
          </w:rPr>
          <w:t xml:space="preserve">https://doi.org/10.1037/h0043178</w:t>
        </w:r>
      </w:hyperlink>
      <w:r>
        <w:t xml:space="preserve">.</w:t>
      </w:r>
    </w:p>
    <w:bookmarkEnd w:id="160"/>
    <w:bookmarkStart w:id="16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61">
        <w:r>
          <w:rPr>
            <w:rStyle w:val="Hyperlink"/>
          </w:rPr>
          <w:t xml:space="preserve">https://doi.org/10.1007/s40841-020-00163-3</w:t>
        </w:r>
      </w:hyperlink>
      <w:r>
        <w:t xml:space="preserve">.</w:t>
      </w:r>
    </w:p>
    <w:bookmarkEnd w:id="162"/>
    <w:bookmarkStart w:id="163" w:name="ref-McElreath_2020"/>
    <w:p>
      <w:pPr>
        <w:pStyle w:val="Bibliography"/>
      </w:pPr>
      <w:r>
        <w:t xml:space="preserve">McElreath, R. 2020.</w:t>
      </w:r>
      <w:r>
        <w:t xml:space="preserve"> </w:t>
      </w:r>
      <w:hyperlink r:id="rId141">
        <w:r>
          <w:rPr>
            <w:rStyle w:val="Hyperlink"/>
            <w:i/>
            <w:iCs/>
          </w:rPr>
          <w:t xml:space="preserve">Statistical Rethinking: A Bayesian Course with Examples in r and STAN</w:t>
        </w:r>
      </w:hyperlink>
      <w:r>
        <w:t xml:space="preserve">. Chapman; Hall/CRC.</w:t>
      </w:r>
    </w:p>
    <w:bookmarkEnd w:id="163"/>
    <w:bookmarkStart w:id="164" w:name="ref-Morgan_et_al_2014"/>
    <w:p>
      <w:pPr>
        <w:pStyle w:val="Bibliography"/>
      </w:pPr>
      <w:r>
        <w:t xml:space="preserve">Morgan, S., and C. Winship. 2014.</w:t>
      </w:r>
      <w:r>
        <w:t xml:space="preserve"> </w:t>
      </w:r>
      <w:hyperlink r:id="rId141">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4"/>
    <w:bookmarkStart w:id="166" w:name="ref-Neal_2020"/>
    <w:p>
      <w:pPr>
        <w:pStyle w:val="Bibliography"/>
      </w:pPr>
      <w:r>
        <w:t xml:space="preserve">Neal, B. 2020.</w:t>
      </w:r>
      <w:r>
        <w:t xml:space="preserve"> </w:t>
      </w:r>
      <w:r>
        <w:t xml:space="preserve">“Introduction to Causal Inference from a Machine Learning Perspective.”</w:t>
      </w:r>
      <w:r>
        <w:t xml:space="preserve"> </w:t>
      </w:r>
      <w:hyperlink r:id="rId165">
        <w:r>
          <w:rPr>
            <w:rStyle w:val="Hyperlink"/>
          </w:rPr>
          <w:t xml:space="preserve">https://www.bradyneal.com/Introduction_to_Causal_Inference-Dec17_2020-Neal.pdf</w:t>
        </w:r>
      </w:hyperlink>
      <w:r>
        <w:t xml:space="preserve">.</w:t>
      </w:r>
    </w:p>
    <w:bookmarkEnd w:id="166"/>
    <w:bookmarkStart w:id="168"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7">
        <w:r>
          <w:rPr>
            <w:rStyle w:val="Hyperlink"/>
          </w:rPr>
          <w:t xml:space="preserve">http://www.jstor.org/stable/2245382</w:t>
        </w:r>
      </w:hyperlink>
      <w:r>
        <w:t xml:space="preserve">.</w:t>
      </w:r>
    </w:p>
    <w:bookmarkEnd w:id="168"/>
    <w:bookmarkStart w:id="169" w:name="ref-Pearl_2009"/>
    <w:p>
      <w:pPr>
        <w:pStyle w:val="Bibliography"/>
      </w:pPr>
      <w:r>
        <w:t xml:space="preserve">Pearl, J. 2009.</w:t>
      </w:r>
      <w:r>
        <w:t xml:space="preserve"> </w:t>
      </w:r>
      <w:hyperlink r:id="rId141">
        <w:r>
          <w:rPr>
            <w:rStyle w:val="Hyperlink"/>
            <w:i/>
            <w:iCs/>
          </w:rPr>
          <w:t xml:space="preserve">Causality: Models, Reasoning and Inference</w:t>
        </w:r>
      </w:hyperlink>
      <w:r>
        <w:t xml:space="preserve">. Cambrige University Press.</w:t>
      </w:r>
    </w:p>
    <w:bookmarkEnd w:id="169"/>
    <w:bookmarkStart w:id="171"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70">
        <w:r>
          <w:rPr>
            <w:rStyle w:val="Hyperlink"/>
          </w:rPr>
          <w:t xml:space="preserve">https://doi.org/10.2202/1557-4679.1203</w:t>
        </w:r>
      </w:hyperlink>
      <w:r>
        <w:t xml:space="preserve">.</w:t>
      </w:r>
    </w:p>
    <w:bookmarkEnd w:id="171"/>
    <w:bookmarkStart w:id="173"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72">
        <w:r>
          <w:rPr>
            <w:rStyle w:val="Hyperlink"/>
          </w:rPr>
          <w:t xml:space="preserve">https://doi.org/10.1177/0962280215586010</w:t>
        </w:r>
      </w:hyperlink>
      <w:r>
        <w:t xml:space="preserve">.</w:t>
      </w:r>
    </w:p>
    <w:bookmarkEnd w:id="173"/>
    <w:bookmarkStart w:id="174" w:name="ref-Pearl_et_al_2016"/>
    <w:p>
      <w:pPr>
        <w:pStyle w:val="Bibliography"/>
      </w:pPr>
      <w:r>
        <w:t xml:space="preserve">Pearl, J., M. Glymour, and N. Jewell. 2016.</w:t>
      </w:r>
      <w:r>
        <w:t xml:space="preserve"> </w:t>
      </w:r>
      <w:hyperlink r:id="rId141">
        <w:r>
          <w:rPr>
            <w:rStyle w:val="Hyperlink"/>
            <w:i/>
            <w:iCs/>
          </w:rPr>
          <w:t xml:space="preserve">Causal Inference in Statistics: A Primer</w:t>
        </w:r>
      </w:hyperlink>
      <w:r>
        <w:t xml:space="preserve">. John Wiley &amp; Sons, Inc.</w:t>
      </w:r>
    </w:p>
    <w:bookmarkEnd w:id="174"/>
    <w:bookmarkStart w:id="175" w:name="ref-Pearl_et_al_2018"/>
    <w:p>
      <w:pPr>
        <w:pStyle w:val="Bibliography"/>
      </w:pPr>
      <w:r>
        <w:t xml:space="preserve">Pearl, J., and D. Mackenzie. 2018.</w:t>
      </w:r>
      <w:r>
        <w:t xml:space="preserve"> </w:t>
      </w:r>
      <w:hyperlink r:id="rId141">
        <w:r>
          <w:rPr>
            <w:rStyle w:val="Hyperlink"/>
            <w:i/>
            <w:iCs/>
          </w:rPr>
          <w:t xml:space="preserve">The Book of Why: The New Science of Cause and Effect</w:t>
        </w:r>
      </w:hyperlink>
      <w:r>
        <w:t xml:space="preserve">. 1st ed. Basic Books, Inc.</w:t>
      </w:r>
    </w:p>
    <w:bookmarkEnd w:id="175"/>
    <w:bookmarkStart w:id="177"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6">
        <w:r>
          <w:rPr>
            <w:rStyle w:val="Hyperlink"/>
          </w:rPr>
          <w:t xml:space="preserve">https://doi.org/10.2307/2346567</w:t>
        </w:r>
      </w:hyperlink>
      <w:r>
        <w:t xml:space="preserve">.</w:t>
      </w:r>
    </w:p>
    <w:bookmarkEnd w:id="177"/>
    <w:bookmarkStart w:id="17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8">
        <w:r>
          <w:rPr>
            <w:rStyle w:val="Hyperlink"/>
          </w:rPr>
          <w:t xml:space="preserve">https://doi.org/10.1007/s10798-011-9189-x</w:t>
        </w:r>
      </w:hyperlink>
      <w:r>
        <w:t xml:space="preserve">.</w:t>
      </w:r>
    </w:p>
    <w:bookmarkEnd w:id="179"/>
    <w:bookmarkStart w:id="18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80">
        <w:r>
          <w:rPr>
            <w:rStyle w:val="Hyperlink"/>
          </w:rPr>
          <w:t xml:space="preserve">https://doi.org/10.1080/0969594X.2012.665354</w:t>
        </w:r>
      </w:hyperlink>
      <w:r>
        <w:t xml:space="preserve">.</w:t>
      </w:r>
    </w:p>
    <w:bookmarkEnd w:id="181"/>
    <w:bookmarkStart w:id="183"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82">
        <w:r>
          <w:rPr>
            <w:rStyle w:val="Hyperlink"/>
          </w:rPr>
          <w:t xml:space="preserve">https://doi.org/10.1177/2515245917745629</w:t>
        </w:r>
      </w:hyperlink>
      <w:r>
        <w:t xml:space="preserve">.</w:t>
      </w:r>
    </w:p>
    <w:bookmarkEnd w:id="183"/>
    <w:bookmarkStart w:id="185"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4">
        <w:r>
          <w:rPr>
            <w:rStyle w:val="Hyperlink"/>
          </w:rPr>
          <w:t xml:space="preserve">https://doi.org/10.1037/h0037350</w:t>
        </w:r>
      </w:hyperlink>
      <w:r>
        <w:t xml:space="preserve">.</w:t>
      </w:r>
    </w:p>
    <w:bookmarkEnd w:id="185"/>
    <w:bookmarkStart w:id="187"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6">
        <w:r>
          <w:rPr>
            <w:rStyle w:val="Hyperlink"/>
          </w:rPr>
          <w:t xml:space="preserve">https://doi.org/10.1093/oxfordhb/9780199286546.003.0011</w:t>
        </w:r>
      </w:hyperlink>
      <w:r>
        <w:t xml:space="preserve">.</w:t>
      </w:r>
    </w:p>
    <w:bookmarkEnd w:id="187"/>
    <w:bookmarkStart w:id="189"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8">
        <w:r>
          <w:rPr>
            <w:rStyle w:val="Hyperlink"/>
          </w:rPr>
          <w:t xml:space="preserve">https://web.archive.org/web/20141015135541/http://www.mhhe.com/socscience/psychology/shaugh/ch01_concepts.html</w:t>
        </w:r>
      </w:hyperlink>
      <w:r>
        <w:t xml:space="preserve">.</w:t>
      </w:r>
    </w:p>
    <w:bookmarkEnd w:id="189"/>
    <w:bookmarkStart w:id="191"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90">
        <w:r>
          <w:rPr>
            <w:rStyle w:val="Hyperlink"/>
          </w:rPr>
          <w:t xml:space="preserve">https://www.jstor.org/stable/4320244</w:t>
        </w:r>
      </w:hyperlink>
      <w:r>
        <w:t xml:space="preserve">.</w:t>
      </w:r>
    </w:p>
    <w:bookmarkEnd w:id="191"/>
    <w:bookmarkStart w:id="19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92">
        <w:r>
          <w:rPr>
            <w:rStyle w:val="Hyperlink"/>
          </w:rPr>
          <w:t xml:space="preserve">https://doi.org/10.1037/h0070288</w:t>
        </w:r>
      </w:hyperlink>
      <w:r>
        <w:t xml:space="preserve">.</w:t>
      </w:r>
    </w:p>
    <w:bookmarkEnd w:id="193"/>
    <w:bookmarkStart w:id="19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4">
        <w:r>
          <w:rPr>
            <w:rStyle w:val="Hyperlink"/>
          </w:rPr>
          <w:t xml:space="preserve">https://doi.org/10.1016/0022-2496(86)90034-9</w:t>
        </w:r>
      </w:hyperlink>
      <w:r>
        <w:t xml:space="preserve">.</w:t>
      </w:r>
    </w:p>
    <w:bookmarkEnd w:id="195"/>
    <w:bookmarkStart w:id="19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6"/>
    <w:bookmarkStart w:id="19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7">
        <w:r>
          <w:rPr>
            <w:rStyle w:val="Hyperlink"/>
          </w:rPr>
          <w:t xml:space="preserve">https://doi.org/10.1080/0969594X.2016.1253542</w:t>
        </w:r>
      </w:hyperlink>
      <w:r>
        <w:t xml:space="preserve">.</w:t>
      </w:r>
    </w:p>
    <w:bookmarkEnd w:id="198"/>
    <w:bookmarkStart w:id="20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9">
        <w:r>
          <w:rPr>
            <w:rStyle w:val="Hyperlink"/>
          </w:rPr>
          <w:t xml:space="preserve">https://doi.org/10.3389/feduc.2017.00044</w:t>
        </w:r>
      </w:hyperlink>
      <w:r>
        <w:t xml:space="preserve">.</w:t>
      </w:r>
    </w:p>
    <w:bookmarkEnd w:id="200"/>
    <w:bookmarkStart w:id="20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01">
        <w:r>
          <w:rPr>
            <w:rStyle w:val="Hyperlink"/>
          </w:rPr>
          <w:t xml:space="preserve">https://doi.org/10.1080/0969594X.2019.1602027</w:t>
        </w:r>
      </w:hyperlink>
      <w:r>
        <w:t xml:space="preserve">.</w:t>
      </w:r>
    </w:p>
    <w:bookmarkEnd w:id="202"/>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21" Target="media/rId21.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7"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8" Target="https://doi.org/10.1007/s10798-011-9189-x" TargetMode="External" /><Relationship Type="http://schemas.openxmlformats.org/officeDocument/2006/relationships/hyperlink" Id="rId161" Target="https://doi.org/10.1007/s40841-020-00163-3" TargetMode="External" /><Relationship Type="http://schemas.openxmlformats.org/officeDocument/2006/relationships/hyperlink" Id="rId194"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4" Target="https://doi.org/10.1037/h0037350" TargetMode="External" /><Relationship Type="http://schemas.openxmlformats.org/officeDocument/2006/relationships/hyperlink" Id="rId159" Target="https://doi.org/10.1037/h0043178" TargetMode="External" /><Relationship Type="http://schemas.openxmlformats.org/officeDocument/2006/relationships/hyperlink" Id="rId192" Target="https://doi.org/10.1037/h0070288" TargetMode="External" /><Relationship Type="http://schemas.openxmlformats.org/officeDocument/2006/relationships/hyperlink" Id="rId180" Target="https://doi.org/10.1080/0969594X.2012.665354" TargetMode="External" /><Relationship Type="http://schemas.openxmlformats.org/officeDocument/2006/relationships/hyperlink" Id="rId197"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1"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6"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2"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2"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70"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6"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9"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8" Target="https://web.archive.org/web/20141015135541/http://www.mhhe.com/socscience/psychology/shaugh/ch01_concepts.html" TargetMode="External" /><Relationship Type="http://schemas.openxmlformats.org/officeDocument/2006/relationships/hyperlink" Id="rId165"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90" Target="https://www.jstor.org/stable/4320244" TargetMode="External" /><Relationship Type="http://schemas.openxmlformats.org/officeDocument/2006/relationships/hyperlink" Id="rId137"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41" Target="" TargetMode="External" /><Relationship Type="http://schemas.openxmlformats.org/officeDocument/2006/relationships/hyperlink" Id="rId131" Target="http://www.cambridgeassessment.org.uk/Images/232694-investigating-the-reliability-of-adaptive-comparative-judgment.pdf" TargetMode="External" /><Relationship Type="http://schemas.openxmlformats.org/officeDocument/2006/relationships/hyperlink" Id="rId167" Target="http://www.jstor.org/stable/2245382" TargetMode="External" /><Relationship Type="http://schemas.openxmlformats.org/officeDocument/2006/relationships/hyperlink" Id="rId155" Target="https://doi.org/10.1002/berj.3519" TargetMode="External" /><Relationship Type="http://schemas.openxmlformats.org/officeDocument/2006/relationships/hyperlink" Id="rId123" Target="https://doi.org/10.1007/978-3-030-52229-2_18" TargetMode="External" /><Relationship Type="http://schemas.openxmlformats.org/officeDocument/2006/relationships/hyperlink" Id="rId153" Target="https://doi.org/10.1007/s10649-015-9607-1" TargetMode="External" /><Relationship Type="http://schemas.openxmlformats.org/officeDocument/2006/relationships/hyperlink" Id="rId178" Target="https://doi.org/10.1007/s10798-011-9189-x" TargetMode="External" /><Relationship Type="http://schemas.openxmlformats.org/officeDocument/2006/relationships/hyperlink" Id="rId161" Target="https://doi.org/10.1007/s40841-020-00163-3" TargetMode="External" /><Relationship Type="http://schemas.openxmlformats.org/officeDocument/2006/relationships/hyperlink" Id="rId194" Target="https://doi.org/10.1016/0022-2496(86)90034-9" TargetMode="External" /><Relationship Type="http://schemas.openxmlformats.org/officeDocument/2006/relationships/hyperlink" Id="rId125" Target="https://doi.org/10.1016/j.jcomdis.2019.105969" TargetMode="External" /><Relationship Type="http://schemas.openxmlformats.org/officeDocument/2006/relationships/hyperlink" Id="rId184" Target="https://doi.org/10.1037/h0037350" TargetMode="External" /><Relationship Type="http://schemas.openxmlformats.org/officeDocument/2006/relationships/hyperlink" Id="rId159" Target="https://doi.org/10.1037/h0043178" TargetMode="External" /><Relationship Type="http://schemas.openxmlformats.org/officeDocument/2006/relationships/hyperlink" Id="rId192" Target="https://doi.org/10.1037/h0070288" TargetMode="External" /><Relationship Type="http://schemas.openxmlformats.org/officeDocument/2006/relationships/hyperlink" Id="rId180" Target="https://doi.org/10.1080/0969594X.2012.665354" TargetMode="External" /><Relationship Type="http://schemas.openxmlformats.org/officeDocument/2006/relationships/hyperlink" Id="rId197" Target="https://doi.org/10.1080/0969594X.2016.1253542" TargetMode="External" /><Relationship Type="http://schemas.openxmlformats.org/officeDocument/2006/relationships/hyperlink" Id="rId133" Target="https://doi.org/10.1080/0969594X.2017.1418734" TargetMode="External" /><Relationship Type="http://schemas.openxmlformats.org/officeDocument/2006/relationships/hyperlink" Id="rId201" Target="https://doi.org/10.1080/0969594X.2019.1602027" TargetMode="External" /><Relationship Type="http://schemas.openxmlformats.org/officeDocument/2006/relationships/hyperlink" Id="rId121" Target="https://doi.org/10.1080/10627197.2018.1444986" TargetMode="External" /><Relationship Type="http://schemas.openxmlformats.org/officeDocument/2006/relationships/hyperlink" Id="rId186" Target="https://doi.org/10.1093/oxfordhb/9780199286546.003.0011" TargetMode="External" /><Relationship Type="http://schemas.openxmlformats.org/officeDocument/2006/relationships/hyperlink" Id="rId149" Target="https://doi.org/10.1111/1471-0528.15199" TargetMode="External" /><Relationship Type="http://schemas.openxmlformats.org/officeDocument/2006/relationships/hyperlink" Id="rId172" Target="https://doi.org/10.1177/0962280215586010" TargetMode="External" /><Relationship Type="http://schemas.openxmlformats.org/officeDocument/2006/relationships/hyperlink" Id="rId147" Target="https://doi.org/10.1177/1403494813516712" TargetMode="External" /><Relationship Type="http://schemas.openxmlformats.org/officeDocument/2006/relationships/hyperlink" Id="rId182" Target="https://doi.org/10.1177/2515245917745629" TargetMode="External" /><Relationship Type="http://schemas.openxmlformats.org/officeDocument/2006/relationships/hyperlink" Id="rId145" Target="https://doi.org/10.1201/9780429425134 " TargetMode="External" /><Relationship Type="http://schemas.openxmlformats.org/officeDocument/2006/relationships/hyperlink" Id="rId127" Target="https://doi.org/10.17239/jowr-2024.15.03.03" TargetMode="External" /><Relationship Type="http://schemas.openxmlformats.org/officeDocument/2006/relationships/hyperlink" Id="rId135" Target="https://doi.org/10.2139/ssrn.3689437" TargetMode="External" /><Relationship Type="http://schemas.openxmlformats.org/officeDocument/2006/relationships/hyperlink" Id="rId170" Target="https://doi.org/10.2202/1557-4679.1203" TargetMode="External" /><Relationship Type="http://schemas.openxmlformats.org/officeDocument/2006/relationships/hyperlink" Id="rId129" Target="https://doi.org/10.2307/2334029" TargetMode="External" /><Relationship Type="http://schemas.openxmlformats.org/officeDocument/2006/relationships/hyperlink" Id="rId176" Target="https://doi.org/10.2307/2346567" TargetMode="External" /><Relationship Type="http://schemas.openxmlformats.org/officeDocument/2006/relationships/hyperlink" Id="rId119" Target="https://doi.org/10.2307/2347562" TargetMode="External" /><Relationship Type="http://schemas.openxmlformats.org/officeDocument/2006/relationships/hyperlink" Id="rId199" Target="https://doi.org/10.3389/feduc.2017.00044" TargetMode="External" /><Relationship Type="http://schemas.openxmlformats.org/officeDocument/2006/relationships/hyperlink" Id="rId143" Target="https://doi.org/10.3389/feduc.2020.582800" TargetMode="External" /><Relationship Type="http://schemas.openxmlformats.org/officeDocument/2006/relationships/hyperlink" Id="rId139" Target="https://doi.org/10.3389/feduc.2021.788202" TargetMode="External" /><Relationship Type="http://schemas.openxmlformats.org/officeDocument/2006/relationships/hyperlink" Id="rId114" Target="https://jriveraespejo.github.io/paper2_manuscript/" TargetMode="External" /><Relationship Type="http://schemas.openxmlformats.org/officeDocument/2006/relationships/hyperlink" Id="rId188" Target="https://web.archive.org/web/20141015135541/http://www.mhhe.com/socscience/psychology/shaugh/ch01_concepts.html" TargetMode="External" /><Relationship Type="http://schemas.openxmlformats.org/officeDocument/2006/relationships/hyperlink" Id="rId165" Target="https://www.bradyneal.com/Introduction_to_Causal_Inference-Dec17_2020-Neal.pdf" TargetMode="External" /><Relationship Type="http://schemas.openxmlformats.org/officeDocument/2006/relationships/hyperlink" Id="rId151" Target="https://www.hsph.harvard.edu/miguel-hernan/causal-inference-book" TargetMode="External" /><Relationship Type="http://schemas.openxmlformats.org/officeDocument/2006/relationships/hyperlink" Id="rId190" Target="https://www.jstor.org/stable/4320244" TargetMode="External" /><Relationship Type="http://schemas.openxmlformats.org/officeDocument/2006/relationships/hyperlink" Id="rId137"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2024-08-20T08:29:51Z</dcterms:created>
  <dcterms:modified xsi:type="dcterms:W3CDTF">2024-08-20T08:29:51Z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2024-08-20</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