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2024-12-02</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(or the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(or the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 discriminal processes of the stimuli. This correlation quantifies the dependence of the judge’s perception of the trait in one stimulus on his perception of the same trait in the 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comparison outcomes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two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Conversely, it is not hard to infer that if the texts had similar or identical quality levels, higher correlations would likely reduce the chance that the discriminal difference distinctly favors one text over the other. This probability reduction occurs because the distribution of the discriminal difference would become more narrowly centered around zero (not illustrated).</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them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may not consistently hold in theory or practice: the zero correlation and equal dispersion between stimuli.</w:t>
      </w:r>
    </w:p>
    <w:p>
      <w:pPr>
        <w:pStyle w:val="BodyText"/>
      </w:pPr>
      <w:r>
        <w:t xml:space="preserve">As outlined in</w:t>
      </w:r>
      <w:r>
        <w:t xml:space="preserve"> </w:t>
      </w:r>
      <w:hyperlink w:anchor="sec-thurstone_theory">
        <w:r>
          <w:rPr>
            <w:rStyle w:val="Hyperlink"/>
          </w:rPr>
          <w:t xml:space="preserve">Section 2</w:t>
        </w:r>
      </w:hyperlink>
      <w:r>
        <w:t xml:space="preserve">,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evaluating these traits, they often rely on various intricate characteristics of the stimuli</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consequently,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in CJ data, the statistical handling of this extra source of dependency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underscores the importance of incorporating additional relevant traits and clustering (grouping) structures into the modeling of CJ data to address potential dependencies between stimuli. Oversights in these areas can lead to misleading conclusions about the trait’s reliability and ultimately compromise its validity</w:t>
      </w:r>
      <w:r>
        <w:t xml:space="preserve"> </w:t>
      </w:r>
      <w:r>
        <w:t xml:space="preserve">(Perron and Gillespie 2015, 2)</w:t>
      </w:r>
      <w:r>
        <w:t xml:space="preserve">. Neglecting additional traits relevant to the stimuli or the trait of interest, such as judges’ biases, introduces a dimensional mismatch in the modeling process of the CJ data. This mismatch often results in an overestimation of the trait’s reliability</w:t>
      </w:r>
      <w:r>
        <w:t xml:space="preserve"> </w:t>
      </w:r>
      <w:r>
        <w:t xml:space="preserve">(Hoyle 2023, 341)</w:t>
      </w:r>
      <w:r>
        <w:t xml:space="preserve"> </w:t>
      </w:r>
      <w:r>
        <w:t xml:space="preserve">or, worse, introduces biases into the estimated trait</w:t>
      </w:r>
      <w:r>
        <w:t xml:space="preserve"> </w:t>
      </w:r>
      <w:r>
        <w:t xml:space="preserve">(Ackerman 1989)</w:t>
      </w:r>
      <w:r>
        <w:t xml:space="preserve">. Therefore, these traits must be incorporated into the modeling of CJ data, as demonstrated by</w:t>
      </w:r>
      <w:r>
        <w:t xml:space="preserve"> </w:t>
      </w:r>
      <w:r>
        <w:t xml:space="preserve">Andrich (1978)</w:t>
      </w:r>
      <w:r>
        <w:t xml:space="preserve"> </w:t>
      </w:r>
      <w:r>
        <w:t xml:space="preserve">and</w:t>
      </w:r>
      <w:r>
        <w:t xml:space="preserve"> </w:t>
      </w:r>
      <w:r>
        <w:t xml:space="preserve">Wainer, TimbersFairbank, and Hough (1978)</w:t>
      </w:r>
      <w:r>
        <w:t xml:space="preserve">. Similarly, ignoring hierarchical (grouping) structures reduces the accuracy of model parameter estimates and further exacerbates the overestimation of reliability</w:t>
      </w:r>
      <w:r>
        <w:t xml:space="preserve"> </w:t>
      </w:r>
      <w:r>
        <w:t xml:space="preserve">(Hoyle 2023, 482)</w:t>
      </w:r>
      <w:r>
        <w:t xml:space="preserve">. To address this, any additional hierarchical structure relevant to the stimuli should also be included in the model, as in Multilevel Structural Equation models (MSEM)</w:t>
      </w:r>
      <w:r>
        <w:t xml:space="preserve"> </w:t>
      </w:r>
      <w:r>
        <w:t xml:space="preserve">(Hoyle 2023, chap. 26)</w:t>
      </w:r>
      <w:r>
        <w:t xml:space="preserve">.</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8" w:name="references"/>
    <w:p>
      <w:pPr>
        <w:pStyle w:val="Heading1"/>
      </w:pPr>
      <w:r>
        <w:t xml:space="preserve">References</w:t>
      </w:r>
    </w:p>
    <w:bookmarkStart w:id="137"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3">
        <w:r>
          <w:rPr>
            <w:rStyle w:val="Hyperlink"/>
          </w:rPr>
          <w:t xml:space="preserve">https://doi.org/10.1177/014662167800200301</w:t>
        </w:r>
      </w:hyperlink>
      <w:r>
        <w:t xml:space="preserve">.</w:t>
      </w:r>
    </w:p>
    <w:bookmarkEnd w:id="134"/>
    <w:bookmarkStart w:id="136"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5">
        <w:r>
          <w:rPr>
            <w:rStyle w:val="Hyperlink"/>
          </w:rPr>
          <w:t xml:space="preserve">https://filestore.aqa.org.uk/content/research/CERP_RP_CW_24102012_0.pdf?download=1</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2024-12-02T17:04:11Z</dcterms:created>
  <dcterms:modified xsi:type="dcterms:W3CDTF">2024-12-02T17:04:11Z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