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21.png" ContentType="image/png"/>
  <Override PartName="/word/media/rId97.png" ContentType="image/png"/>
  <Override PartName="/word/media/rId101.png" ContentType="image/png"/>
  <Override PartName="/word/media/rId89.png" ContentType="image/png"/>
  <Override PartName="/word/media/rId93.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72.png" ContentType="image/png"/>
  <Override PartName="/word/media/rId30.png" ContentType="image/png"/>
  <Override PartName="/word/media/rId39.png" ContentType="image/png"/>
  <Override PartName="/word/media/rId48.png" ContentType="image/png"/>
  <Override PartName="/word/media/rId57.png" ContentType="image/png"/>
  <Override PartName="/word/media/rId66.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2024-08-19</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 in</w:t>
      </w:r>
      <w:r>
        <w:t xml:space="preserve"> </w:t>
      </w:r>
      <w:r>
        <w:t xml:space="preserve">van Daal et al. (2019)</w:t>
      </w:r>
      <w:r>
        <w:t xml:space="preserve">, the authors 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to causal inference,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8" w:name="sec-framework"/>
    <w:p>
      <w:pPr>
        <w:pStyle w:val="Heading1"/>
      </w:pPr>
      <w:r>
        <w:t xml:space="preserve">Theoretical framework</w:t>
      </w:r>
    </w:p>
    <w:p>
      <w:pPr>
        <w:pStyle w:val="FirstParagraph"/>
      </w:pPr>
      <w:r>
        <w:t xml:space="preserve">This section introduces fundamental concepts in causal inference but does not offer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like</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5" w:name="sec-framework-structural"/>
    <w:p>
      <w:pPr>
        <w:pStyle w:val="Heading2"/>
      </w:pPr>
      <w:r>
        <w:t xml:space="preserve">The structural approach to causal inference</w:t>
      </w:r>
    </w:p>
    <w:p>
      <w:pPr>
        <w:pStyle w:val="FirstParagraph"/>
      </w:pPr>
      <w:r>
        <w:t xml:space="preserve">Empirical research addresses real-world challenges by relying on evidence gathered through observation and experimentation. In this context, researchers typically frame their research questions as</w:t>
      </w:r>
      <w:r>
        <w:t xml:space="preserve"> </w:t>
      </w:r>
      <w:r>
        <w:rPr>
          <w:i/>
          <w:iCs/>
        </w:rPr>
        <w:t xml:space="preserve">estimands</w:t>
      </w:r>
      <w:r>
        <w:t xml:space="preserve"> </w:t>
      </w:r>
      <w:r>
        <w:t xml:space="preserve">or</w:t>
      </w:r>
      <w:r>
        <w:t xml:space="preserve"> </w:t>
      </w:r>
      <w:r>
        <w:rPr>
          <w:i/>
          <w:iCs/>
        </w:rPr>
        <w:t xml:space="preserve">targets of inference</w:t>
      </w:r>
      <w:r>
        <w:t xml:space="preserve">. These estimands represent the specific quantities the study aims to determine</w:t>
      </w:r>
      <w:r>
        <w:t xml:space="preserve"> </w:t>
      </w:r>
      <w:r>
        <w:t xml:space="preserve">(Everitt and Skrondal 2010)</w:t>
      </w:r>
      <w:r>
        <w:t xml:space="preserve">. For instance, a study might examine the question,</w:t>
      </w:r>
      <w:r>
        <w:t xml:space="preserve"> </w:t>
      </w:r>
      <w:r>
        <w:t xml:space="preserve">“</w:t>
      </w:r>
      <w:r>
        <w:t xml:space="preserve">To what extent do different teaching methods (</w:t>
      </w:r>
      <m:oMath>
        <m:r>
          <m:t>T</m:t>
        </m:r>
      </m:oMath>
      <w:r>
        <w:t xml:space="preserve">) influence students’ conceptual understanding of a topic (</w:t>
      </w:r>
      <m:oMath>
        <m:r>
          <m:t>Y</m:t>
        </m:r>
      </m:oMath>
      <w:r>
        <w:t xml:space="preserve">)?</w:t>
      </w:r>
      <w:r>
        <w:t xml:space="preserve">”</w:t>
      </w:r>
      <w:r>
        <w:t xml:space="preserve"> </w:t>
      </w:r>
      <w:r>
        <w:t xml:space="preserve">To investigate this, the study could randomly assign students to two groups, each using a different teaching method</w:t>
      </w:r>
      <w:r>
        <w:t xml:space="preserve"> </w:t>
      </w:r>
      <m:oMath>
        <m:d>
          <m:dPr>
            <m:begChr m:val="("/>
            <m:endChr m:val=")"/>
            <m:sepChr m:val=""/>
            <m:grow/>
          </m:dPr>
          <m:e>
            <m:r>
              <m:t>T</m:t>
            </m:r>
            <m:r>
              <m:rPr>
                <m:sty m:val="p"/>
              </m:rPr>
              <m:t>=</m:t>
            </m:r>
            <m:r>
              <m:rPr>
                <m:sty m:val="p"/>
              </m:rPr>
              <m:t>{</m:t>
            </m:r>
            <m:r>
              <m:t>1</m:t>
            </m:r>
            <m:r>
              <m:rPr>
                <m:sty m:val="p"/>
              </m:rPr>
              <m:t>,</m:t>
            </m:r>
            <m:r>
              <m:t>2</m:t>
            </m:r>
            <m:r>
              <m:rPr>
                <m:sty m:val="p"/>
              </m:rPr>
              <m:t>}</m:t>
            </m:r>
          </m:e>
        </m:d>
      </m:oMath>
      <w:r>
        <w:t xml:space="preserve">. Students’ conceptual understanding of the topic could be evaluated through pairwise comparisons, resulting in a dichotomous outcome</w:t>
      </w:r>
      <w:r>
        <w:t xml:space="preserve"> </w:t>
      </w:r>
      <m:oMath>
        <m:d>
          <m:dPr>
            <m:begChr m:val="("/>
            <m:endChr m:val=")"/>
            <m:sepChr m:val=""/>
            <m:grow/>
          </m:dPr>
          <m:e>
            <m:r>
              <m:t>Y</m:t>
            </m:r>
            <m:r>
              <m:rPr>
                <m:sty m:val="p"/>
              </m:rPr>
              <m:t>=</m:t>
            </m:r>
            <m:r>
              <m:rPr>
                <m:sty m:val="p"/>
              </m:rPr>
              <m:t>{</m:t>
            </m:r>
            <m:r>
              <m:t>0</m:t>
            </m:r>
            <m:r>
              <m:rPr>
                <m:sty m:val="p"/>
              </m:rPr>
              <m:t>,</m:t>
            </m:r>
            <m:r>
              <m:t>1</m:t>
            </m:r>
            <m:r>
              <m:rPr>
                <m:sty m:val="p"/>
              </m:rPr>
              <m:t>}</m:t>
            </m:r>
          </m:e>
        </m:d>
      </m:oMath>
      <w:r>
        <w:t xml:space="preserve">, indicating which student among those compared has a higher level of understanding. The research question could be then framed as the estimand,</w:t>
      </w:r>
      <w:r>
        <w:t xml:space="preserve"> </w:t>
      </w:r>
      <w:r>
        <w:t xml:space="preserve">“</w:t>
      </w:r>
      <w:r>
        <w:rPr>
          <w:i/>
          <w:iCs/>
        </w:rPr>
        <w:t xml:space="preserve">On average</w:t>
      </w:r>
      <w:r>
        <w:t xml:space="preserve">, is there a difference in conceptual understanding of the topic between the two groups of students?</w:t>
      </w:r>
      <w:r>
        <w:t xml:space="preserve">”</w:t>
      </w:r>
      <w:r>
        <w:t xml:space="preserve"> </w:t>
      </w:r>
      <w:r>
        <w:t xml:space="preserve">This estimand could be mathematically expressed by the associational random quantity</w:t>
      </w:r>
      <w:r>
        <w:t xml:space="preserve"> </w:t>
      </w:r>
      <m:oMath>
        <m:r>
          <m:t>E</m:t>
        </m:r>
        <m:d>
          <m:dPr>
            <m:begChr m:val="["/>
            <m:endChr m:val="]"/>
            <m:sepChr m:val=""/>
            <m:grow/>
          </m:dPr>
          <m:e>
            <m:r>
              <m:t>Y</m:t>
            </m:r>
            <m:r>
              <m:rPr>
                <m:sty m:val="p"/>
              </m:rPr>
              <m:t>|</m:t>
            </m:r>
            <m:r>
              <m:t>T</m:t>
            </m:r>
            <m:r>
              <m:rPr>
                <m:sty m:val="p"/>
              </m:rPr>
              <m:t>=</m:t>
            </m:r>
            <m:r>
              <m:t>1</m:t>
            </m:r>
          </m:e>
        </m:d>
        <m:r>
          <m:rPr>
            <m:sty m:val="p"/>
          </m:rPr>
          <m:t>−</m:t>
        </m:r>
        <m:r>
          <m:t>E</m:t>
        </m:r>
        <m:d>
          <m:dPr>
            <m:begChr m:val="["/>
            <m:endChr m:val="]"/>
            <m:sepChr m:val=""/>
            <m:grow/>
          </m:dPr>
          <m:e>
            <m:r>
              <m:t>Y</m:t>
            </m:r>
            <m:r>
              <m:rPr>
                <m:sty m:val="p"/>
              </m:rPr>
              <m:t>|</m:t>
            </m:r>
            <m:r>
              <m:t>T</m:t>
            </m:r>
            <m:r>
              <m:rPr>
                <m:sty m:val="p"/>
              </m:rPr>
              <m:t>=</m:t>
            </m:r>
            <m:r>
              <m:t>2</m:t>
            </m:r>
          </m:e>
        </m:d>
      </m:oMath>
      <w:r>
        <w:t xml:space="preserve">, where</w:t>
      </w:r>
      <w:r>
        <w:t xml:space="preserve"> </w:t>
      </w:r>
      <m:oMath>
        <m:r>
          <m:t>E</m:t>
        </m:r>
        <m:d>
          <m:dPr>
            <m:begChr m:val="["/>
            <m:endChr m:val="]"/>
            <m:sepChr m:val=""/>
            <m:grow/>
          </m:dPr>
          <m:e>
            <m:r>
              <m:rPr>
                <m:sty m:val="p"/>
              </m:rPr>
              <m:t>⋅</m:t>
            </m:r>
          </m:e>
        </m:d>
      </m:oMath>
      <w:r>
        <w:t xml:space="preserve"> </w:t>
      </w:r>
      <w:r>
        <w:t xml:space="preserve">denotes the expected value. An example of this approach is seen in</w:t>
      </w:r>
      <w:r>
        <w:t xml:space="preserve"> </w:t>
      </w:r>
      <w:r>
        <w:t xml:space="preserve">Jones et al. (2019)</w:t>
      </w:r>
      <w:r>
        <w:t xml:space="preserve">.</w:t>
      </w:r>
    </w:p>
    <w:p>
      <w:pPr>
        <w:pStyle w:val="BodyText"/>
      </w:pPr>
      <w:r>
        <w:t xml:space="preserve">Researchers then proceed to identify the estimands.</w:t>
      </w:r>
      <w:r>
        <w:t xml:space="preserve"> </w:t>
      </w:r>
      <w:r>
        <w:rPr>
          <w:i/>
          <w:iCs/>
        </w:rPr>
        <w:t xml:space="preserve">Identification</w:t>
      </w:r>
      <w:r>
        <w:t xml:space="preserve"> </w:t>
      </w:r>
      <w:r>
        <w:t xml:space="preserve">refers to the process of accurately computing an estimand using an estimator. An</w:t>
      </w:r>
      <w:r>
        <w:t xml:space="preserve"> </w:t>
      </w:r>
      <w:r>
        <w:rPr>
          <w:i/>
          <w:iCs/>
        </w:rPr>
        <w:t xml:space="preserve">estimator</w:t>
      </w:r>
      <w:r>
        <w:t xml:space="preserve"> </w:t>
      </w:r>
      <w:r>
        <w:t xml:space="preserve">is a method or function that maps data into an estimate</w:t>
      </w:r>
      <w:r>
        <w:t xml:space="preserve"> </w:t>
      </w:r>
      <w:r>
        <w:t xml:space="preserve">(Neal 2020)</w:t>
      </w:r>
      <w:r>
        <w:t xml:space="preserve">.</w:t>
      </w:r>
      <w:r>
        <w:t xml:space="preserve"> </w:t>
      </w:r>
      <w:r>
        <w:rPr>
          <w:i/>
          <w:iCs/>
        </w:rPr>
        <w:t xml:space="preserve">Estimates</w:t>
      </w:r>
      <w:r>
        <w:t xml:space="preserve"> </w:t>
      </w:r>
      <w:r>
        <w:t xml:space="preserve">are numerical values that approximate the estimand and are derived through</w:t>
      </w:r>
      <w:r>
        <w:t xml:space="preserve"> </w:t>
      </w:r>
      <w:r>
        <w:rPr>
          <w:i/>
          <w:iCs/>
        </w:rPr>
        <w:t xml:space="preserve">estimation</w:t>
      </w:r>
      <w:r>
        <w:t xml:space="preserve">, which refers to the process of integrating data with an estimator</w:t>
      </w:r>
      <w:r>
        <w:t xml:space="preserve"> </w:t>
      </w:r>
      <w:r>
        <w:t xml:space="preserve">(Everitt and Skrondal 2010)</w:t>
      </w:r>
      <w:r>
        <w:t xml:space="preserve">. Although various methods can approximate an estimand, researchers prioritize estimators with desirable properties that ensure the accuracy of estimates. For instance, the Z-test is an estimator known for its effectiveness in comparing two proportions, yielding accurate estimates when its underlying assumptions are met</w:t>
      </w:r>
      <w:r>
        <w:t xml:space="preserve"> </w:t>
      </w:r>
      <w:r>
        <w:t xml:space="preserve">(Kanji 2006)</w:t>
      </w:r>
      <w:r>
        <w:t xml:space="preserve">. The Z-test is expressed as a signal-to-noise ratio:</w:t>
      </w:r>
      <w:r>
        <w:t xml:space="preserve"> </w:t>
      </w:r>
      <m:oMath>
        <m:r>
          <m:t>Z</m:t>
        </m:r>
        <m:r>
          <m:rPr>
            <m:sty m:val="p"/>
          </m:rPr>
          <m:t>=</m:t>
        </m:r>
        <m:d>
          <m:dPr>
            <m:begChr m:val="("/>
            <m:endChr m:val=")"/>
            <m:sepChr m:val=""/>
            <m:grow/>
          </m:dPr>
          <m:e>
            <m:sSub>
              <m:e>
                <m:acc>
                  <m:accPr>
                    <m:chr m:val="̂"/>
                  </m:accPr>
                  <m:e>
                    <m:r>
                      <m:t>p</m:t>
                    </m:r>
                  </m:e>
                </m:acc>
              </m:e>
              <m:sub>
                <m:r>
                  <m:t>1</m:t>
                </m:r>
              </m:sub>
            </m:sSub>
            <m:r>
              <m:rPr>
                <m:sty m:val="p"/>
              </m:rPr>
              <m:t>−</m:t>
            </m:r>
            <m:sSub>
              <m:e>
                <m:acc>
                  <m:accPr>
                    <m:chr m:val="̂"/>
                  </m:accPr>
                  <m:e>
                    <m:r>
                      <m:t>p</m:t>
                    </m:r>
                  </m:e>
                </m:acc>
              </m:e>
              <m:sub>
                <m:r>
                  <m:t>2</m:t>
                </m:r>
              </m:sub>
            </m:sSub>
          </m:e>
        </m:d>
        <m:r>
          <m:rPr>
            <m:sty m:val="p"/>
          </m:rPr>
          <m:t>/</m:t>
        </m:r>
        <m:sSub>
          <m:e>
            <m:acc>
              <m:accPr>
                <m:chr m:val="̂"/>
              </m:accPr>
              <m:e>
                <m:r>
                  <m:t>s</m:t>
                </m:r>
              </m:e>
            </m:acc>
          </m:e>
          <m:sub>
            <m:r>
              <m:t>p</m:t>
            </m:r>
          </m:sub>
        </m:sSub>
      </m:oMath>
      <w:r>
        <w:t xml:space="preserve">. The signal is the difference between the group sample proportions,</w:t>
      </w:r>
      <w:r>
        <w:t xml:space="preserve"> </w:t>
      </w:r>
      <m:oMath>
        <m:sSub>
          <m:e>
            <m:acc>
              <m:accPr>
                <m:chr m:val="̂"/>
              </m:accPr>
              <m:e>
                <m:r>
                  <m:t>p</m:t>
                </m:r>
              </m:e>
            </m:acc>
          </m:e>
          <m:sub>
            <m:r>
              <m:t>1</m:t>
            </m:r>
          </m:sub>
        </m:sSub>
        <m:r>
          <m:rPr>
            <m:sty m:val="p"/>
          </m:rPr>
          <m:t>=</m:t>
        </m:r>
        <m:nary>
          <m:naryPr>
            <m:chr m:val="∑"/>
            <m:limLoc m:val="undOvr"/>
            <m:subHide m:val="off"/>
            <m:supHide m:val="off"/>
          </m:naryPr>
          <m:sub>
            <m:r>
              <m:t>i</m:t>
            </m:r>
            <m:r>
              <m:rPr>
                <m:sty m:val="p"/>
              </m:rPr>
              <m:t>=</m:t>
            </m:r>
            <m:r>
              <m:t>1</m:t>
            </m:r>
          </m:sub>
          <m:sup>
            <m:sSub>
              <m:e>
                <m:r>
                  <m:t>n</m:t>
                </m:r>
              </m:e>
              <m:sub>
                <m:r>
                  <m:t>1</m:t>
                </m:r>
              </m:sub>
            </m:sSub>
          </m:sup>
          <m:e>
            <m:sSub>
              <m:e>
                <m:r>
                  <m:t>Y</m:t>
                </m:r>
              </m:e>
              <m:sub>
                <m:r>
                  <m:t>i</m:t>
                </m:r>
              </m:sub>
            </m:sSub>
            <m:r>
              <m:rPr>
                <m:sty m:val="p"/>
              </m:rPr>
              <m:t>/</m:t>
            </m:r>
            <m:sSub>
              <m:e>
                <m:r>
                  <m:t>n</m:t>
                </m:r>
              </m:e>
              <m:sub>
                <m:r>
                  <m:t>1</m:t>
                </m:r>
              </m:sub>
            </m:sSub>
          </m:e>
        </m:nary>
      </m:oMath>
      <w:r>
        <w:t xml:space="preserve"> </w:t>
      </w:r>
      <w:r>
        <w:t xml:space="preserve">and</w:t>
      </w:r>
      <w:r>
        <w:t xml:space="preserve"> </w:t>
      </w:r>
      <m:oMath>
        <m:sSub>
          <m:e>
            <m:acc>
              <m:accPr>
                <m:chr m:val="̂"/>
              </m:accPr>
              <m:e>
                <m:r>
                  <m:t>p</m:t>
                </m:r>
              </m:e>
            </m:acc>
          </m:e>
          <m:sub>
            <m:r>
              <m:t>2</m:t>
            </m:r>
          </m:sub>
        </m:sSub>
        <m:r>
          <m:rPr>
            <m:sty m:val="p"/>
          </m:rPr>
          <m:t>=</m:t>
        </m:r>
        <m:nary>
          <m:naryPr>
            <m:chr m:val="∑"/>
            <m:limLoc m:val="undOvr"/>
            <m:subHide m:val="off"/>
            <m:supHide m:val="off"/>
          </m:naryPr>
          <m:sub>
            <m:r>
              <m:t>i</m:t>
            </m:r>
            <m:r>
              <m:rPr>
                <m:sty m:val="p"/>
              </m:rPr>
              <m:t>=</m:t>
            </m:r>
            <m:r>
              <m:t>1</m:t>
            </m:r>
          </m:sub>
          <m:sup>
            <m:sSub>
              <m:e>
                <m:r>
                  <m:t>n</m:t>
                </m:r>
              </m:e>
              <m:sub>
                <m:r>
                  <m:t>2</m:t>
                </m:r>
              </m:sub>
            </m:sSub>
          </m:sup>
          <m:e>
            <m:sSub>
              <m:e>
                <m:r>
                  <m:t>Y</m:t>
                </m:r>
              </m:e>
              <m:sub>
                <m:r>
                  <m:t>i</m:t>
                </m:r>
              </m:sub>
            </m:sSub>
            <m:r>
              <m:rPr>
                <m:sty m:val="p"/>
              </m:rPr>
              <m:t>/</m:t>
            </m:r>
            <m:sSub>
              <m:e>
                <m:r>
                  <m:t>n</m:t>
                </m:r>
              </m:e>
              <m:sub>
                <m:r>
                  <m:t>2</m:t>
                </m:r>
              </m:sub>
            </m:sSub>
          </m:e>
        </m:nary>
      </m:oMath>
      <w:r>
        <w:t xml:space="preserve">, analogous to</w:t>
      </w:r>
      <w:r>
        <w:t xml:space="preserve"> </w:t>
      </w:r>
      <m:oMath>
        <m:r>
          <m:t>E</m:t>
        </m:r>
        <m:d>
          <m:dPr>
            <m:begChr m:val="["/>
            <m:endChr m:val="]"/>
            <m:sepChr m:val=""/>
            <m:grow/>
          </m:dPr>
          <m:e>
            <m:r>
              <m:t>Y</m:t>
            </m:r>
            <m:r>
              <m:rPr>
                <m:sty m:val="p"/>
              </m:rPr>
              <m:t>|</m:t>
            </m:r>
            <m:r>
              <m:t>T</m:t>
            </m:r>
            <m:r>
              <m:rPr>
                <m:sty m:val="p"/>
              </m:rPr>
              <m:t>=</m:t>
            </m:r>
            <m:r>
              <m:t>1</m:t>
            </m:r>
          </m:e>
        </m:d>
      </m:oMath>
      <w:r>
        <w:t xml:space="preserve"> </w:t>
      </w:r>
      <w:r>
        <w:t xml:space="preserve">and</w:t>
      </w:r>
      <w:r>
        <w:t xml:space="preserve"> </w:t>
      </w:r>
      <m:oMath>
        <m:r>
          <m:t>E</m:t>
        </m:r>
        <m:d>
          <m:dPr>
            <m:begChr m:val="["/>
            <m:endChr m:val="]"/>
            <m:sepChr m:val=""/>
            <m:grow/>
          </m:dPr>
          <m:e>
            <m:r>
              <m:t>Y</m:t>
            </m:r>
            <m:r>
              <m:rPr>
                <m:sty m:val="p"/>
              </m:rPr>
              <m:t>|</m:t>
            </m:r>
            <m:r>
              <m:t>T</m:t>
            </m:r>
            <m:r>
              <m:rPr>
                <m:sty m:val="p"/>
              </m:rPr>
              <m:t>=</m:t>
            </m:r>
            <m:r>
              <m:t>2</m:t>
            </m:r>
          </m:e>
        </m:d>
      </m:oMath>
      <w:r>
        <w:t xml:space="preserve">, respectively. The noise</w:t>
      </w:r>
      <w:r>
        <w:t xml:space="preserve"> </w:t>
      </w:r>
      <m:oMath>
        <m:sSub>
          <m:e>
            <m:acc>
              <m:accPr>
                <m:chr m:val="̂"/>
              </m:accPr>
              <m:e>
                <m:r>
                  <m:t>s</m:t>
                </m:r>
              </m:e>
            </m:acc>
          </m:e>
          <m:sub>
            <m:r>
              <m:t>p</m:t>
            </m:r>
          </m:sub>
        </m:sSub>
      </m:oMath>
      <w:r>
        <w:t xml:space="preserve"> </w:t>
      </w:r>
      <w:r>
        <w:t xml:space="preserve">is the unpooled sample variability observed between the two groups.</w:t>
      </w:r>
    </w:p>
    <w:p>
      <w:pPr>
        <w:pStyle w:val="BodyText"/>
      </w:pPr>
      <w:r>
        <w:t xml:space="preserve">However, many studies aim to understand the mechanisms underlying specific data and also seek to establish causal relationships rather than merely infer associations. In the earlier example, the differences between groups obtained using the Z-test, referred to as the associational estimate, can be interpreted as causal because the data were collected through a randomized experiment. Randomized experiments enable the causal interpretation of associational estimates by ensuring several key properties, including common support, no interference, and consistency</w:t>
      </w:r>
      <w:r>
        <w:t xml:space="preserve"> </w:t>
      </w:r>
      <w:r>
        <w:t xml:space="preserve">(Morgan and Winship 2014; Neal 2020)</w:t>
      </w:r>
      <w:r>
        <w:t xml:space="preserve">. The most crucial property, however, is that randomization effectively eliminates confounding.</w:t>
      </w:r>
      <w:r>
        <w:t xml:space="preserve"> </w:t>
      </w:r>
      <w:r>
        <w:rPr>
          <w:i/>
          <w:iCs/>
        </w:rPr>
        <w:t xml:space="preserve">Confounding</w:t>
      </w:r>
      <w:r>
        <w:t xml:space="preserve"> </w:t>
      </w:r>
      <w:r>
        <w:t xml:space="preserve">occurs when an external variable influences both the outcome and the variable of interest, leading to spurious associations</w:t>
      </w:r>
      <w:r>
        <w:t xml:space="preserve"> </w:t>
      </w:r>
      <w:r>
        <w:t xml:space="preserve">(Everitt and Skrondal 2010)</w:t>
      </w:r>
      <w:r>
        <w:t xml:space="preserve">. Randomization mitigates this issue by decoupling the intervention assignment mechanism, such as assigning students to different groups, from other variables and outcomes</w:t>
      </w:r>
      <w:r>
        <w:t xml:space="preserve"> </w:t>
      </w:r>
      <w:r>
        <w:t xml:space="preserve">(Morgan and Winship 2014; Neal 2020)</w:t>
      </w:r>
      <w:r>
        <w:t xml:space="preserve">.</w:t>
      </w:r>
    </w:p>
    <w:p>
      <w:pPr>
        <w:pStyle w:val="BodyText"/>
      </w:pPr>
      <w:r>
        <w:t xml:space="preserve">Experiments are widely recognized as the gold standard in evidence-based science</w:t>
      </w:r>
      <w:r>
        <w:t xml:space="preserve"> </w:t>
      </w:r>
      <w:r>
        <w:t xml:space="preserve">(Hariton and Locascio 2018; Hansson 2014)</w:t>
      </w:r>
      <w:r>
        <w:t xml:space="preserve">. However, researchers often face constraints that limit their ability to conduct experimental studies. These constraints include ethical concerns, such as the assignment of individuals to potentially harmful interventions, and practical limitations, such as the infeasibility of, for example, assigning individuals to genetic modifications or physical impairments</w:t>
      </w:r>
      <w:r>
        <w:t xml:space="preserve"> </w:t>
      </w:r>
      <w:r>
        <w:t xml:space="preserve">(Neal 2020)</w:t>
      </w:r>
      <w:r>
        <w:t xml:space="preserve">. In these situations, causal inference provides a valuable alternative for generating causal estimates, particularly when the goal is to understand the mechanisms underlying specific data. Moreover, the framework offers significant theoretical insights that enhance the design of observational and experimental studies</w:t>
      </w:r>
      <w:r>
        <w:t xml:space="preserve"> </w:t>
      </w:r>
      <w:r>
        <w:t xml:space="preserve">(McElreath 2020)</w:t>
      </w:r>
      <w:r>
        <w:t xml:space="preserve">.</w:t>
      </w:r>
    </w:p>
    <w:p>
      <w:pPr>
        <w:pStyle w:val="BodyText"/>
      </w:pPr>
      <w:r>
        <w:t xml:space="preserve">Unlike classical statistical modeling, which focuses primarily on summarizing data and inferring associations,</w:t>
      </w:r>
      <w:r>
        <w:t xml:space="preserve"> </w:t>
      </w:r>
      <w:r>
        <w:rPr>
          <w:i/>
          <w:iCs/>
        </w:rPr>
        <w:t xml:space="preserve">causal inference</w:t>
      </w:r>
      <w:r>
        <w:t xml:space="preserve"> </w:t>
      </w:r>
      <w:r>
        <w:t xml:space="preserve">is a framework designed to identify causes and estimate their effects using data</w:t>
      </w:r>
      <w:r>
        <w:t xml:space="preserve"> </w:t>
      </w:r>
      <w:r>
        <w:t xml:space="preserve">(Shaughnessy, Zechmeister, and Zechmeister 2010; Neal 2020)</w:t>
      </w:r>
      <w:r>
        <w:t xml:space="preserve">. This framework employs rigorous mathematical techniques to address the fundamental problem of causality</w:t>
      </w:r>
      <w:r>
        <w:t xml:space="preserve"> </w:t>
      </w:r>
      <w:r>
        <w:t xml:space="preserve">(Pearl 2009)</w:t>
      </w:r>
      <w:r>
        <w:t xml:space="preserve">, which is essential for understanding and defining causal effects. The</w:t>
      </w:r>
      <w:r>
        <w:t xml:space="preserve"> </w:t>
      </w:r>
      <w:r>
        <w:rPr>
          <w:i/>
          <w:iCs/>
        </w:rPr>
        <w:t xml:space="preserve">fundamental problem of causality</w:t>
      </w:r>
      <w:r>
        <w:t xml:space="preserve"> </w:t>
      </w:r>
      <w:r>
        <w:t xml:space="preserve">centers on answering the question,</w:t>
      </w:r>
      <w:r>
        <w:t xml:space="preserve"> </w:t>
      </w:r>
      <w:r>
        <w:t xml:space="preserve">“</w:t>
      </w:r>
      <w:r>
        <w:t xml:space="preserve">What would have happened</w:t>
      </w:r>
      <w:r>
        <w:t xml:space="preserve"> </w:t>
      </w:r>
      <w:r>
        <w:t xml:space="preserve">‘</w:t>
      </w:r>
      <w:r>
        <w:t xml:space="preserve">in the world</w:t>
      </w:r>
      <w:r>
        <w:t xml:space="preserve">’</w:t>
      </w:r>
      <w:r>
        <w:t xml:space="preserve"> </w:t>
      </w:r>
      <w:r>
        <w:t xml:space="preserve">under different circumstances?</w:t>
      </w:r>
      <w:r>
        <w:t xml:space="preserve">”</w:t>
      </w:r>
      <w:r>
        <w:t xml:space="preserve"> </w:t>
      </w:r>
      <w:r>
        <w:t xml:space="preserve">a concept known as counterfactuals.</w:t>
      </w:r>
      <w:r>
        <w:t xml:space="preserve"> </w:t>
      </w:r>
      <w:r>
        <w:rPr>
          <w:i/>
          <w:iCs/>
        </w:rPr>
        <w:t xml:space="preserve">Counterfactuals</w:t>
      </w:r>
      <w:r>
        <w:t xml:space="preserve"> </w:t>
      </w:r>
      <w:r>
        <w:t xml:space="preserve">represent hypothetical scenarios that are</w:t>
      </w:r>
      <w:r>
        <w:t xml:space="preserve"> </w:t>
      </w:r>
      <w:r>
        <w:rPr>
          <w:i/>
          <w:iCs/>
        </w:rPr>
        <w:t xml:space="preserve">contrary to fact</w:t>
      </w:r>
      <w:r>
        <w:t xml:space="preserve">, where alternative outcomes resulting from a specific cause are neither observed nor observable</w:t>
      </w:r>
      <w:r>
        <w:t xml:space="preserve"> </w:t>
      </w:r>
      <w:r>
        <w:t xml:space="preserve">(Neal 2020; Counterfactual 2024)</w:t>
      </w:r>
      <w:r>
        <w:t xml:space="preserve">.</w:t>
      </w:r>
    </w:p>
    <w:p>
      <w:pPr>
        <w:pStyle w:val="BodyText"/>
      </w:pPr>
      <w:r>
        <w:t xml:space="preserve">Although a comprehensive discussion of causes and counterfactuals exceeds the scope of this document, a brief overview of how the framework addresses the fundamental problem of causality is possible using the previous example. The framework starts by defining</w:t>
      </w:r>
      <w:r>
        <w:t xml:space="preserve"> </w:t>
      </w:r>
      <w:r>
        <w:rPr>
          <w:i/>
          <w:iCs/>
        </w:rPr>
        <w:t xml:space="preserve">individual causal effects</w:t>
      </w:r>
      <w:r>
        <w:t xml:space="preserve"> </w:t>
      </w:r>
      <w:r>
        <w:t xml:space="preserve">(ICE) as the difference between students’ observed and unobserved potential outcomes:</w:t>
      </w:r>
      <w:r>
        <w:t xml:space="preserve"> </w:t>
      </w:r>
      <m:oMath>
        <m:sSub>
          <m:e>
            <m:r>
              <m:t>τ</m:t>
            </m:r>
          </m:e>
          <m:sub>
            <m:r>
              <m:t>i</m:t>
            </m:r>
          </m:sub>
        </m:sSub>
        <m:r>
          <m:rPr>
            <m:sty m:val="p"/>
          </m:rPr>
          <m:t>=</m:t>
        </m:r>
        <m:d>
          <m:dPr>
            <m:begChr m:val="("/>
            <m:endChr m:val=")"/>
            <m:sepChr m:val=""/>
            <m:grow/>
          </m:dPr>
          <m:e>
            <m:sSub>
              <m:e>
                <m:r>
                  <m:t>Y</m:t>
                </m:r>
              </m:e>
              <m:sub>
                <m:r>
                  <m:t>i</m:t>
                </m:r>
              </m:sub>
            </m:sSub>
            <m:r>
              <m:rPr>
                <m:sty m:val="p"/>
              </m:rPr>
              <m:t>|</m:t>
            </m:r>
            <m:sSub>
              <m:e>
                <m:r>
                  <m:t>T</m:t>
                </m:r>
              </m:e>
              <m:sub>
                <m:r>
                  <m:t>i</m:t>
                </m:r>
              </m:sub>
            </m:sSub>
            <m:r>
              <m:rPr>
                <m:sty m:val="p"/>
              </m:rPr>
              <m:t>=</m:t>
            </m:r>
            <m:r>
              <m:t>1</m:t>
            </m:r>
          </m:e>
        </m:d>
        <m:r>
          <m:rPr>
            <m:sty m:val="p"/>
          </m:rPr>
          <m:t>−</m:t>
        </m:r>
        <m:d>
          <m:dPr>
            <m:begChr m:val="("/>
            <m:endChr m:val=")"/>
            <m:sepChr m:val=""/>
            <m:grow/>
          </m:dPr>
          <m:e>
            <m:sSub>
              <m:e>
                <m:r>
                  <m:t>Y</m:t>
                </m:r>
              </m:e>
              <m:sub>
                <m:r>
                  <m:t>i</m:t>
                </m:r>
              </m:sub>
            </m:sSub>
            <m:r>
              <m:rPr>
                <m:sty m:val="p"/>
              </m:rPr>
              <m:t>|</m:t>
            </m:r>
            <m:sSub>
              <m:e>
                <m:r>
                  <m:t>T</m:t>
                </m:r>
              </m:e>
              <m:sub>
                <m:r>
                  <m:t>i</m:t>
                </m:r>
              </m:sub>
            </m:sSub>
            <m:r>
              <m:rPr>
                <m:sty m:val="p"/>
              </m:rPr>
              <m:t>=</m:t>
            </m:r>
            <m:r>
              <m:t>2</m:t>
            </m:r>
          </m:e>
        </m:d>
      </m:oMath>
      <w:r>
        <w:t xml:space="preserve">. Notice once a student is assigned to</w:t>
      </w:r>
      <w:r>
        <w:t xml:space="preserve"> </w:t>
      </w:r>
      <m:oMath>
        <m:sSub>
          <m:e>
            <m:r>
              <m:t>T</m:t>
            </m:r>
          </m:e>
          <m:sub>
            <m:r>
              <m:t>i</m:t>
            </m:r>
          </m:sub>
        </m:sSub>
        <m:r>
          <m:rPr>
            <m:sty m:val="p"/>
          </m:rPr>
          <m:t>=</m:t>
        </m:r>
        <m:r>
          <m:t>1</m:t>
        </m:r>
      </m:oMath>
      <w:r>
        <w:t xml:space="preserve">, the potential outcome under</w:t>
      </w:r>
      <w:r>
        <w:t xml:space="preserve"> </w:t>
      </w:r>
      <m:oMath>
        <m:sSub>
          <m:e>
            <m:r>
              <m:t>T</m:t>
            </m:r>
          </m:e>
          <m:sub>
            <m:r>
              <m:t>i</m:t>
            </m:r>
          </m:sub>
        </m:sSub>
        <m:r>
          <m:rPr>
            <m:sty m:val="p"/>
          </m:rPr>
          <m:t>=</m:t>
        </m:r>
        <m:r>
          <m:t>2</m:t>
        </m:r>
      </m:oMath>
      <w:r>
        <w:t xml:space="preserve"> </w:t>
      </w:r>
      <w:r>
        <w:t xml:space="preserve">is no longer observed nor observable, and is thus termed a</w:t>
      </w:r>
      <w:r>
        <w:t xml:space="preserve"> </w:t>
      </w:r>
      <w:r>
        <w:rPr>
          <w:i/>
          <w:iCs/>
        </w:rPr>
        <w:t xml:space="preserve">counterfactual</w:t>
      </w:r>
      <w:r>
        <w:t xml:space="preserve">. To address the challenge posed by counterfactuals, the framework extends the ICE to</w:t>
      </w:r>
      <w:r>
        <w:t xml:space="preserve"> </w:t>
      </w:r>
      <w:r>
        <w:rPr>
          <w:i/>
          <w:iCs/>
        </w:rPr>
        <w:t xml:space="preserve">average causal effects</w:t>
      </w:r>
      <w:r>
        <w:t xml:space="preserve"> </w:t>
      </w:r>
      <w:r>
        <w:t xml:space="preserve">(ACE). The ACE is defined as</w:t>
      </w:r>
      <w:r>
        <w:t xml:space="preserve"> </w:t>
      </w:r>
      <m:oMath>
        <m:r>
          <m:t>τ</m:t>
        </m:r>
        <m:r>
          <m:rPr>
            <m:sty m:val="p"/>
          </m:rPr>
          <m:t>=</m:t>
        </m:r>
        <m:r>
          <m:t>E</m:t>
        </m:r>
        <m:d>
          <m:dPr>
            <m:begChr m:val="["/>
            <m:endChr m:val="]"/>
            <m:sepChr m:val=""/>
            <m:grow/>
          </m:dPr>
          <m:e>
            <m:sSub>
              <m:e>
                <m:r>
                  <m:t>τ</m:t>
                </m:r>
              </m:e>
              <m:sub>
                <m:r>
                  <m:t>i</m:t>
                </m:r>
              </m:sub>
            </m:sSub>
          </m:e>
        </m:d>
        <m:r>
          <m:rPr>
            <m:sty m:val="p"/>
          </m:rPr>
          <m:t>=</m:t>
        </m:r>
        <m:r>
          <m:t>E</m:t>
        </m:r>
        <m:d>
          <m:dPr>
            <m:begChr m:val="["/>
            <m:endChr m:val="]"/>
            <m:sepChr m:val=""/>
            <m:grow/>
          </m:dPr>
          <m:e>
            <m:sSub>
              <m:e>
                <m:r>
                  <m:t>Y</m:t>
                </m:r>
              </m:e>
              <m:sub>
                <m:r>
                  <m:t>i</m:t>
                </m:r>
              </m:sub>
            </m:sSub>
            <m:r>
              <m:rPr>
                <m:sty m:val="p"/>
              </m:rPr>
              <m:t>|</m:t>
            </m:r>
            <m:sSub>
              <m:e>
                <m:r>
                  <m:t>T</m:t>
                </m:r>
              </m:e>
              <m:sub>
                <m:r>
                  <m:t>i</m:t>
                </m:r>
              </m:sub>
            </m:sSub>
            <m:r>
              <m:rPr>
                <m:sty m:val="p"/>
              </m:rPr>
              <m:t>=</m:t>
            </m:r>
            <m:r>
              <m:t>1</m:t>
            </m:r>
          </m:e>
        </m:d>
        <m:r>
          <m:rPr>
            <m:sty m:val="p"/>
          </m:rPr>
          <m:t>−</m:t>
        </m:r>
        <m:r>
          <m:t>E</m:t>
        </m:r>
        <m:d>
          <m:dPr>
            <m:begChr m:val="["/>
            <m:endChr m:val="]"/>
            <m:sepChr m:val=""/>
            <m:grow/>
          </m:dPr>
          <m:e>
            <m:sSub>
              <m:e>
                <m:r>
                  <m:t>Y</m:t>
                </m:r>
              </m:e>
              <m:sub>
                <m:r>
                  <m:t>i</m:t>
                </m:r>
              </m:sub>
            </m:sSub>
            <m:r>
              <m:rPr>
                <m:sty m:val="p"/>
              </m:rPr>
              <m:t>|</m:t>
            </m:r>
            <m:sSub>
              <m:e>
                <m:r>
                  <m:t>T</m:t>
                </m:r>
              </m:e>
              <m:sub>
                <m:r>
                  <m:t>i</m:t>
                </m:r>
              </m:sub>
            </m:sSub>
            <m:r>
              <m:rPr>
                <m:sty m:val="p"/>
              </m:rPr>
              <m:t>=</m:t>
            </m:r>
            <m:r>
              <m:t>2</m:t>
            </m:r>
          </m:e>
        </m:d>
      </m:oMath>
      <w:r>
        <w:t xml:space="preserve">, and represents the difference between the average of observed potential outcomes and counterfactuals in the sample. Finally, akin to experimental studies, the ACE is identified from associational estimates by ensuring the absence of confounding. This is accomplished by statistically conditioning on a</w:t>
      </w:r>
      <w:r>
        <w:t xml:space="preserve"> </w:t>
      </w:r>
      <w:r>
        <w:rPr>
          <w:i/>
          <w:iCs/>
        </w:rPr>
        <w:t xml:space="preserve">sufficient adjustment set</w:t>
      </w:r>
      <w:r>
        <w:t xml:space="preserve"> </w:t>
      </w:r>
      <w:r>
        <w:t xml:space="preserve">of variables (</w:t>
      </w:r>
      <m:oMath>
        <m:r>
          <m:t>X</m:t>
        </m:r>
      </m:oMath>
      <w:r>
        <w:t xml:space="preserve">). Consequently, the ACE is expressed as</w:t>
      </w:r>
      <w:r>
        <w:t xml:space="preserve"> </w:t>
      </w:r>
      <m:oMath>
        <m:r>
          <m:t>τ</m:t>
        </m:r>
        <m:r>
          <m:rPr>
            <m:sty m:val="p"/>
          </m:rPr>
          <m:t>=</m:t>
        </m:r>
        <m:sSub>
          <m:e>
            <m:r>
              <m:t>E</m:t>
            </m:r>
          </m:e>
          <m:sub>
            <m:r>
              <m:t>X</m:t>
            </m:r>
          </m:sub>
        </m:sSub>
        <m:d>
          <m:dPr>
            <m:begChr m:val="["/>
            <m:endChr m:val="]"/>
            <m:sepChr m:val=""/>
            <m:grow/>
          </m:dPr>
          <m:e>
            <m:r>
              <m:t>E</m:t>
            </m:r>
            <m:d>
              <m:dPr>
                <m:begChr m:val="["/>
                <m:endChr m:val="]"/>
                <m:sepChr m:val=""/>
                <m:grow/>
              </m:dPr>
              <m:e>
                <m:sSub>
                  <m:e>
                    <m:r>
                      <m:t>Y</m:t>
                    </m:r>
                  </m:e>
                  <m:sub>
                    <m:r>
                      <m:t>i</m:t>
                    </m:r>
                  </m:sub>
                </m:sSub>
                <m:r>
                  <m:rPr>
                    <m:sty m:val="p"/>
                  </m:rPr>
                  <m:t>|</m:t>
                </m:r>
                <m:sSub>
                  <m:e>
                    <m:r>
                      <m:t>T</m:t>
                    </m:r>
                  </m:e>
                  <m:sub>
                    <m:r>
                      <m:t>i</m:t>
                    </m:r>
                  </m:sub>
                </m:sSub>
                <m:r>
                  <m:rPr>
                    <m:sty m:val="p"/>
                  </m:rPr>
                  <m:t>=</m:t>
                </m:r>
                <m:r>
                  <m:t>1</m:t>
                </m:r>
                <m:r>
                  <m:rPr>
                    <m:sty m:val="p"/>
                  </m:rPr>
                  <m:t>,</m:t>
                </m:r>
                <m:r>
                  <m:t>X</m:t>
                </m:r>
              </m:e>
            </m:d>
            <m:r>
              <m:rPr>
                <m:sty m:val="p"/>
              </m:rPr>
              <m:t>−</m:t>
            </m:r>
            <m:r>
              <m:t>E</m:t>
            </m:r>
            <m:d>
              <m:dPr>
                <m:begChr m:val="["/>
                <m:endChr m:val="]"/>
                <m:sepChr m:val=""/>
                <m:grow/>
              </m:dPr>
              <m:e>
                <m:sSub>
                  <m:e>
                    <m:r>
                      <m:t>Y</m:t>
                    </m:r>
                  </m:e>
                  <m:sub>
                    <m:r>
                      <m:t>i</m:t>
                    </m:r>
                  </m:sub>
                </m:sSub>
                <m:r>
                  <m:rPr>
                    <m:sty m:val="p"/>
                  </m:rPr>
                  <m:t>|</m:t>
                </m:r>
                <m:sSub>
                  <m:e>
                    <m:r>
                      <m:t>T</m:t>
                    </m:r>
                  </m:e>
                  <m:sub>
                    <m:r>
                      <m:t>i</m:t>
                    </m:r>
                  </m:sub>
                </m:sSub>
                <m:r>
                  <m:rPr>
                    <m:sty m:val="p"/>
                  </m:rPr>
                  <m:t>=</m:t>
                </m:r>
                <m:r>
                  <m:t>2</m:t>
                </m:r>
                <m:r>
                  <m:rPr>
                    <m:sty m:val="p"/>
                  </m:rPr>
                  <m:t>,</m:t>
                </m:r>
                <m:r>
                  <m:t>X</m:t>
                </m:r>
              </m:e>
            </m:d>
          </m:e>
        </m:d>
      </m:oMath>
      <w:r>
        <w:t xml:space="preserve">, where</w:t>
      </w:r>
      <w:r>
        <w:t xml:space="preserve"> </w:t>
      </w:r>
      <m:oMath>
        <m:sSub>
          <m:e>
            <m:r>
              <m:t>E</m:t>
            </m:r>
          </m:e>
          <m:sub>
            <m:r>
              <m:t>X</m:t>
            </m:r>
          </m:sub>
        </m:sSub>
        <m:d>
          <m:dPr>
            <m:begChr m:val="["/>
            <m:endChr m:val="]"/>
            <m:sepChr m:val=""/>
            <m:grow/>
          </m:dPr>
          <m:e>
            <m:r>
              <m:rPr>
                <m:sty m:val="p"/>
              </m:rPr>
              <m:t>⋅</m:t>
            </m:r>
          </m:e>
        </m:d>
      </m:oMath>
      <w:r>
        <w:t xml:space="preserve"> </w:t>
      </w:r>
      <w:r>
        <w:t xml:space="preserve">denotes the marginal expected value over</w:t>
      </w:r>
      <w:r>
        <w:t xml:space="preserve"> </w:t>
      </w:r>
      <m:oMath>
        <m:r>
          <m:t>X</m:t>
        </m:r>
      </m:oMath>
      <w:r>
        <w:t xml:space="preserve"> </w:t>
      </w:r>
      <w:r>
        <w:t xml:space="preserve">(Morgan and Winship 2014)</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the ACE, but they do so in different ways</w:t>
      </w:r>
      <w:r>
        <w:t xml:space="preserve"> </w:t>
      </w:r>
      <w:r>
        <w:t xml:space="preserve">(Neal 2020)</w:t>
      </w:r>
      <w:r>
        <w:t xml:space="preserve">. The potential outcomes approach relies on counterfactual notation, whereas the structural approach employs do-calculus</w:t>
      </w:r>
      <w:r>
        <w:t xml:space="preserve"> </w:t>
      </w:r>
      <w:r>
        <w:t xml:space="preserve">(Pearl 2009)</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The structural approach, however, offers a notable advantage over the potential outcomes approach by allowing the graphical and formal representation of the ACE through directed acyclic graphs</w:t>
      </w:r>
      <w:r>
        <w:t xml:space="preserve"> </w:t>
      </w:r>
      <w:r>
        <w:t xml:space="preserve">(DAG, Pearl 2009; Pearl, Glymour, and Jewell 2016; Gross, Yellen, and Anderson 2018; Neal 2020)</w:t>
      </w:r>
      <w:r>
        <w:t xml:space="preserve">. DAGs function as heuristics, effectively conveying the presumed causal structure of a system, referred to as a</w:t>
      </w:r>
      <w:r>
        <w:t xml:space="preserve"> </w:t>
      </w:r>
      <w:r>
        <w:rPr>
          <w:i/>
          <w:iCs/>
        </w:rPr>
        <w:t xml:space="preserve">scientific model</w:t>
      </w:r>
      <w:r>
        <w:t xml:space="preserve">. They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 The Identification-Estimation flowchart in</w:t>
      </w:r>
      <w:r>
        <w:t xml:space="preserve"> </w:t>
      </w:r>
      <w:hyperlink w:anchor="fig-IEflow">
        <w:r>
          <w:rPr>
            <w:rStyle w:val="Hyperlink"/>
          </w:rPr>
          <w:t xml:space="preserve">Figure 1</w:t>
        </w:r>
      </w:hyperlink>
      <w:r>
        <w:t xml:space="preserve"> </w:t>
      </w:r>
      <w:r>
        <w:t xml:space="preserve">visually represents the process of transitioning from estimands to estimates, as well as the application of the scientific model and data to identify and estimate causal effects.</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1964012" cy="1693587"/>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1964012" cy="16935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and slightly modified from</w:t>
            </w:r>
            <w:r>
              <w:t xml:space="preserve"> </w:t>
            </w:r>
            <w:r>
              <w:t xml:space="preserve">Neal (2020, 32)</w:t>
            </w:r>
          </w:p>
          <w:bookmarkEnd w:id="24"/>
        </w:tc>
      </w:tr>
    </w:tbl>
    <w:bookmarkEnd w:id="25"/>
    <w:bookmarkStart w:id="82"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each building block individually</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71"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sdag_bb1"/>
                <w:p>
                  <w:pPr>
                    <w:pStyle w:val="Compact"/>
                    <w:jc w:val="center"/>
                    <w:jc w:val="left"/>
                  </w:pPr>
                  <w:r>
                    <w:drawing>
                      <wp:inline>
                        <wp:extent cx="1975104" cy="915467"/>
                        <wp:effectExtent b="0" l="0" r="0" t="0"/>
                        <wp:docPr descr="" title="" id="31" name="Picture"/>
                        <a:graphic>
                          <a:graphicData uri="http://schemas.openxmlformats.org/drawingml/2006/picture">
                            <pic:pic>
                              <pic:nvPicPr>
                                <pic:cNvPr descr="images/figures/sdag_bb1.png" id="32" name="Picture"/>
                                <pic:cNvPicPr>
                                  <a:picLocks noChangeArrowheads="1" noChangeAspect="1"/>
                                </pic:cNvPicPr>
                              </pic:nvPicPr>
                              <pic:blipFill>
                                <a:blip r:embed="rId30"/>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4"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8"/>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2" w:name="fig-sdag_bb2"/>
                <w:p>
                  <w:pPr>
                    <w:pStyle w:val="Compact"/>
                    <w:jc w:val="center"/>
                    <w:jc w:val="left"/>
                  </w:pPr>
                  <w:r>
                    <w:drawing>
                      <wp:inline>
                        <wp:extent cx="1975104" cy="915467"/>
                        <wp:effectExtent b="0" l="0" r="0" t="0"/>
                        <wp:docPr descr="" title="" id="40" name="Picture"/>
                        <a:graphic>
                          <a:graphicData uri="http://schemas.openxmlformats.org/drawingml/2006/picture">
                            <pic:pic>
                              <pic:nvPicPr>
                                <pic:cNvPr descr="images/figures/sdag_bb2.png" id="41" name="Picture"/>
                                <pic:cNvPicPr>
                                  <a:picLocks noChangeArrowheads="1" noChangeAspect="1"/>
                                </pic:cNvPicPr>
                              </pic:nvPicPr>
                              <pic:blipFill>
                                <a:blip r:embed="rId39"/>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4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3"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4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7"/>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1" w:name="fig-sdag_bb3"/>
                <w:p>
                  <w:pPr>
                    <w:pStyle w:val="Compact"/>
                    <w:jc w:val="center"/>
                    <w:jc w:val="left"/>
                  </w:pPr>
                  <w:r>
                    <w:drawing>
                      <wp:inline>
                        <wp:extent cx="1975104" cy="581991"/>
                        <wp:effectExtent b="0" l="0" r="0" t="0"/>
                        <wp:docPr descr="" title="" id="49" name="Picture"/>
                        <a:graphic>
                          <a:graphicData uri="http://schemas.openxmlformats.org/drawingml/2006/picture">
                            <pic:pic>
                              <pic:nvPicPr>
                                <pic:cNvPr descr="images/figures/sdag_bb3.png" id="50" name="Picture"/>
                                <pic:cNvPicPr>
                                  <a:picLocks noChangeArrowheads="1" noChangeAspect="1"/>
                                </pic:cNvPicPr>
                              </pic:nvPicPr>
                              <pic:blipFill>
                                <a:blip r:embed="rId48"/>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51"/>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2"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5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6"/>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0" w:name="fig-sdag_bb4"/>
                <w:p>
                  <w:pPr>
                    <w:pStyle w:val="Compact"/>
                    <w:jc w:val="center"/>
                    <w:jc w:val="left"/>
                  </w:pPr>
                  <w:r>
                    <w:drawing>
                      <wp:inline>
                        <wp:extent cx="1975104" cy="1063165"/>
                        <wp:effectExtent b="0" l="0" r="0" t="0"/>
                        <wp:docPr descr="" title="" id="58" name="Picture"/>
                        <a:graphic>
                          <a:graphicData uri="http://schemas.openxmlformats.org/drawingml/2006/picture">
                            <pic:pic>
                              <pic:nvPicPr>
                                <pic:cNvPr descr="images/figures/sdag_bb4.png" id="59" name="Picture"/>
                                <pic:cNvPicPr>
                                  <a:picLocks noChangeArrowheads="1" noChangeAspect="1"/>
                                </pic:cNvPicPr>
                              </pic:nvPicPr>
                              <pic:blipFill>
                                <a:blip r:embed="rId57"/>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60"/>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1"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6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9" w:name="fig-sdag_bb5"/>
                <w:p>
                  <w:pPr>
                    <w:pStyle w:val="Compact"/>
                    <w:jc w:val="center"/>
                    <w:jc w:val="left"/>
                  </w:pPr>
                  <w:r>
                    <w:drawing>
                      <wp:inline>
                        <wp:extent cx="1975104" cy="1283130"/>
                        <wp:effectExtent b="0" l="0" r="0" t="0"/>
                        <wp:docPr descr="" title="" id="67" name="Picture"/>
                        <a:graphic>
                          <a:graphicData uri="http://schemas.openxmlformats.org/drawingml/2006/picture">
                            <pic:pic>
                              <pic:nvPicPr>
                                <pic:cNvPr descr="images/figures/sdag_bb5.png" id="68" name="Picture"/>
                                <pic:cNvPicPr>
                                  <a:picLocks noChangeArrowheads="1" noChangeAspect="1"/>
                                </pic:cNvPicPr>
                              </pic:nvPicPr>
                              <pic:blipFill>
                                <a:blip r:embed="rId66"/>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0"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70"/>
              </w:tc>
            </w:tr>
          </w:tbl>
          <w:p/>
        </w:tc>
      </w:tr>
    </w:tbl>
    <w:p>
      <w:pPr>
        <w:pStyle w:val="BodyText"/>
      </w:pPr>
      <w:pPr>
        <w:spacing w:before="200"/>
        <w:pStyle w:val="ImageCaption"/>
      </w:pPr>
      <w:r>
        <w:t xml:space="preserve">Figure 2: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71"/>
    <w:p>
      <w:pPr>
        <w:pStyle w:val="BodyText"/>
      </w:pPr>
      <w:r>
        <w:t xml:space="preserve">The left panels of</w:t>
      </w:r>
      <w:r>
        <w:t xml:space="preserve"> </w:t>
      </w:r>
      <w:hyperlink w:anchor="fig-dags_scms">
        <w:r>
          <w:rPr>
            <w:rStyle w:val="Hyperlink"/>
          </w:rPr>
          <w:t xml:space="preserve">Figure 2</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w:t>
      </w:r>
      <w:r>
        <w:t xml:space="preserve"> </w:t>
      </w:r>
      <w:hyperlink w:anchor="sec-framework-flow">
        <w:r>
          <w:rPr>
            <w:rStyle w:val="Hyperlink"/>
          </w:rPr>
          <w:t xml:space="preserve">Section 2.3</w:t>
        </w:r>
      </w:hyperlink>
      <w:r>
        <w:t xml:space="preserve">. The standard representation is illustrated in the middle panels of</w:t>
      </w:r>
      <w:r>
        <w:t xml:space="preserve"> </w:t>
      </w:r>
      <w:hyperlink w:anchor="fig-dags_scms">
        <w:r>
          <w:rPr>
            <w:rStyle w:val="Hyperlink"/>
          </w:rPr>
          <w:t xml:space="preserve">Figure 2</w:t>
        </w:r>
      </w:hyperlink>
      <w:r>
        <w:t xml:space="preserve">.</w:t>
      </w:r>
    </w:p>
    <w:p>
      <w:pPr>
        <w:pStyle w:val="BodyText"/>
      </w:pPr>
      <w:r>
        <w:t xml:space="preserve">Lastly, the right panels of</w:t>
      </w:r>
      <w:r>
        <w:t xml:space="preserve"> </w:t>
      </w:r>
      <w:hyperlink w:anchor="fig-dags_scms">
        <w:r>
          <w:rPr>
            <w:rStyle w:val="Hyperlink"/>
          </w:rPr>
          <w:t xml:space="preserve">Figure 2</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w:t>
      </w:r>
      <w:r>
        <w:t xml:space="preserve"> </w:t>
      </w:r>
      <w:hyperlink w:anchor="sec-framework-flow">
        <w:r>
          <w:rPr>
            <w:rStyle w:val="Hyperlink"/>
          </w:rPr>
          <w:t xml:space="preserve">Section 2.3</w:t>
        </w:r>
      </w:hyperlink>
      <w:r>
        <w:t xml:space="preserve">.</w:t>
      </w:r>
    </w:p>
    <w:p>
      <w:pPr>
        <w:pStyle w:val="BodyText"/>
      </w:pPr>
      <w:r>
        <w:t xml:space="preserve">A careful examination of</w:t>
      </w:r>
      <w:r>
        <w:t xml:space="preserve"> </w:t>
      </w:r>
      <w:hyperlink w:anchor="fig-dags_scms">
        <w:r>
          <w:rPr>
            <w:rStyle w:val="Hyperlink"/>
          </w:rPr>
          <w:t xml:space="preserve">Figure 2</w:t>
        </w:r>
      </w:hyperlink>
      <w:r>
        <w:t xml:space="preserve"> </w:t>
      </w:r>
      <w:r>
        <w:t xml:space="preserve">highlights the assumptions underlying these building blocks. Figures</w:t>
      </w:r>
      <w:r>
        <w:t xml:space="preserve"> </w:t>
      </w:r>
      <w:hyperlink w:anchor="fig-mdag_bb1">
        <w:r>
          <w:rPr>
            <w:rStyle w:val="Hyperlink"/>
          </w:rPr>
          <w:t xml:space="preserve">2 (a)</w:t>
        </w:r>
      </w:hyperlink>
      <w:r>
        <w:t xml:space="preserve">,</w:t>
      </w:r>
      <w:r>
        <w:t xml:space="preserve"> </w:t>
      </w:r>
      <w:hyperlink w:anchor="fig-sdag_bb1">
        <w:r>
          <w:rPr>
            <w:rStyle w:val="Hyperlink"/>
          </w:rPr>
          <w:t xml:space="preserve">2 (b)</w:t>
        </w:r>
      </w:hyperlink>
      <w:r>
        <w:t xml:space="preserve">, and SCM</w:t>
      </w:r>
      <w:r>
        <w:t xml:space="preserve"> </w:t>
      </w:r>
      <w:hyperlink w:anchor="fig-scm_bb1">
        <w:r>
          <w:rPr>
            <w:rStyle w:val="Hyperlink"/>
          </w:rPr>
          <w:t xml:space="preserve">2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2 (d)</w:t>
        </w:r>
      </w:hyperlink>
      <w:r>
        <w:t xml:space="preserve">,</w:t>
      </w:r>
      <w:r>
        <w:t xml:space="preserve"> </w:t>
      </w:r>
      <w:hyperlink w:anchor="fig-sdag_bb2">
        <w:r>
          <w:rPr>
            <w:rStyle w:val="Hyperlink"/>
          </w:rPr>
          <w:t xml:space="preserve">2 (e)</w:t>
        </w:r>
      </w:hyperlink>
      <w:r>
        <w:t xml:space="preserve">, and SCM</w:t>
      </w:r>
      <w:r>
        <w:t xml:space="preserve"> </w:t>
      </w:r>
      <w:hyperlink w:anchor="fig-scm_bb2">
        <w:r>
          <w:rPr>
            <w:rStyle w:val="Hyperlink"/>
          </w:rPr>
          <w:t xml:space="preserve">2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2 (g)</w:t>
        </w:r>
      </w:hyperlink>
      <w:r>
        <w:t xml:space="preserve">,</w:t>
      </w:r>
      <w:r>
        <w:t xml:space="preserve"> </w:t>
      </w:r>
      <w:hyperlink w:anchor="fig-sdag_bb3">
        <w:r>
          <w:rPr>
            <w:rStyle w:val="Hyperlink"/>
          </w:rPr>
          <w:t xml:space="preserve">2 (h)</w:t>
        </w:r>
      </w:hyperlink>
      <w:r>
        <w:t xml:space="preserve">, and SCM</w:t>
      </w:r>
      <w:r>
        <w:t xml:space="preserve"> </w:t>
      </w:r>
      <w:hyperlink w:anchor="fig-scm_bb3">
        <w:r>
          <w:rPr>
            <w:rStyle w:val="Hyperlink"/>
          </w:rPr>
          <w:t xml:space="preserve">2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2 (j)</w:t>
        </w:r>
      </w:hyperlink>
      <w:r>
        <w:t xml:space="preserve">,</w:t>
      </w:r>
      <w:r>
        <w:t xml:space="preserve"> </w:t>
      </w:r>
      <w:hyperlink w:anchor="fig-sdag_bb4">
        <w:r>
          <w:rPr>
            <w:rStyle w:val="Hyperlink"/>
          </w:rPr>
          <w:t xml:space="preserve">2 (k)</w:t>
        </w:r>
      </w:hyperlink>
      <w:r>
        <w:t xml:space="preserve">, and SCM</w:t>
      </w:r>
      <w:r>
        <w:t xml:space="preserve"> </w:t>
      </w:r>
      <w:hyperlink w:anchor="fig-scm_bb4">
        <w:r>
          <w:rPr>
            <w:rStyle w:val="Hyperlink"/>
          </w:rPr>
          <w:t xml:space="preserve">2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2 (m)</w:t>
        </w:r>
      </w:hyperlink>
      <w:r>
        <w:t xml:space="preserve">,</w:t>
      </w:r>
      <w:r>
        <w:t xml:space="preserve"> </w:t>
      </w:r>
      <w:hyperlink w:anchor="fig-sdag_bb5">
        <w:r>
          <w:rPr>
            <w:rStyle w:val="Hyperlink"/>
          </w:rPr>
          <w:t xml:space="preserve">2 (n)</w:t>
        </w:r>
      </w:hyperlink>
      <w:r>
        <w:t xml:space="preserve">, SCM</w:t>
      </w:r>
      <w:r>
        <w:t xml:space="preserve"> </w:t>
      </w:r>
      <w:hyperlink w:anchor="fig-scm_bb5">
        <w:r>
          <w:rPr>
            <w:rStyle w:val="Hyperlink"/>
          </w:rPr>
          <w:t xml:space="preserve">2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p>
      <w:pPr>
        <w:pStyle w:val="BodyText"/>
      </w:pPr>
      <w:r>
        <w:t xml:space="preserve">The motivating example in</w:t>
      </w:r>
      <w:r>
        <w:t xml:space="preserve"> </w:t>
      </w:r>
      <w:hyperlink w:anchor="sec-framework-structural">
        <w:r>
          <w:rPr>
            <w:rStyle w:val="Hyperlink"/>
          </w:rPr>
          <w:t xml:space="preserve">Section 2.1</w:t>
        </w:r>
      </w:hyperlink>
      <w:r>
        <w:t xml:space="preserve"> </w:t>
      </w:r>
      <w:r>
        <w:t xml:space="preserve">can further illustrate how to use the five fundamental building blocks to construct a system’s causal structure. In this scenario, the investigator aims to determine whether,</w:t>
      </w:r>
      <w:r>
        <w:t xml:space="preserve"> </w:t>
      </w:r>
      <w:r>
        <w:rPr>
          <w:i/>
          <w:iCs/>
        </w:rPr>
        <w:t xml:space="preserve">on average</w:t>
      </w:r>
      <w:r>
        <w:t xml:space="preserve">, there is a difference in conceptual understanding of a topic</w:t>
      </w:r>
      <w:r>
        <w:t xml:space="preserve"> </w:t>
      </w:r>
      <m:oMath>
        <m:d>
          <m:dPr>
            <m:begChr m:val="("/>
            <m:endChr m:val=")"/>
            <m:sepChr m:val=""/>
            <m:grow/>
          </m:dPr>
          <m:e>
            <m:r>
              <m:t>Y</m:t>
            </m:r>
            <m:r>
              <m:rPr>
                <m:sty m:val="p"/>
              </m:rPr>
              <m:t>=</m:t>
            </m:r>
            <m:r>
              <m:rPr>
                <m:sty m:val="p"/>
              </m:rPr>
              <m:t>{</m:t>
            </m:r>
            <m:r>
              <m:t>0</m:t>
            </m:r>
            <m:r>
              <m:rPr>
                <m:sty m:val="p"/>
              </m:rPr>
              <m:t>,</m:t>
            </m:r>
            <m:r>
              <m:t>1</m:t>
            </m:r>
            <m:r>
              <m:rPr>
                <m:sty m:val="p"/>
              </m:rPr>
              <m:t>}</m:t>
            </m:r>
          </m:e>
        </m:d>
      </m:oMath>
      <w:r>
        <w:t xml:space="preserve"> </w:t>
      </w:r>
      <w:r>
        <w:t xml:space="preserve">between two groups of students</w:t>
      </w:r>
      <w:r>
        <w:t xml:space="preserve"> </w:t>
      </w:r>
      <m:oMath>
        <m:d>
          <m:dPr>
            <m:begChr m:val="("/>
            <m:endChr m:val=")"/>
            <m:sepChr m:val=""/>
            <m:grow/>
          </m:dPr>
          <m:e>
            <m:r>
              <m:t>T</m:t>
            </m:r>
            <m:r>
              <m:rPr>
                <m:sty m:val="p"/>
              </m:rPr>
              <m:t>=</m:t>
            </m:r>
            <m:r>
              <m:rPr>
                <m:sty m:val="p"/>
              </m:rPr>
              <m:t>{</m:t>
            </m:r>
            <m:r>
              <m:t>1</m:t>
            </m:r>
            <m:r>
              <m:rPr>
                <m:sty m:val="p"/>
              </m:rPr>
              <m:t>,</m:t>
            </m:r>
            <m:r>
              <m:t>2</m:t>
            </m:r>
            <m:r>
              <m:rPr>
                <m:sty m:val="p"/>
              </m:rPr>
              <m:t>}</m:t>
            </m:r>
          </m:e>
        </m:d>
      </m:oMath>
      <w:r>
        <w:t xml:space="preserve">, described by the estimand</w:t>
      </w:r>
      <w:r>
        <w:t xml:space="preserve"> </w:t>
      </w:r>
      <m:oMath>
        <m:r>
          <m:t>E</m:t>
        </m:r>
        <m:d>
          <m:dPr>
            <m:begChr m:val="["/>
            <m:endChr m:val="]"/>
            <m:sepChr m:val=""/>
            <m:grow/>
          </m:dPr>
          <m:e>
            <m:r>
              <m:t>Y</m:t>
            </m:r>
            <m:r>
              <m:rPr>
                <m:sty m:val="p"/>
              </m:rPr>
              <m:t>|</m:t>
            </m:r>
            <m:r>
              <m:t>T</m:t>
            </m:r>
            <m:r>
              <m:rPr>
                <m:sty m:val="p"/>
              </m:rPr>
              <m:t>=</m:t>
            </m:r>
            <m:r>
              <m:t>1</m:t>
            </m:r>
          </m:e>
        </m:d>
        <m:r>
          <m:rPr>
            <m:sty m:val="p"/>
          </m:rPr>
          <m:t>−</m:t>
        </m:r>
        <m:r>
          <m:t>E</m:t>
        </m:r>
        <m:d>
          <m:dPr>
            <m:begChr m:val="["/>
            <m:endChr m:val="]"/>
            <m:sepChr m:val=""/>
            <m:grow/>
          </m:dPr>
          <m:e>
            <m:r>
              <m:t>Y</m:t>
            </m:r>
            <m:r>
              <m:rPr>
                <m:sty m:val="p"/>
              </m:rPr>
              <m:t>|</m:t>
            </m:r>
            <m:r>
              <m:t>T</m:t>
            </m:r>
            <m:r>
              <m:rPr>
                <m:sty m:val="p"/>
              </m:rPr>
              <m:t>=</m:t>
            </m:r>
            <m:r>
              <m:t>2</m:t>
            </m:r>
          </m:e>
        </m:d>
      </m:oMath>
      <w:r>
        <w:t xml:space="preserve">. However, unlike the previous case, an experiment cannot be conducted, and the problem suggests that the country to which a student belongs (</w:t>
      </w:r>
      <m:oMath>
        <m:r>
          <m:t>X</m:t>
        </m:r>
      </m:oMath>
      <w:r>
        <w:t xml:space="preserve">) may influence both</w:t>
      </w:r>
      <w:r>
        <w:t xml:space="preserve"> </w:t>
      </w:r>
      <m:oMath>
        <m:r>
          <m:t>T</m:t>
        </m:r>
      </m:oMath>
      <w:r>
        <w:t xml:space="preserve"> </w:t>
      </w:r>
      <w:r>
        <w:t xml:space="preserve">and</w:t>
      </w:r>
      <w:r>
        <w:t xml:space="preserve"> </w:t>
      </w:r>
      <m:oMath>
        <m:r>
          <m:t>Y</m:t>
        </m:r>
      </m:oMath>
      <w:r>
        <w:t xml:space="preserve">. Such scenarios are plausible, especially when the teaching methods depend on software or access to technology, which may be limited in certain countries</w:t>
      </w:r>
      <w:r>
        <w:t xml:space="preserve"> </w:t>
      </w:r>
      <w:r>
        <w:t xml:space="preserve">(maybe an example with more impact?)</w:t>
      </w:r>
      <w:r>
        <w:t xml:space="preserve">.</w:t>
      </w:r>
      <w:r>
        <w:t xml:space="preserve"> </w:t>
      </w:r>
      <w:hyperlink w:anchor="fig-example">
        <w:r>
          <w:rPr>
            <w:rStyle w:val="Hyperlink"/>
          </w:rPr>
          <w:t xml:space="preserve">Figure 3</w:t>
        </w:r>
      </w:hyperlink>
      <w:r>
        <w:t xml:space="preserve"> </w:t>
      </w:r>
      <w:r>
        <w:t xml:space="preserve">illustrates the plausible causal structure of the motivating example. A detailed examination of Figures</w:t>
      </w:r>
      <w:r>
        <w:t xml:space="preserve"> </w:t>
      </w:r>
      <w:hyperlink w:anchor="fig-mdag_example1">
        <w:r>
          <w:rPr>
            <w:rStyle w:val="Hyperlink"/>
          </w:rPr>
          <w:t xml:space="preserve">3 (a)</w:t>
        </w:r>
      </w:hyperlink>
      <w:r>
        <w:t xml:space="preserve">,</w:t>
      </w:r>
      <w:r>
        <w:t xml:space="preserve"> </w:t>
      </w:r>
      <w:hyperlink w:anchor="fig-sdag_example1">
        <w:r>
          <w:rPr>
            <w:rStyle w:val="Hyperlink"/>
          </w:rPr>
          <w:t xml:space="preserve">3 (b)</w:t>
        </w:r>
      </w:hyperlink>
      <w:r>
        <w:t xml:space="preserve">, and SCM</w:t>
      </w:r>
      <w:r>
        <w:t xml:space="preserve"> </w:t>
      </w:r>
      <w:hyperlink w:anchor="fig-scm_example1">
        <w:r>
          <w:rPr>
            <w:rStyle w:val="Hyperlink"/>
          </w:rPr>
          <w:t xml:space="preserve">3 (c)</w:t>
        </w:r>
      </w:hyperlink>
      <w:r>
        <w:t xml:space="preserve"> </w:t>
      </w:r>
      <w:r>
        <w:t xml:space="preserve">reveals the presence of at least four of the five fundamental building blocks. The figures display multiple descendants, as indicated by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Additionally, the figures features multiple pairs of unconnected nodes, evident from the relations</w:t>
      </w:r>
      <w:r>
        <w:t xml:space="preserve"> </w:t>
      </w:r>
      <m:oMath>
        <m:sSub>
          <m:e>
            <m:r>
              <m:t>e</m:t>
            </m:r>
          </m:e>
          <m:sub>
            <m:r>
              <m:t>T</m:t>
            </m:r>
          </m:sub>
        </m:sSub>
        <m:r>
          <m:rPr>
            <m:sty m:val="p"/>
          </m:rPr>
          <m:t>⊥</m:t>
        </m:r>
        <m:r>
          <m:t>​</m:t>
        </m:r>
        <m:r>
          <m:t>​</m:t>
        </m:r>
        <m:r>
          <m:t>​</m:t>
        </m:r>
        <m:r>
          <m:rPr>
            <m:sty m:val="p"/>
          </m:rPr>
          <m:t>⊥</m:t>
        </m:r>
        <m:sSub>
          <m:e>
            <m:r>
              <m:t>e</m:t>
            </m:r>
          </m:e>
          <m:sub>
            <m:r>
              <m:t>X</m:t>
            </m:r>
          </m:sub>
        </m:sSub>
      </m:oMath>
      <w:r>
        <w:t xml:space="preserve">,</w:t>
      </w:r>
      <w:r>
        <w:t xml:space="preserve"> </w:t>
      </w:r>
      <m:oMath>
        <m:sSub>
          <m:e>
            <m:r>
              <m:t>e</m:t>
            </m:r>
          </m:e>
          <m:sub>
            <m:r>
              <m:t>T</m:t>
            </m:r>
          </m:sub>
        </m:sSub>
        <m:r>
          <m:rPr>
            <m:sty m:val="p"/>
          </m:rPr>
          <m:t>⊥</m:t>
        </m:r>
        <m:r>
          <m:t>​</m:t>
        </m:r>
        <m:r>
          <m:t>​</m:t>
        </m:r>
        <m:r>
          <m:t>​</m:t>
        </m:r>
        <m:r>
          <m:rPr>
            <m:sty m:val="p"/>
          </m:rPr>
          <m:t>⊥</m:t>
        </m:r>
        <m:sSub>
          <m:e>
            <m:r>
              <m:t>e</m:t>
            </m:r>
          </m:e>
          <m:sub>
            <m:r>
              <m:t>Y</m:t>
            </m:r>
          </m:sub>
        </m:sSub>
      </m:oMath>
      <w:r>
        <w:t xml:space="preserve">, and</w:t>
      </w:r>
      <w:r>
        <w:t xml:space="preserve"> </w:t>
      </w:r>
      <m:oMath>
        <m:sSub>
          <m:e>
            <m:r>
              <m:t>e</m:t>
            </m:r>
          </m:e>
          <m:sub>
            <m:r>
              <m:t>X</m:t>
            </m:r>
          </m:sub>
        </m:sSub>
        <m:r>
          <m:rPr>
            <m:sty m:val="p"/>
          </m:rPr>
          <m:t>⊥</m:t>
        </m:r>
        <m:r>
          <m:t>​</m:t>
        </m:r>
        <m:r>
          <m:t>​</m:t>
        </m:r>
        <m:r>
          <m:t>​</m:t>
        </m:r>
        <m:r>
          <m:rPr>
            <m:sty m:val="p"/>
          </m:rPr>
          <m:t>⊥</m:t>
        </m:r>
        <m:sSub>
          <m:e>
            <m:r>
              <m:t>e</m:t>
            </m:r>
          </m:e>
          <m:sub>
            <m:r>
              <m:t>Y</m:t>
            </m:r>
          </m:sub>
        </m:sSub>
      </m:oMath>
      <w:r>
        <w:t xml:space="preserve">. Finally, the figures illustrate the fork</w:t>
      </w:r>
      <w:r>
        <w:t xml:space="preserve"> </w:t>
      </w:r>
      <m:oMath>
        <m:r>
          <m:t>X</m:t>
        </m:r>
        <m:r>
          <m:rPr>
            <m:sty m:val="p"/>
          </m:rPr>
          <m:t>→</m:t>
        </m:r>
        <m:r>
          <m:rPr>
            <m:sty m:val="p"/>
          </m:rPr>
          <m:t>{</m:t>
        </m:r>
        <m:r>
          <m:t>T</m:t>
        </m:r>
        <m:r>
          <m:rPr>
            <m:sty m:val="p"/>
          </m:rPr>
          <m:t>,</m:t>
        </m:r>
        <m:r>
          <m:t>Y</m:t>
        </m:r>
        <m:r>
          <m:rPr>
            <m:sty m:val="p"/>
          </m:rPr>
          <m:t>}</m:t>
        </m:r>
      </m:oMath>
      <w:r>
        <w:t xml:space="preserve">, and two colliders with</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w:t>
      </w:r>
    </w:p>
    <w:bookmarkStart w:id="81"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75" w:name="fig-mdag_example1"/>
                <w:p>
                  <w:pPr>
                    <w:pStyle w:val="Compact"/>
                    <w:jc w:val="center"/>
                    <w:jc w:val="left"/>
                  </w:pPr>
                  <w:r>
                    <w:drawing>
                      <wp:inline>
                        <wp:extent cx="1975104" cy="602134"/>
                        <wp:effectExtent b="0" l="0" r="0" t="0"/>
                        <wp:docPr descr="" title="" id="73" name="Picture"/>
                        <a:graphic>
                          <a:graphicData uri="http://schemas.openxmlformats.org/drawingml/2006/picture">
                            <pic:pic>
                              <pic:nvPicPr>
                                <pic:cNvPr descr="images/figures/mdag_example1.png" id="74" name="Picture"/>
                                <pic:cNvPicPr>
                                  <a:picLocks noChangeArrowheads="1" noChangeAspect="1"/>
                                </pic:cNvPicPr>
                              </pic:nvPicPr>
                              <pic:blipFill>
                                <a:blip r:embed="rId72"/>
                                <a:stretch>
                                  <a:fillRect/>
                                </a:stretch>
                              </pic:blipFill>
                              <pic:spPr bwMode="auto">
                                <a:xfrm>
                                  <a:off x="0" y="0"/>
                                  <a:ext cx="1975104" cy="602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Magnified representation</w:t>
                  </w:r>
                </w:p>
                <w:bookmarkEnd w:id="7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9" w:name="fig-sdag_example1"/>
                <w:p>
                  <w:pPr>
                    <w:pStyle w:val="Compact"/>
                    <w:jc w:val="center"/>
                    <w:jc w:val="left"/>
                  </w:pPr>
                  <w:r>
                    <w:drawing>
                      <wp:inline>
                        <wp:extent cx="1975104" cy="1075643"/>
                        <wp:effectExtent b="0" l="0" r="0" t="0"/>
                        <wp:docPr descr="" title="" id="77" name="Picture"/>
                        <a:graphic>
                          <a:graphicData uri="http://schemas.openxmlformats.org/drawingml/2006/picture">
                            <pic:pic>
                              <pic:nvPicPr>
                                <pic:cNvPr descr="images/figures/sdag_example1.png" id="78" name="Picture"/>
                                <pic:cNvPicPr>
                                  <a:picLocks noChangeArrowheads="1" noChangeAspect="1"/>
                                </pic:cNvPicPr>
                              </pic:nvPicPr>
                              <pic:blipFill>
                                <a:blip r:embed="rId76"/>
                                <a:stretch>
                                  <a:fillRect/>
                                </a:stretch>
                              </pic:blipFill>
                              <pic:spPr bwMode="auto">
                                <a:xfrm>
                                  <a:off x="0" y="0"/>
                                  <a:ext cx="1975104" cy="107564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Standard representation</w:t>
                  </w:r>
                </w:p>
                <w:bookmarkEnd w:id="7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80"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T</m:t>
                            </m:r>
                          </m:e>
                          <m:e>
                            <m:box>
                              <m:boxPr>
                                <m:opEmu m:val="on"/>
                              </m:boxPr>
                              <m:e>
                                <m:r>
                                  <m:rPr>
                                    <m:sty m:val="p"/>
                                  </m:rPr>
                                  <m:t>:=</m:t>
                                </m:r>
                              </m:e>
                            </m:box>
                            <m:sSub>
                              <m:e>
                                <m:r>
                                  <m:t>f</m:t>
                                </m:r>
                              </m:e>
                              <m:sub>
                                <m:r>
                                  <m:t>Z</m:t>
                                </m:r>
                              </m:sub>
                            </m:sSub>
                            <m:d>
                              <m:dPr>
                                <m:begChr m:val="("/>
                                <m:endChr m:val=")"/>
                                <m:sepChr m:val=""/>
                                <m:grow/>
                              </m:dPr>
                              <m:e>
                                <m:r>
                                  <m:t>X</m:t>
                                </m:r>
                                <m:r>
                                  <m:rPr>
                                    <m:sty m:val="p"/>
                                  </m:rPr>
                                  <m:t>,</m:t>
                                </m:r>
                                <m:sSub>
                                  <m:e>
                                    <m:r>
                                      <m:t>e</m:t>
                                    </m:r>
                                  </m:e>
                                  <m:sub>
                                    <m:r>
                                      <m:t>T</m:t>
                                    </m:r>
                                  </m:sub>
                                </m:sSub>
                              </m:e>
                            </m:d>
                          </m:e>
                        </m:mr>
                        <m:mr>
                          <m:e>
                            <m:r>
                              <m:t>Y</m:t>
                            </m:r>
                          </m:e>
                          <m:e>
                            <m:box>
                              <m:boxPr>
                                <m:opEmu m:val="on"/>
                              </m:boxPr>
                              <m:e>
                                <m:r>
                                  <m:rPr>
                                    <m:sty m:val="p"/>
                                  </m:rPr>
                                  <m:t>:=</m:t>
                                </m:r>
                              </m:e>
                            </m:box>
                            <m:sSub>
                              <m:e>
                                <m:r>
                                  <m:t>f</m:t>
                                </m:r>
                              </m:e>
                              <m:sub>
                                <m:r>
                                  <m:t>Y</m:t>
                                </m:r>
                              </m:sub>
                            </m:sSub>
                            <m:d>
                              <m:dPr>
                                <m:begChr m:val="("/>
                                <m:endChr m:val=")"/>
                                <m:sepChr m:val=""/>
                                <m:grow/>
                              </m:dPr>
                              <m:e>
                                <m:r>
                                  <m:t>T</m:t>
                                </m:r>
                                <m:r>
                                  <m:rPr>
                                    <m:sty m:val="p"/>
                                  </m:rPr>
                                  <m:t>,</m:t>
                                </m:r>
                                <m:r>
                                  <m:t>X</m:t>
                                </m:r>
                                <m:r>
                                  <m:rPr>
                                    <m:sty m:val="p"/>
                                  </m:rPr>
                                  <m:t>,</m:t>
                                </m:r>
                                <m:sSub>
                                  <m:e>
                                    <m:r>
                                      <m:t>e</m:t>
                                    </m:r>
                                  </m:e>
                                  <m:sub>
                                    <m:r>
                                      <m:t>Y</m:t>
                                    </m:r>
                                  </m:sub>
                                </m:sSub>
                              </m:e>
                            </m:d>
                          </m:e>
                        </m:mr>
                        <m:mr>
                          <m:e>
                            <m:sSub>
                              <m:e>
                                <m:r>
                                  <m:t>e</m:t>
                                </m:r>
                              </m:e>
                              <m:sub>
                                <m:r>
                                  <m:t>T</m:t>
                                </m:r>
                              </m:sub>
                            </m:sSub>
                          </m:e>
                          <m:e>
                            <m:r>
                              <m:rPr>
                                <m:sty m:val="p"/>
                              </m:rPr>
                              <m:t>⊥</m:t>
                            </m:r>
                            <m:r>
                              <m:t>​</m:t>
                            </m:r>
                            <m:r>
                              <m:t>​</m:t>
                            </m:r>
                            <m:r>
                              <m:t>​</m:t>
                            </m:r>
                            <m:r>
                              <m:rPr>
                                <m:sty m:val="p"/>
                              </m:rPr>
                              <m:t>⊥</m:t>
                            </m:r>
                            <m:sSub>
                              <m:e>
                                <m:r>
                                  <m:t>e</m:t>
                                </m:r>
                              </m:e>
                              <m:sub>
                                <m:r>
                                  <m:t>X</m:t>
                                </m:r>
                              </m:sub>
                            </m:sSub>
                          </m:e>
                        </m:mr>
                        <m:mr>
                          <m:e>
                            <m:sSub>
                              <m:e>
                                <m:r>
                                  <m:t>e</m:t>
                                </m:r>
                              </m:e>
                              <m:sub>
                                <m:r>
                                  <m:t>T</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Structural causal model</w:t>
                  </w:r>
                </w:p>
                <w:bookmarkEnd w:id="80"/>
              </w:tc>
            </w:tr>
          </w:tbl>
          <w:p/>
        </w:tc>
      </w:tr>
    </w:tbl>
    <w:p>
      <w:pPr>
        <w:pStyle w:val="BodyText"/>
      </w:pPr>
      <w:pPr>
        <w:spacing w:before="200"/>
        <w:pStyle w:val="ImageCaption"/>
      </w:pPr>
      <w:r>
        <w:t xml:space="preserve">Figure 3: DAGs for a plausible causal structure in a system.</w:t>
      </w:r>
    </w:p>
    <w:bookmarkEnd w:id="81"/>
    <w:bookmarkEnd w:id="82"/>
    <w:bookmarkStart w:id="8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86" w:name="fig-ACflow"/>
          <w:p>
            <w:pPr>
              <w:pStyle w:val="Compact"/>
              <w:jc w:val="center"/>
            </w:pPr>
            <w:r>
              <w:drawing>
                <wp:inline>
                  <wp:extent cx="3416968" cy="485846"/>
                  <wp:effectExtent b="0" l="0" r="0" t="0"/>
                  <wp:docPr descr="" title="" id="84" name="Picture"/>
                  <a:graphic>
                    <a:graphicData uri="http://schemas.openxmlformats.org/drawingml/2006/picture">
                      <pic:pic>
                        <pic:nvPicPr>
                          <pic:cNvPr descr="images/figures/ACflow.png" id="85" name="Picture"/>
                          <pic:cNvPicPr>
                            <a:picLocks noChangeArrowheads="1" noChangeAspect="1"/>
                          </pic:cNvPicPr>
                        </pic:nvPicPr>
                        <pic:blipFill>
                          <a:blip r:embed="rId83"/>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flow of association and causation in graphs. Extracted and slightly modified from</w:t>
            </w:r>
            <w:r>
              <w:t xml:space="preserve"> </w:t>
            </w:r>
            <w:r>
              <w:t xml:space="preserve">Neal (2020, 31)</w:t>
            </w:r>
          </w:p>
          <w:bookmarkEnd w:id="86"/>
        </w:tc>
      </w:tr>
    </w:tbl>
    <w:bookmarkEnd w:id="87"/>
    <w:bookmarkEnd w:id="88"/>
    <w:bookmarkStart w:id="109" w:name="sec-theory"/>
    <w:p>
      <w:pPr>
        <w:pStyle w:val="Heading1"/>
      </w:pPr>
      <w:r>
        <w:t xml:space="preserve">Theory</w:t>
      </w:r>
    </w:p>
    <w:bookmarkStart w:id="105"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2" w:name="fig-SciModel_simp1"/>
          <w:p>
            <w:pPr>
              <w:pStyle w:val="Compact"/>
              <w:jc w:val="center"/>
            </w:pPr>
            <w:r>
              <w:drawing>
                <wp:inline>
                  <wp:extent cx="3304673" cy="1748589"/>
                  <wp:effectExtent b="0" l="0" r="0" t="0"/>
                  <wp:docPr descr="" title="" id="90" name="Picture"/>
                  <a:graphic>
                    <a:graphicData uri="http://schemas.openxmlformats.org/drawingml/2006/picture">
                      <pic:pic>
                        <pic:nvPicPr>
                          <pic:cNvPr descr="images/figures/SciModel_simp1.png" id="91" name="Picture"/>
                          <pic:cNvPicPr>
                            <a:picLocks noChangeArrowheads="1" noChangeAspect="1"/>
                          </pic:cNvPicPr>
                        </pic:nvPicPr>
                        <pic:blipFill>
                          <a:blip r:embed="rId89"/>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6" w:name="fig-SciModel_simp2"/>
          <w:p>
            <w:pPr>
              <w:pStyle w:val="Compact"/>
              <w:jc w:val="center"/>
            </w:pPr>
            <w:r>
              <w:drawing>
                <wp:inline>
                  <wp:extent cx="3082375" cy="1732547"/>
                  <wp:effectExtent b="0" l="0" r="0" t="0"/>
                  <wp:docPr descr="" title="" id="94" name="Picture"/>
                  <a:graphic>
                    <a:graphicData uri="http://schemas.openxmlformats.org/drawingml/2006/picture">
                      <pic:pic>
                        <pic:nvPicPr>
                          <pic:cNvPr descr="images/figures/SciModel_simp2.png" id="95" name="Picture"/>
                          <pic:cNvPicPr>
                            <a:picLocks noChangeArrowheads="1" noChangeAspect="1"/>
                          </pic:cNvPicPr>
                        </pic:nvPicPr>
                        <pic:blipFill>
                          <a:blip r:embed="rId93"/>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0" w:name="fig-SciModel_pop"/>
          <w:p>
            <w:pPr>
              <w:pStyle w:val="Compact"/>
              <w:jc w:val="center"/>
            </w:pPr>
            <w:r>
              <w:drawing>
                <wp:inline>
                  <wp:extent cx="3174045" cy="2252769"/>
                  <wp:effectExtent b="0" l="0" r="0" t="0"/>
                  <wp:docPr descr="" title="" id="98" name="Picture"/>
                  <a:graphic>
                    <a:graphicData uri="http://schemas.openxmlformats.org/drawingml/2006/picture">
                      <pic:pic>
                        <pic:nvPicPr>
                          <pic:cNvPr descr="images/figures/SciModel_pop.png" id="99" name="Picture"/>
                          <pic:cNvPicPr>
                            <a:picLocks noChangeArrowheads="1" noChangeAspect="1"/>
                          </pic:cNvPicPr>
                        </pic:nvPicPr>
                        <pic:blipFill>
                          <a:blip r:embed="rId97"/>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0"/>
        </w:tc>
      </w:tr>
    </w:tbl>
    <w:p/>
    <w:tbl>
      <w:tblPr>
        <w:tblStyle w:val="Table"/>
        <w:tblW w:type="pct" w:w="5000"/>
        <w:tblLayout w:type="fixed"/>
        <w:tblLook w:firstRow="0" w:lastRow="0" w:firstColumn="0" w:lastColumn="0" w:noHBand="0" w:noVBand="0" w:val="0000"/>
      </w:tblPr>
      <w:tblGrid>
        <w:gridCol w:w="7920"/>
      </w:tblGrid>
      <w:tr>
        <w:tc>
          <w:tcPr/>
          <w:bookmarkStart w:id="104" w:name="fig-SciModel_samp"/>
          <w:p>
            <w:pPr>
              <w:pStyle w:val="Compact"/>
              <w:jc w:val="center"/>
            </w:pPr>
            <w:r>
              <w:drawing>
                <wp:inline>
                  <wp:extent cx="3671350" cy="2245894"/>
                  <wp:effectExtent b="0" l="0" r="0" t="0"/>
                  <wp:docPr descr="" title="" id="102" name="Picture"/>
                  <a:graphic>
                    <a:graphicData uri="http://schemas.openxmlformats.org/drawingml/2006/picture">
                      <pic:pic>
                        <pic:nvPicPr>
                          <pic:cNvPr descr="images/figures/SciModel_samp.png" id="103" name="Picture"/>
                          <pic:cNvPicPr>
                            <a:picLocks noChangeArrowheads="1" noChangeAspect="1"/>
                          </pic:cNvPicPr>
                        </pic:nvPicPr>
                        <pic:blipFill>
                          <a:blip r:embed="rId101"/>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4"/>
        </w:tc>
      </w:tr>
    </w:tbl>
    <w:bookmarkEnd w:id="105"/>
    <w:bookmarkStart w:id="106" w:name="sec-theory-probability"/>
    <w:p>
      <w:pPr>
        <w:pStyle w:val="Heading2"/>
      </w:pPr>
      <w:r>
        <w:t xml:space="preserve">Probabilitics assumptions of the scientific model</w:t>
      </w:r>
    </w:p>
    <w:bookmarkEnd w:id="106"/>
    <w:bookmarkStart w:id="107" w:name="sec-theory-statistics"/>
    <w:p>
      <w:pPr>
        <w:pStyle w:val="Heading2"/>
      </w:pPr>
      <w:r>
        <w:t xml:space="preserve">From the scientific to statistical model</w:t>
      </w:r>
    </w:p>
    <w:bookmarkEnd w:id="107"/>
    <w:bookmarkStart w:id="108" w:name="sec-theory-thurstone"/>
    <w:p>
      <w:pPr>
        <w:pStyle w:val="Heading2"/>
      </w:pPr>
      <w:r>
        <w:t xml:space="preserve">Let’s talk about Thurstone</w:t>
      </w:r>
    </w:p>
    <w:bookmarkEnd w:id="108"/>
    <w:bookmarkEnd w:id="109"/>
    <w:bookmarkStart w:id="112" w:name="sec-discuss"/>
    <w:p>
      <w:pPr>
        <w:pStyle w:val="Heading1"/>
      </w:pPr>
      <w:r>
        <w:t xml:space="preserve">Discussion</w:t>
      </w:r>
    </w:p>
    <w:bookmarkStart w:id="110" w:name="sec-discuss-finding"/>
    <w:p>
      <w:pPr>
        <w:pStyle w:val="Heading2"/>
      </w:pPr>
      <w:r>
        <w:t xml:space="preserve">Findings</w:t>
      </w:r>
    </w:p>
    <w:bookmarkEnd w:id="110"/>
    <w:bookmarkStart w:id="111" w:name="sec-discuss-limitations"/>
    <w:p>
      <w:pPr>
        <w:pStyle w:val="Heading2"/>
      </w:pPr>
      <w:r>
        <w:t xml:space="preserve">Limitations and further research</w:t>
      </w:r>
    </w:p>
    <w:bookmarkEnd w:id="111"/>
    <w:bookmarkEnd w:id="112"/>
    <w:bookmarkStart w:id="113" w:name="sec-conclusion"/>
    <w:p>
      <w:pPr>
        <w:pStyle w:val="Heading1"/>
      </w:pPr>
      <w:r>
        <w:t xml:space="preserve">Conclusion</w:t>
      </w:r>
    </w:p>
    <w:p>
      <w:r>
        <w:br w:type="page"/>
      </w:r>
    </w:p>
    <w:bookmarkEnd w:id="113"/>
    <w:bookmarkStart w:id="115"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4">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5"/>
    <w:bookmarkStart w:id="205" w:name="sec-appendix"/>
    <w:p>
      <w:pPr>
        <w:pStyle w:val="Heading1"/>
      </w:pPr>
      <w:r>
        <w:t xml:space="preserve">Appendix</w:t>
      </w:r>
    </w:p>
    <w:bookmarkStart w:id="116" w:name="sec-appA"/>
    <w:p>
      <w:pPr>
        <w:pStyle w:val="Heading2"/>
      </w:pPr>
      <w:r>
        <w:t xml:space="preserve">Why do we need to estimate judges’ abilities?</w:t>
      </w:r>
    </w:p>
    <w:bookmarkEnd w:id="116"/>
    <w:bookmarkStart w:id="117" w:name="sec-appB"/>
    <w:p>
      <w:pPr>
        <w:pStyle w:val="Heading2"/>
      </w:pPr>
      <w:r>
        <w:t xml:space="preserve">Latent variables as a mean of imputation</w:t>
      </w:r>
    </w:p>
    <w:bookmarkEnd w:id="117"/>
    <w:bookmarkStart w:id="118" w:name="sec-appC"/>
    <w:p>
      <w:pPr>
        <w:pStyle w:val="Heading2"/>
      </w:pPr>
      <w:r>
        <w:t xml:space="preserve">Other comparative scenarios</w:t>
      </w:r>
    </w:p>
    <w:p>
      <w:r>
        <w:br w:type="page"/>
      </w:r>
    </w:p>
    <w:bookmarkEnd w:id="118"/>
    <w:bookmarkStart w:id="204" w:name="references"/>
    <w:p>
      <w:pPr>
        <w:pStyle w:val="Heading2"/>
      </w:pPr>
      <w:r>
        <w:t xml:space="preserve">References</w:t>
      </w:r>
    </w:p>
    <w:bookmarkStart w:id="203" w:name="refs"/>
    <w:bookmarkStart w:id="120"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19">
        <w:r>
          <w:rPr>
            <w:rStyle w:val="Hyperlink"/>
          </w:rPr>
          <w:t xml:space="preserve">https://doi.org/10.2307/2347562</w:t>
        </w:r>
      </w:hyperlink>
      <w:r>
        <w:t xml:space="preserve">.</w:t>
      </w:r>
    </w:p>
    <w:bookmarkEnd w:id="120"/>
    <w:bookmarkStart w:id="122"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1">
        <w:r>
          <w:rPr>
            <w:rStyle w:val="Hyperlink"/>
          </w:rPr>
          <w:t xml:space="preserve">https://doi.org/10.1080/10627197.2018.1444986</w:t>
        </w:r>
      </w:hyperlink>
      <w:r>
        <w:t xml:space="preserve">.</w:t>
      </w:r>
    </w:p>
    <w:bookmarkEnd w:id="122"/>
    <w:bookmarkStart w:id="124"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3">
        <w:r>
          <w:rPr>
            <w:rStyle w:val="Hyperlink"/>
          </w:rPr>
          <w:t xml:space="preserve">https://doi.org/10.1007/978-3-030-52229-2_18</w:t>
        </w:r>
      </w:hyperlink>
      <w:r>
        <w:t xml:space="preserve">.</w:t>
      </w:r>
    </w:p>
    <w:bookmarkEnd w:id="124"/>
    <w:bookmarkStart w:id="126"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5">
        <w:r>
          <w:rPr>
            <w:rStyle w:val="Hyperlink"/>
          </w:rPr>
          <w:t xml:space="preserve">https://doi.org/10.1016/j.jcomdis.2019.105969</w:t>
        </w:r>
      </w:hyperlink>
      <w:r>
        <w:t xml:space="preserve">.</w:t>
      </w:r>
    </w:p>
    <w:bookmarkEnd w:id="126"/>
    <w:bookmarkStart w:id="128"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7">
        <w:r>
          <w:rPr>
            <w:rStyle w:val="Hyperlink"/>
          </w:rPr>
          <w:t xml:space="preserve">https://doi.org/10.17239/jowr-2024.15.03.03</w:t>
        </w:r>
      </w:hyperlink>
      <w:r>
        <w:t xml:space="preserve">.</w:t>
      </w:r>
    </w:p>
    <w:bookmarkEnd w:id="128"/>
    <w:bookmarkStart w:id="130"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29">
        <w:r>
          <w:rPr>
            <w:rStyle w:val="Hyperlink"/>
          </w:rPr>
          <w:t xml:space="preserve">https://doi.org/10.2307/2334029</w:t>
        </w:r>
      </w:hyperlink>
      <w:r>
        <w:t xml:space="preserve">.</w:t>
      </w:r>
    </w:p>
    <w:bookmarkEnd w:id="130"/>
    <w:bookmarkStart w:id="132" w:name="ref-Bramley_2015"/>
    <w:p>
      <w:pPr>
        <w:pStyle w:val="Bibliography"/>
      </w:pPr>
      <w:r>
        <w:t xml:space="preserve">Bramley, T. 2015.</w:t>
      </w:r>
      <w:r>
        <w:t xml:space="preserve"> </w:t>
      </w:r>
      <w:r>
        <w:t xml:space="preserve">“Investigating the Reliability of Adaptive Comparative Judgment.”</w:t>
      </w:r>
      <w:r>
        <w:t xml:space="preserve"> </w:t>
      </w:r>
      <w:hyperlink r:id="rId131">
        <w:r>
          <w:rPr>
            <w:rStyle w:val="Hyperlink"/>
          </w:rPr>
          <w:t xml:space="preserve">http://www.cambridgeassessment.org.uk/Images/232694-investigating-the-reliability-of-adaptive-comparative-judgment.pdf</w:t>
        </w:r>
      </w:hyperlink>
      <w:r>
        <w:t xml:space="preserve">.</w:t>
      </w:r>
    </w:p>
    <w:bookmarkEnd w:id="132"/>
    <w:bookmarkStart w:id="134"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3">
        <w:r>
          <w:rPr>
            <w:rStyle w:val="Hyperlink"/>
          </w:rPr>
          <w:t xml:space="preserve">https://doi.org/10.1080/0969594X.2017.1418734</w:t>
        </w:r>
      </w:hyperlink>
      <w:r>
        <w:t xml:space="preserve">.</w:t>
      </w:r>
    </w:p>
    <w:bookmarkEnd w:id="134"/>
    <w:bookmarkStart w:id="136"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5">
        <w:r>
          <w:rPr>
            <w:rStyle w:val="Hyperlink"/>
          </w:rPr>
          <w:t xml:space="preserve">https://doi.org/10.2139/ssrn.3689437</w:t>
        </w:r>
      </w:hyperlink>
      <w:r>
        <w:t xml:space="preserve">.</w:t>
      </w:r>
    </w:p>
    <w:bookmarkEnd w:id="136"/>
    <w:bookmarkStart w:id="138" w:name="ref-Counterfactual_2024"/>
    <w:p>
      <w:pPr>
        <w:pStyle w:val="Bibliography"/>
      </w:pPr>
      <w:r>
        <w:t xml:space="preserve">Counterfactual. 2024.</w:t>
      </w:r>
      <w:r>
        <w:t xml:space="preserve"> </w:t>
      </w:r>
      <w:r>
        <w:t xml:space="preserve">“Merriam-Webster.com Dictionary.”</w:t>
      </w:r>
      <w:r>
        <w:t xml:space="preserve"> </w:t>
      </w:r>
      <w:hyperlink r:id="rId137">
        <w:r>
          <w:rPr>
            <w:rStyle w:val="Hyperlink"/>
          </w:rPr>
          <w:t xml:space="preserve">https://www.merriam-webster.com/dictionary/hacker</w:t>
        </w:r>
      </w:hyperlink>
      <w:r>
        <w:t xml:space="preserve">.</w:t>
      </w:r>
    </w:p>
    <w:bookmarkEnd w:id="138"/>
    <w:bookmarkStart w:id="140"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39">
        <w:r>
          <w:rPr>
            <w:rStyle w:val="Hyperlink"/>
          </w:rPr>
          <w:t xml:space="preserve">https://doi.org/10.3389/feduc.2021.788202</w:t>
        </w:r>
      </w:hyperlink>
      <w:r>
        <w:t xml:space="preserve">.</w:t>
      </w:r>
    </w:p>
    <w:bookmarkEnd w:id="140"/>
    <w:bookmarkStart w:id="142" w:name="ref-Everitt_et_al_2010"/>
    <w:p>
      <w:pPr>
        <w:pStyle w:val="Bibliography"/>
      </w:pPr>
      <w:r>
        <w:t xml:space="preserve">Everitt, B., and A. Skrondal. 2010.</w:t>
      </w:r>
      <w:r>
        <w:t xml:space="preserve"> </w:t>
      </w:r>
      <w:hyperlink r:id="rId141">
        <w:r>
          <w:rPr>
            <w:rStyle w:val="Hyperlink"/>
            <w:i/>
            <w:iCs/>
          </w:rPr>
          <w:t xml:space="preserve">The Cambridge Dictionary of Statistics</w:t>
        </w:r>
      </w:hyperlink>
      <w:r>
        <w:t xml:space="preserve">. Cambridge University Press.</w:t>
      </w:r>
    </w:p>
    <w:bookmarkEnd w:id="142"/>
    <w:bookmarkStart w:id="14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3">
        <w:r>
          <w:rPr>
            <w:rStyle w:val="Hyperlink"/>
          </w:rPr>
          <w:t xml:space="preserve">https://doi.org/10.3389/feduc.2020.582800</w:t>
        </w:r>
      </w:hyperlink>
      <w:r>
        <w:t xml:space="preserve">.</w:t>
      </w:r>
    </w:p>
    <w:bookmarkEnd w:id="144"/>
    <w:bookmarkStart w:id="146"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5">
        <w:r>
          <w:rPr>
            <w:rStyle w:val="Hyperlink"/>
          </w:rPr>
          <w:t xml:space="preserve">https://doi.org/10.1201/9780429425134</w:t>
        </w:r>
        <w:r>
          <w:rPr>
            <w:rStyle w:val="Hyperlink"/>
          </w:rPr>
          <w:t xml:space="preserve"> </w:t>
        </w:r>
      </w:hyperlink>
      <w:r>
        <w:t xml:space="preserve">.</w:t>
      </w:r>
    </w:p>
    <w:bookmarkEnd w:id="146"/>
    <w:bookmarkStart w:id="148" w:name="ref-Hansson_2014"/>
    <w:p>
      <w:pPr>
        <w:pStyle w:val="Bibliography"/>
      </w:pPr>
      <w:r>
        <w:t xml:space="preserve">Hansson, S. 2014.</w:t>
      </w:r>
      <w:r>
        <w:t xml:space="preserve"> </w:t>
      </w:r>
      <w:r>
        <w:t xml:space="preserve">“Why and for What Are Clinical Trials the Gold Standard?”</w:t>
      </w:r>
      <w:r>
        <w:t xml:space="preserve"> </w:t>
      </w:r>
      <w:r>
        <w:rPr>
          <w:i/>
          <w:iCs/>
        </w:rPr>
        <w:t xml:space="preserve">Scandinavian Journal of Public Health</w:t>
      </w:r>
      <w:r>
        <w:t xml:space="preserve"> </w:t>
      </w:r>
      <w:r>
        <w:t xml:space="preserve">42 (13_suppl): 41–48.</w:t>
      </w:r>
      <w:r>
        <w:t xml:space="preserve"> </w:t>
      </w:r>
      <w:hyperlink r:id="rId147">
        <w:r>
          <w:rPr>
            <w:rStyle w:val="Hyperlink"/>
          </w:rPr>
          <w:t xml:space="preserve">https://doi.org/10.1177/1403494813516712</w:t>
        </w:r>
      </w:hyperlink>
      <w:r>
        <w:t xml:space="preserve">.</w:t>
      </w:r>
    </w:p>
    <w:bookmarkEnd w:id="148"/>
    <w:bookmarkStart w:id="150" w:name="ref-Hariton_et_al_2018"/>
    <w:p>
      <w:pPr>
        <w:pStyle w:val="Bibliography"/>
      </w:pPr>
      <w:r>
        <w:t xml:space="preserve">Hariton, E., and J. Locascio. 2018.</w:t>
      </w:r>
      <w:r>
        <w:t xml:space="preserve"> </w:t>
      </w:r>
      <w:r>
        <w:t xml:space="preserve">“Randomised Controlled Trials – the Gold Standard for Effectiveness Research.”</w:t>
      </w:r>
      <w:r>
        <w:t xml:space="preserve"> </w:t>
      </w:r>
      <w:r>
        <w:rPr>
          <w:i/>
          <w:iCs/>
        </w:rPr>
        <w:t xml:space="preserve">BJOG: An International Journal of Obstetrics &amp; Gynaecology</w:t>
      </w:r>
      <w:r>
        <w:t xml:space="preserve"> </w:t>
      </w:r>
      <w:r>
        <w:t xml:space="preserve">125 (13): 1716–16.</w:t>
      </w:r>
      <w:r>
        <w:t xml:space="preserve"> </w:t>
      </w:r>
      <w:hyperlink r:id="rId149">
        <w:r>
          <w:rPr>
            <w:rStyle w:val="Hyperlink"/>
          </w:rPr>
          <w:t xml:space="preserve">https://doi.org/10.1111/1471-0528.15199</w:t>
        </w:r>
      </w:hyperlink>
      <w:r>
        <w:t xml:space="preserve">.</w:t>
      </w:r>
    </w:p>
    <w:bookmarkEnd w:id="150"/>
    <w:bookmarkStart w:id="152"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51">
        <w:r>
          <w:rPr>
            <w:rStyle w:val="Hyperlink"/>
          </w:rPr>
          <w:t xml:space="preserve">https://www.hsph.harvard.edu/miguel-hernan/causal-inference-book</w:t>
        </w:r>
      </w:hyperlink>
      <w:r>
        <w:t xml:space="preserve">.</w:t>
      </w:r>
    </w:p>
    <w:bookmarkEnd w:id="152"/>
    <w:bookmarkStart w:id="15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3">
        <w:r>
          <w:rPr>
            <w:rStyle w:val="Hyperlink"/>
          </w:rPr>
          <w:t xml:space="preserve">https://doi.org/10.1007/s10649-015-9607-1</w:t>
        </w:r>
      </w:hyperlink>
      <w:r>
        <w:t xml:space="preserve">.</w:t>
      </w:r>
    </w:p>
    <w:bookmarkEnd w:id="154"/>
    <w:bookmarkStart w:id="156"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155">
        <w:r>
          <w:rPr>
            <w:rStyle w:val="Hyperlink"/>
          </w:rPr>
          <w:t xml:space="preserve">https://doi.org/10.1002/berj.3519</w:t>
        </w:r>
      </w:hyperlink>
      <w:r>
        <w:t xml:space="preserve">.</w:t>
      </w:r>
    </w:p>
    <w:bookmarkEnd w:id="156"/>
    <w:bookmarkStart w:id="157" w:name="ref-Kanji_2006"/>
    <w:p>
      <w:pPr>
        <w:pStyle w:val="Bibliography"/>
      </w:pPr>
      <w:r>
        <w:t xml:space="preserve">Kanji, G. 2006.</w:t>
      </w:r>
      <w:r>
        <w:t xml:space="preserve"> </w:t>
      </w:r>
      <w:hyperlink r:id="rId141">
        <w:r>
          <w:rPr>
            <w:rStyle w:val="Hyperlink"/>
            <w:i/>
            <w:iCs/>
          </w:rPr>
          <w:t xml:space="preserve">100 Statistical Tests</w:t>
        </w:r>
      </w:hyperlink>
      <w:r>
        <w:t xml:space="preserve">. Introduction to Statistics. SAGE Publications.</w:t>
      </w:r>
    </w:p>
    <w:bookmarkEnd w:id="157"/>
    <w:bookmarkStart w:id="158"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8"/>
    <w:bookmarkStart w:id="160"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9">
        <w:r>
          <w:rPr>
            <w:rStyle w:val="Hyperlink"/>
          </w:rPr>
          <w:t xml:space="preserve">https://doi.org/10.1037/h0043178</w:t>
        </w:r>
      </w:hyperlink>
      <w:r>
        <w:t xml:space="preserve">.</w:t>
      </w:r>
    </w:p>
    <w:bookmarkEnd w:id="160"/>
    <w:bookmarkStart w:id="162"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61">
        <w:r>
          <w:rPr>
            <w:rStyle w:val="Hyperlink"/>
          </w:rPr>
          <w:t xml:space="preserve">https://doi.org/10.1007/s40841-020-00163-3</w:t>
        </w:r>
      </w:hyperlink>
      <w:r>
        <w:t xml:space="preserve">.</w:t>
      </w:r>
    </w:p>
    <w:bookmarkEnd w:id="162"/>
    <w:bookmarkStart w:id="163" w:name="ref-McElreath_2020"/>
    <w:p>
      <w:pPr>
        <w:pStyle w:val="Bibliography"/>
      </w:pPr>
      <w:r>
        <w:t xml:space="preserve">McElreath, R. 2020.</w:t>
      </w:r>
      <w:r>
        <w:t xml:space="preserve"> </w:t>
      </w:r>
      <w:hyperlink r:id="rId141">
        <w:r>
          <w:rPr>
            <w:rStyle w:val="Hyperlink"/>
            <w:i/>
            <w:iCs/>
          </w:rPr>
          <w:t xml:space="preserve">Statistical Rethinking: A Bayesian Course with Examples in r and STAN</w:t>
        </w:r>
      </w:hyperlink>
      <w:r>
        <w:t xml:space="preserve">. Chapman; Hall/CRC.</w:t>
      </w:r>
    </w:p>
    <w:bookmarkEnd w:id="163"/>
    <w:bookmarkStart w:id="164" w:name="ref-Morgan_et_al_2014"/>
    <w:p>
      <w:pPr>
        <w:pStyle w:val="Bibliography"/>
      </w:pPr>
      <w:r>
        <w:t xml:space="preserve">Morgan, S., and C. Winship. 2014.</w:t>
      </w:r>
      <w:r>
        <w:t xml:space="preserve"> </w:t>
      </w:r>
      <w:hyperlink r:id="rId141">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64"/>
    <w:bookmarkStart w:id="166" w:name="ref-Neal_2020"/>
    <w:p>
      <w:pPr>
        <w:pStyle w:val="Bibliography"/>
      </w:pPr>
      <w:r>
        <w:t xml:space="preserve">Neal, B. 2020.</w:t>
      </w:r>
      <w:r>
        <w:t xml:space="preserve"> </w:t>
      </w:r>
      <w:r>
        <w:t xml:space="preserve">“Introduction to Causal Inference from a Machine Learning Perspective.”</w:t>
      </w:r>
      <w:r>
        <w:t xml:space="preserve"> </w:t>
      </w:r>
      <w:hyperlink r:id="rId165">
        <w:r>
          <w:rPr>
            <w:rStyle w:val="Hyperlink"/>
          </w:rPr>
          <w:t xml:space="preserve">https://www.bradyneal.com/Introduction_to_Causal_Inference-Dec17_2020-Neal.pdf</w:t>
        </w:r>
      </w:hyperlink>
      <w:r>
        <w:t xml:space="preserve">.</w:t>
      </w:r>
    </w:p>
    <w:bookmarkEnd w:id="166"/>
    <w:bookmarkStart w:id="168"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7">
        <w:r>
          <w:rPr>
            <w:rStyle w:val="Hyperlink"/>
          </w:rPr>
          <w:t xml:space="preserve">http://www.jstor.org/stable/2245382</w:t>
        </w:r>
      </w:hyperlink>
      <w:r>
        <w:t xml:space="preserve">.</w:t>
      </w:r>
    </w:p>
    <w:bookmarkEnd w:id="168"/>
    <w:bookmarkStart w:id="169" w:name="ref-Pearl_2009"/>
    <w:p>
      <w:pPr>
        <w:pStyle w:val="Bibliography"/>
      </w:pPr>
      <w:r>
        <w:t xml:space="preserve">Pearl, J. 2009.</w:t>
      </w:r>
      <w:r>
        <w:t xml:space="preserve"> </w:t>
      </w:r>
      <w:hyperlink r:id="rId141">
        <w:r>
          <w:rPr>
            <w:rStyle w:val="Hyperlink"/>
            <w:i/>
            <w:iCs/>
          </w:rPr>
          <w:t xml:space="preserve">Causality: Models, Reasoning and Inference</w:t>
        </w:r>
      </w:hyperlink>
      <w:r>
        <w:t xml:space="preserve">. Cambrige University Press.</w:t>
      </w:r>
    </w:p>
    <w:bookmarkEnd w:id="169"/>
    <w:bookmarkStart w:id="171"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70">
        <w:r>
          <w:rPr>
            <w:rStyle w:val="Hyperlink"/>
          </w:rPr>
          <w:t xml:space="preserve">https://doi.org/10.2202/1557-4679.1203</w:t>
        </w:r>
      </w:hyperlink>
      <w:r>
        <w:t xml:space="preserve">.</w:t>
      </w:r>
    </w:p>
    <w:bookmarkEnd w:id="171"/>
    <w:bookmarkStart w:id="173"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72">
        <w:r>
          <w:rPr>
            <w:rStyle w:val="Hyperlink"/>
          </w:rPr>
          <w:t xml:space="preserve">https://doi.org/10.1177/0962280215586010</w:t>
        </w:r>
      </w:hyperlink>
      <w:r>
        <w:t xml:space="preserve">.</w:t>
      </w:r>
    </w:p>
    <w:bookmarkEnd w:id="173"/>
    <w:bookmarkStart w:id="174" w:name="ref-Pearl_et_al_2016"/>
    <w:p>
      <w:pPr>
        <w:pStyle w:val="Bibliography"/>
      </w:pPr>
      <w:r>
        <w:t xml:space="preserve">Pearl, J., M. Glymour, and N. Jewell. 2016.</w:t>
      </w:r>
      <w:r>
        <w:t xml:space="preserve"> </w:t>
      </w:r>
      <w:hyperlink r:id="rId141">
        <w:r>
          <w:rPr>
            <w:rStyle w:val="Hyperlink"/>
            <w:i/>
            <w:iCs/>
          </w:rPr>
          <w:t xml:space="preserve">Causal Inference in Statistics: A Primer</w:t>
        </w:r>
      </w:hyperlink>
      <w:r>
        <w:t xml:space="preserve">. John Wiley &amp; Sons, Inc.</w:t>
      </w:r>
    </w:p>
    <w:bookmarkEnd w:id="174"/>
    <w:bookmarkStart w:id="175" w:name="ref-Pearl_et_al_2018"/>
    <w:p>
      <w:pPr>
        <w:pStyle w:val="Bibliography"/>
      </w:pPr>
      <w:r>
        <w:t xml:space="preserve">Pearl, J., and D. Mackenzie. 2018.</w:t>
      </w:r>
      <w:r>
        <w:t xml:space="preserve"> </w:t>
      </w:r>
      <w:hyperlink r:id="rId141">
        <w:r>
          <w:rPr>
            <w:rStyle w:val="Hyperlink"/>
            <w:i/>
            <w:iCs/>
          </w:rPr>
          <w:t xml:space="preserve">The Book of Why: The New Science of Cause and Effect</w:t>
        </w:r>
      </w:hyperlink>
      <w:r>
        <w:t xml:space="preserve">. 1st ed. Basic Books, Inc.</w:t>
      </w:r>
    </w:p>
    <w:bookmarkEnd w:id="175"/>
    <w:bookmarkStart w:id="177"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6">
        <w:r>
          <w:rPr>
            <w:rStyle w:val="Hyperlink"/>
          </w:rPr>
          <w:t xml:space="preserve">https://doi.org/10.2307/2346567</w:t>
        </w:r>
      </w:hyperlink>
      <w:r>
        <w:t xml:space="preserve">.</w:t>
      </w:r>
    </w:p>
    <w:bookmarkEnd w:id="177"/>
    <w:bookmarkStart w:id="179"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8">
        <w:r>
          <w:rPr>
            <w:rStyle w:val="Hyperlink"/>
          </w:rPr>
          <w:t xml:space="preserve">https://doi.org/10.1007/s10798-011-9189-x</w:t>
        </w:r>
      </w:hyperlink>
      <w:r>
        <w:t xml:space="preserve">.</w:t>
      </w:r>
    </w:p>
    <w:bookmarkEnd w:id="179"/>
    <w:bookmarkStart w:id="18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80">
        <w:r>
          <w:rPr>
            <w:rStyle w:val="Hyperlink"/>
          </w:rPr>
          <w:t xml:space="preserve">https://doi.org/10.1080/0969594X.2012.665354</w:t>
        </w:r>
      </w:hyperlink>
      <w:r>
        <w:t xml:space="preserve">.</w:t>
      </w:r>
    </w:p>
    <w:bookmarkEnd w:id="181"/>
    <w:bookmarkStart w:id="183"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82">
        <w:r>
          <w:rPr>
            <w:rStyle w:val="Hyperlink"/>
          </w:rPr>
          <w:t xml:space="preserve">https://doi.org/10.1177/2515245917745629</w:t>
        </w:r>
      </w:hyperlink>
      <w:r>
        <w:t xml:space="preserve">.</w:t>
      </w:r>
    </w:p>
    <w:bookmarkEnd w:id="183"/>
    <w:bookmarkStart w:id="185"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84">
        <w:r>
          <w:rPr>
            <w:rStyle w:val="Hyperlink"/>
          </w:rPr>
          <w:t xml:space="preserve">https://doi.org/10.1037/h0037350</w:t>
        </w:r>
      </w:hyperlink>
      <w:r>
        <w:t xml:space="preserve">.</w:t>
      </w:r>
    </w:p>
    <w:bookmarkEnd w:id="185"/>
    <w:bookmarkStart w:id="187"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6">
        <w:r>
          <w:rPr>
            <w:rStyle w:val="Hyperlink"/>
          </w:rPr>
          <w:t xml:space="preserve">https://doi.org/10.1093/oxfordhb/9780199286546.003.0011</w:t>
        </w:r>
      </w:hyperlink>
      <w:r>
        <w:t xml:space="preserve">.</w:t>
      </w:r>
    </w:p>
    <w:bookmarkEnd w:id="187"/>
    <w:bookmarkStart w:id="189"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8">
        <w:r>
          <w:rPr>
            <w:rStyle w:val="Hyperlink"/>
          </w:rPr>
          <w:t xml:space="preserve">https://web.archive.org/web/20141015135541/http://www.mhhe.com/socscience/psychology/shaugh/ch01_concepts.html</w:t>
        </w:r>
      </w:hyperlink>
      <w:r>
        <w:t xml:space="preserve">.</w:t>
      </w:r>
    </w:p>
    <w:bookmarkEnd w:id="189"/>
    <w:bookmarkStart w:id="191"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90">
        <w:r>
          <w:rPr>
            <w:rStyle w:val="Hyperlink"/>
          </w:rPr>
          <w:t xml:space="preserve">https://www.jstor.org/stable/4320244</w:t>
        </w:r>
      </w:hyperlink>
      <w:r>
        <w:t xml:space="preserve">.</w:t>
      </w:r>
    </w:p>
    <w:bookmarkEnd w:id="191"/>
    <w:bookmarkStart w:id="193"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92">
        <w:r>
          <w:rPr>
            <w:rStyle w:val="Hyperlink"/>
          </w:rPr>
          <w:t xml:space="preserve">https://doi.org/10.1037/h0070288</w:t>
        </w:r>
      </w:hyperlink>
      <w:r>
        <w:t xml:space="preserve">.</w:t>
      </w:r>
    </w:p>
    <w:bookmarkEnd w:id="193"/>
    <w:bookmarkStart w:id="195"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94">
        <w:r>
          <w:rPr>
            <w:rStyle w:val="Hyperlink"/>
          </w:rPr>
          <w:t xml:space="preserve">https://doi.org/10.1016/0022-2496(86)90034-9</w:t>
        </w:r>
      </w:hyperlink>
      <w:r>
        <w:t xml:space="preserve">.</w:t>
      </w:r>
    </w:p>
    <w:bookmarkEnd w:id="195"/>
    <w:bookmarkStart w:id="196"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6"/>
    <w:bookmarkStart w:id="198"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7">
        <w:r>
          <w:rPr>
            <w:rStyle w:val="Hyperlink"/>
          </w:rPr>
          <w:t xml:space="preserve">https://doi.org/10.1080/0969594X.2016.1253542</w:t>
        </w:r>
      </w:hyperlink>
      <w:r>
        <w:t xml:space="preserve">.</w:t>
      </w:r>
    </w:p>
    <w:bookmarkEnd w:id="198"/>
    <w:bookmarkStart w:id="20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9">
        <w:r>
          <w:rPr>
            <w:rStyle w:val="Hyperlink"/>
          </w:rPr>
          <w:t xml:space="preserve">https://doi.org/10.3389/feduc.2017.00044</w:t>
        </w:r>
      </w:hyperlink>
      <w:r>
        <w:t xml:space="preserve">.</w:t>
      </w:r>
    </w:p>
    <w:bookmarkEnd w:id="200"/>
    <w:bookmarkStart w:id="20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01">
        <w:r>
          <w:rPr>
            <w:rStyle w:val="Hyperlink"/>
          </w:rPr>
          <w:t xml:space="preserve">https://doi.org/10.1080/0969594X.2019.1602027</w:t>
        </w:r>
      </w:hyperlink>
      <w:r>
        <w:t xml:space="preserve">.</w:t>
      </w:r>
    </w:p>
    <w:bookmarkEnd w:id="202"/>
    <w:bookmarkEnd w:id="203"/>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21" Target="media/rId21.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76" Target="media/rId76.png" /><Relationship Type="http://schemas.openxmlformats.org/officeDocument/2006/relationships/hyperlink" Id="rId141" Target="" TargetMode="External" /><Relationship Type="http://schemas.openxmlformats.org/officeDocument/2006/relationships/hyperlink" Id="rId131" Target="http://www.cambridgeassessment.org.uk/Images/232694-investigating-the-reliability-of-adaptive-comparative-judgment.pdf" TargetMode="External" /><Relationship Type="http://schemas.openxmlformats.org/officeDocument/2006/relationships/hyperlink" Id="rId167" Target="http://www.jstor.org/stable/2245382" TargetMode="External" /><Relationship Type="http://schemas.openxmlformats.org/officeDocument/2006/relationships/hyperlink" Id="rId155" Target="https://doi.org/10.1002/berj.3519" TargetMode="External" /><Relationship Type="http://schemas.openxmlformats.org/officeDocument/2006/relationships/hyperlink" Id="rId123" Target="https://doi.org/10.1007/978-3-030-52229-2_18" TargetMode="External" /><Relationship Type="http://schemas.openxmlformats.org/officeDocument/2006/relationships/hyperlink" Id="rId153" Target="https://doi.org/10.1007/s10649-015-9607-1" TargetMode="External" /><Relationship Type="http://schemas.openxmlformats.org/officeDocument/2006/relationships/hyperlink" Id="rId178" Target="https://doi.org/10.1007/s10798-011-9189-x" TargetMode="External" /><Relationship Type="http://schemas.openxmlformats.org/officeDocument/2006/relationships/hyperlink" Id="rId161" Target="https://doi.org/10.1007/s40841-020-00163-3" TargetMode="External" /><Relationship Type="http://schemas.openxmlformats.org/officeDocument/2006/relationships/hyperlink" Id="rId194" Target="https://doi.org/10.1016/0022-2496(86)90034-9" TargetMode="External" /><Relationship Type="http://schemas.openxmlformats.org/officeDocument/2006/relationships/hyperlink" Id="rId125" Target="https://doi.org/10.1016/j.jcomdis.2019.105969" TargetMode="External" /><Relationship Type="http://schemas.openxmlformats.org/officeDocument/2006/relationships/hyperlink" Id="rId184" Target="https://doi.org/10.1037/h0037350" TargetMode="External" /><Relationship Type="http://schemas.openxmlformats.org/officeDocument/2006/relationships/hyperlink" Id="rId159" Target="https://doi.org/10.1037/h0043178" TargetMode="External" /><Relationship Type="http://schemas.openxmlformats.org/officeDocument/2006/relationships/hyperlink" Id="rId192" Target="https://doi.org/10.1037/h0070288" TargetMode="External" /><Relationship Type="http://schemas.openxmlformats.org/officeDocument/2006/relationships/hyperlink" Id="rId180" Target="https://doi.org/10.1080/0969594X.2012.665354" TargetMode="External" /><Relationship Type="http://schemas.openxmlformats.org/officeDocument/2006/relationships/hyperlink" Id="rId197" Target="https://doi.org/10.1080/0969594X.2016.1253542" TargetMode="External" /><Relationship Type="http://schemas.openxmlformats.org/officeDocument/2006/relationships/hyperlink" Id="rId133" Target="https://doi.org/10.1080/0969594X.2017.1418734" TargetMode="External" /><Relationship Type="http://schemas.openxmlformats.org/officeDocument/2006/relationships/hyperlink" Id="rId201" Target="https://doi.org/10.1080/0969594X.2019.1602027" TargetMode="External" /><Relationship Type="http://schemas.openxmlformats.org/officeDocument/2006/relationships/hyperlink" Id="rId121" Target="https://doi.org/10.1080/10627197.2018.1444986" TargetMode="External" /><Relationship Type="http://schemas.openxmlformats.org/officeDocument/2006/relationships/hyperlink" Id="rId186" Target="https://doi.org/10.1093/oxfordhb/9780199286546.003.0011" TargetMode="External" /><Relationship Type="http://schemas.openxmlformats.org/officeDocument/2006/relationships/hyperlink" Id="rId149" Target="https://doi.org/10.1111/1471-0528.15199" TargetMode="External" /><Relationship Type="http://schemas.openxmlformats.org/officeDocument/2006/relationships/hyperlink" Id="rId172" Target="https://doi.org/10.1177/0962280215586010" TargetMode="External" /><Relationship Type="http://schemas.openxmlformats.org/officeDocument/2006/relationships/hyperlink" Id="rId147" Target="https://doi.org/10.1177/1403494813516712" TargetMode="External" /><Relationship Type="http://schemas.openxmlformats.org/officeDocument/2006/relationships/hyperlink" Id="rId182" Target="https://doi.org/10.1177/2515245917745629" TargetMode="External" /><Relationship Type="http://schemas.openxmlformats.org/officeDocument/2006/relationships/hyperlink" Id="rId145" Target="https://doi.org/10.1201/9780429425134 " TargetMode="External" /><Relationship Type="http://schemas.openxmlformats.org/officeDocument/2006/relationships/hyperlink" Id="rId127" Target="https://doi.org/10.17239/jowr-2024.15.03.03" TargetMode="External" /><Relationship Type="http://schemas.openxmlformats.org/officeDocument/2006/relationships/hyperlink" Id="rId135" Target="https://doi.org/10.2139/ssrn.3689437" TargetMode="External" /><Relationship Type="http://schemas.openxmlformats.org/officeDocument/2006/relationships/hyperlink" Id="rId170" Target="https://doi.org/10.2202/1557-4679.1203" TargetMode="External" /><Relationship Type="http://schemas.openxmlformats.org/officeDocument/2006/relationships/hyperlink" Id="rId129" Target="https://doi.org/10.2307/2334029" TargetMode="External" /><Relationship Type="http://schemas.openxmlformats.org/officeDocument/2006/relationships/hyperlink" Id="rId176" Target="https://doi.org/10.2307/2346567" TargetMode="External" /><Relationship Type="http://schemas.openxmlformats.org/officeDocument/2006/relationships/hyperlink" Id="rId119" Target="https://doi.org/10.2307/2347562" TargetMode="External" /><Relationship Type="http://schemas.openxmlformats.org/officeDocument/2006/relationships/hyperlink" Id="rId199" Target="https://doi.org/10.3389/feduc.2017.00044" TargetMode="External" /><Relationship Type="http://schemas.openxmlformats.org/officeDocument/2006/relationships/hyperlink" Id="rId143" Target="https://doi.org/10.3389/feduc.2020.582800" TargetMode="External" /><Relationship Type="http://schemas.openxmlformats.org/officeDocument/2006/relationships/hyperlink" Id="rId139" Target="https://doi.org/10.3389/feduc.2021.788202" TargetMode="External" /><Relationship Type="http://schemas.openxmlformats.org/officeDocument/2006/relationships/hyperlink" Id="rId114" Target="https://jriveraespejo.github.io/paper2_manuscript/" TargetMode="External" /><Relationship Type="http://schemas.openxmlformats.org/officeDocument/2006/relationships/hyperlink" Id="rId188" Target="https://web.archive.org/web/20141015135541/http://www.mhhe.com/socscience/psychology/shaugh/ch01_concepts.html" TargetMode="External" /><Relationship Type="http://schemas.openxmlformats.org/officeDocument/2006/relationships/hyperlink" Id="rId165" Target="https://www.bradyneal.com/Introduction_to_Causal_Inference-Dec17_2020-Neal.pdf" TargetMode="External" /><Relationship Type="http://schemas.openxmlformats.org/officeDocument/2006/relationships/hyperlink" Id="rId151" Target="https://www.hsph.harvard.edu/miguel-hernan/causal-inference-book" TargetMode="External" /><Relationship Type="http://schemas.openxmlformats.org/officeDocument/2006/relationships/hyperlink" Id="rId190" Target="https://www.jstor.org/stable/4320244" TargetMode="External" /><Relationship Type="http://schemas.openxmlformats.org/officeDocument/2006/relationships/hyperlink" Id="rId137"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41" Target="" TargetMode="External" /><Relationship Type="http://schemas.openxmlformats.org/officeDocument/2006/relationships/hyperlink" Id="rId131" Target="http://www.cambridgeassessment.org.uk/Images/232694-investigating-the-reliability-of-adaptive-comparative-judgment.pdf" TargetMode="External" /><Relationship Type="http://schemas.openxmlformats.org/officeDocument/2006/relationships/hyperlink" Id="rId167" Target="http://www.jstor.org/stable/2245382" TargetMode="External" /><Relationship Type="http://schemas.openxmlformats.org/officeDocument/2006/relationships/hyperlink" Id="rId155" Target="https://doi.org/10.1002/berj.3519" TargetMode="External" /><Relationship Type="http://schemas.openxmlformats.org/officeDocument/2006/relationships/hyperlink" Id="rId123" Target="https://doi.org/10.1007/978-3-030-52229-2_18" TargetMode="External" /><Relationship Type="http://schemas.openxmlformats.org/officeDocument/2006/relationships/hyperlink" Id="rId153" Target="https://doi.org/10.1007/s10649-015-9607-1" TargetMode="External" /><Relationship Type="http://schemas.openxmlformats.org/officeDocument/2006/relationships/hyperlink" Id="rId178" Target="https://doi.org/10.1007/s10798-011-9189-x" TargetMode="External" /><Relationship Type="http://schemas.openxmlformats.org/officeDocument/2006/relationships/hyperlink" Id="rId161" Target="https://doi.org/10.1007/s40841-020-00163-3" TargetMode="External" /><Relationship Type="http://schemas.openxmlformats.org/officeDocument/2006/relationships/hyperlink" Id="rId194" Target="https://doi.org/10.1016/0022-2496(86)90034-9" TargetMode="External" /><Relationship Type="http://schemas.openxmlformats.org/officeDocument/2006/relationships/hyperlink" Id="rId125" Target="https://doi.org/10.1016/j.jcomdis.2019.105969" TargetMode="External" /><Relationship Type="http://schemas.openxmlformats.org/officeDocument/2006/relationships/hyperlink" Id="rId184" Target="https://doi.org/10.1037/h0037350" TargetMode="External" /><Relationship Type="http://schemas.openxmlformats.org/officeDocument/2006/relationships/hyperlink" Id="rId159" Target="https://doi.org/10.1037/h0043178" TargetMode="External" /><Relationship Type="http://schemas.openxmlformats.org/officeDocument/2006/relationships/hyperlink" Id="rId192" Target="https://doi.org/10.1037/h0070288" TargetMode="External" /><Relationship Type="http://schemas.openxmlformats.org/officeDocument/2006/relationships/hyperlink" Id="rId180" Target="https://doi.org/10.1080/0969594X.2012.665354" TargetMode="External" /><Relationship Type="http://schemas.openxmlformats.org/officeDocument/2006/relationships/hyperlink" Id="rId197" Target="https://doi.org/10.1080/0969594X.2016.1253542" TargetMode="External" /><Relationship Type="http://schemas.openxmlformats.org/officeDocument/2006/relationships/hyperlink" Id="rId133" Target="https://doi.org/10.1080/0969594X.2017.1418734" TargetMode="External" /><Relationship Type="http://schemas.openxmlformats.org/officeDocument/2006/relationships/hyperlink" Id="rId201" Target="https://doi.org/10.1080/0969594X.2019.1602027" TargetMode="External" /><Relationship Type="http://schemas.openxmlformats.org/officeDocument/2006/relationships/hyperlink" Id="rId121" Target="https://doi.org/10.1080/10627197.2018.1444986" TargetMode="External" /><Relationship Type="http://schemas.openxmlformats.org/officeDocument/2006/relationships/hyperlink" Id="rId186" Target="https://doi.org/10.1093/oxfordhb/9780199286546.003.0011" TargetMode="External" /><Relationship Type="http://schemas.openxmlformats.org/officeDocument/2006/relationships/hyperlink" Id="rId149" Target="https://doi.org/10.1111/1471-0528.15199" TargetMode="External" /><Relationship Type="http://schemas.openxmlformats.org/officeDocument/2006/relationships/hyperlink" Id="rId172" Target="https://doi.org/10.1177/0962280215586010" TargetMode="External" /><Relationship Type="http://schemas.openxmlformats.org/officeDocument/2006/relationships/hyperlink" Id="rId147" Target="https://doi.org/10.1177/1403494813516712" TargetMode="External" /><Relationship Type="http://schemas.openxmlformats.org/officeDocument/2006/relationships/hyperlink" Id="rId182" Target="https://doi.org/10.1177/2515245917745629" TargetMode="External" /><Relationship Type="http://schemas.openxmlformats.org/officeDocument/2006/relationships/hyperlink" Id="rId145" Target="https://doi.org/10.1201/9780429425134 " TargetMode="External" /><Relationship Type="http://schemas.openxmlformats.org/officeDocument/2006/relationships/hyperlink" Id="rId127" Target="https://doi.org/10.17239/jowr-2024.15.03.03" TargetMode="External" /><Relationship Type="http://schemas.openxmlformats.org/officeDocument/2006/relationships/hyperlink" Id="rId135" Target="https://doi.org/10.2139/ssrn.3689437" TargetMode="External" /><Relationship Type="http://schemas.openxmlformats.org/officeDocument/2006/relationships/hyperlink" Id="rId170" Target="https://doi.org/10.2202/1557-4679.1203" TargetMode="External" /><Relationship Type="http://schemas.openxmlformats.org/officeDocument/2006/relationships/hyperlink" Id="rId129" Target="https://doi.org/10.2307/2334029" TargetMode="External" /><Relationship Type="http://schemas.openxmlformats.org/officeDocument/2006/relationships/hyperlink" Id="rId176" Target="https://doi.org/10.2307/2346567" TargetMode="External" /><Relationship Type="http://schemas.openxmlformats.org/officeDocument/2006/relationships/hyperlink" Id="rId119" Target="https://doi.org/10.2307/2347562" TargetMode="External" /><Relationship Type="http://schemas.openxmlformats.org/officeDocument/2006/relationships/hyperlink" Id="rId199" Target="https://doi.org/10.3389/feduc.2017.00044" TargetMode="External" /><Relationship Type="http://schemas.openxmlformats.org/officeDocument/2006/relationships/hyperlink" Id="rId143" Target="https://doi.org/10.3389/feduc.2020.582800" TargetMode="External" /><Relationship Type="http://schemas.openxmlformats.org/officeDocument/2006/relationships/hyperlink" Id="rId139" Target="https://doi.org/10.3389/feduc.2021.788202" TargetMode="External" /><Relationship Type="http://schemas.openxmlformats.org/officeDocument/2006/relationships/hyperlink" Id="rId114" Target="https://jriveraespejo.github.io/paper2_manuscript/" TargetMode="External" /><Relationship Type="http://schemas.openxmlformats.org/officeDocument/2006/relationships/hyperlink" Id="rId188" Target="https://web.archive.org/web/20141015135541/http://www.mhhe.com/socscience/psychology/shaugh/ch01_concepts.html" TargetMode="External" /><Relationship Type="http://schemas.openxmlformats.org/officeDocument/2006/relationships/hyperlink" Id="rId165" Target="https://www.bradyneal.com/Introduction_to_Causal_Inference-Dec17_2020-Neal.pdf" TargetMode="External" /><Relationship Type="http://schemas.openxmlformats.org/officeDocument/2006/relationships/hyperlink" Id="rId151" Target="https://www.hsph.harvard.edu/miguel-hernan/causal-inference-book" TargetMode="External" /><Relationship Type="http://schemas.openxmlformats.org/officeDocument/2006/relationships/hyperlink" Id="rId190" Target="https://www.jstor.org/stable/4320244" TargetMode="External" /><Relationship Type="http://schemas.openxmlformats.org/officeDocument/2006/relationships/hyperlink" Id="rId137"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2024-08-19T16:31:06Z</dcterms:created>
  <dcterms:modified xsi:type="dcterms:W3CDTF">2024-08-19T16:31:06Z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2024-08-19</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