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9.png" ContentType="image/png"/>
  <Override PartName="/word/media/rId35.png" ContentType="image/png"/>
  <Override PartName="/word/media/rId21.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2024-11-22</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three: the over-reliance on the assumptions of Thurstone’s Case V in the statistical analysis of CJ data, the apparent disconnect between CJ’s trait measurement and hypothesis testing, and the unclear role of the diverse assessment design features on CJ’s reliability and validity. The following sections begin with a brief overview of Thurstone’s theory and a detailed discussion of these issues. Subsequently, the study introduces a theoretical model for CJ that builds upon Thurstone’s theory, alongside its statistical translation, designed to address all three concerns simultaneously.</w:t>
      </w:r>
    </w:p>
    <w:bookmarkEnd w:id="20"/>
    <w:bookmarkStart w:id="34" w:name="sec-thurstone_theory"/>
    <w:p>
      <w:pPr>
        <w:pStyle w:val="Heading1"/>
      </w:pPr>
      <w:r>
        <w:t xml:space="preserve">Thurstone’s theory</w:t>
      </w:r>
    </w:p>
    <w:p>
      <w:pPr>
        <w:pStyle w:val="FirstParagraph"/>
      </w:pPr>
      <w:r>
        <w:t xml:space="preserve">In its most general form, Thurstone’s theory</w:t>
      </w:r>
      <w:r>
        <w:t xml:space="preserve"> </w:t>
      </w:r>
      <w:r>
        <w:t xml:space="preserve">(1927a)</w:t>
      </w:r>
      <w:r>
        <w:t xml:space="preserve"> </w:t>
      </w:r>
      <w:r>
        <w:t xml:space="preserve">suggests that two factors determine the dichotomous outcome of pairwise comparisons: the discriminal process of each stimulus and their discriminal difference. The</w:t>
      </w:r>
      <w:r>
        <w:t xml:space="preserve"> </w:t>
      </w:r>
      <w:r>
        <w:rPr>
          <w:i/>
          <w:iCs/>
        </w:rPr>
        <w:t xml:space="preserve">discriminal process</w:t>
      </w:r>
      <w:r>
        <w:t xml:space="preserve"> </w:t>
      </w:r>
      <w:r>
        <w:t xml:space="preserve">refers to the psychological effect each stimulus exerts on the judges, or more simply, the underlying perception of the stimulus’ trait level. According to the theory, the discriminal process for each stimulus follows a Normal distribution. The mode (mean) of this distribution, referred to as the</w:t>
      </w:r>
      <w:r>
        <w:t xml:space="preserve"> </w:t>
      </w:r>
      <w:r>
        <w:rPr>
          <w:i/>
          <w:iCs/>
        </w:rPr>
        <w:t xml:space="preserve">modal discriminal process</w:t>
      </w:r>
      <w:r>
        <w:t xml:space="preserve">, represents the stimulus’ position on the trait continuum. Meanwhile, the dispersion of the distribution, referred to as the</w:t>
      </w:r>
      <w:r>
        <w:t xml:space="preserve"> </w:t>
      </w:r>
      <w:r>
        <w:rPr>
          <w:i/>
          <w:iCs/>
        </w:rPr>
        <w:t xml:space="preserve">discriminal dispersion</w:t>
      </w:r>
      <w:r>
        <w:t xml:space="preserve">, reflects the variability in the perceived trait level of the stimulus.</w:t>
      </w:r>
    </w:p>
    <w:p>
      <w:pPr>
        <w:pStyle w:val="BodyText"/>
      </w:pPr>
      <w:r>
        <w:t xml:space="preserve">However, since the discriminal process of a single stimulus is not directly observable, the</w:t>
      </w:r>
      <w:r>
        <w:t xml:space="preserve"> </w:t>
      </w:r>
      <w:r>
        <w:rPr>
          <w:i/>
          <w:iCs/>
        </w:rPr>
        <w:t xml:space="preserve">law of comparative judgment</w:t>
      </w:r>
      <w:r>
        <w:t xml:space="preserve"> </w:t>
      </w:r>
      <w:r>
        <w:t xml:space="preserve">becomes essential. This law states that in pairwise comparisons, the stimulus positioned further along the trait continuum is perceived as having a higher level of that trait. Thus, the theory assumes the observed dichotomous outcome is determined by the distribution of the difference between the underlying discriminal processes of the stimuli, referred to as the</w:t>
      </w:r>
      <w:r>
        <w:t xml:space="preserve"> </w:t>
      </w:r>
      <w:r>
        <w:rPr>
          <w:i/>
          <w:iCs/>
        </w:rPr>
        <w:t xml:space="preserve">discriminal difference</w:t>
      </w:r>
      <w:r>
        <w:t xml:space="preserve">. This indicates that the outcome depends on the relative distance between stimuli, rather than their absolute positions on the trait continuum.</w:t>
      </w:r>
    </w:p>
    <w:p>
      <w:pPr>
        <w:pStyle w:val="BodyText"/>
      </w:pPr>
      <w:r>
        <w:t xml:space="preserve">These concepts are more easily understood through an example. For instance, in the context of evaluating text quality,</w:t>
      </w:r>
      <w:r>
        <w:t xml:space="preserve"> </w:t>
      </w:r>
      <w:hyperlink w:anchor="fig-discriminal_process">
        <w:r>
          <w:rPr>
            <w:rStyle w:val="Hyperlink"/>
          </w:rPr>
          <w:t xml:space="preserve">Figure 1 (a)</w:t>
        </w:r>
      </w:hyperlink>
      <w:r>
        <w:t xml:space="preserve"> </w:t>
      </w:r>
      <w:r>
        <w:t xml:space="preserve">could depict the underlying discriminal process distributions for two written texts, highlighting differences in their discriminal dispersions and modal discriminal processes along the quality trait continuum. Furthermore,</w:t>
      </w:r>
      <w:r>
        <w:t xml:space="preserve"> </w:t>
      </w:r>
      <w:hyperlink w:anchor="fig-discriminal_difference">
        <w:r>
          <w:rPr>
            <w:rStyle w:val="Hyperlink"/>
          </w:rPr>
          <w:t xml:space="preserve">Figure 1 (b)</w:t>
        </w:r>
      </w:hyperlink>
      <w:r>
        <w:t xml:space="preserve"> </w:t>
      </w:r>
      <w:r>
        <w:t xml:space="preserve">could display the discriminal difference distribution for these texts, showing that text A is perceived to exhibit significantly higher quality than text B, as indicated by the shaded gray area. Consequently, the dichotomous outcome of this comparison would probably favor text A.</w:t>
      </w:r>
    </w:p>
    <w:bookmarkStart w:id="29" w:name="fig-thurstone_theory"/>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4" w:name="fig-discriminal_process"/>
                <w:p>
                  <w:pPr>
                    <w:pStyle w:val="Compact"/>
                    <w:jc w:val="center"/>
                    <w:jc w:val="left"/>
                  </w:pPr>
                  <w:r>
                    <w:drawing>
                      <wp:inline>
                        <wp:extent cx="2971800" cy="2077292"/>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2971800" cy="207729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Discriminal processes</w:t>
                  </w:r>
                </w:p>
                <w:bookmarkEnd w:id="2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28" w:name="fig-discriminal_difference"/>
                <w:p>
                  <w:pPr>
                    <w:pStyle w:val="Compact"/>
                    <w:jc w:val="center"/>
                    <w:jc w:val="left"/>
                  </w:pPr>
                  <w:r>
                    <w:drawing>
                      <wp:inline>
                        <wp:extent cx="2971800" cy="2109978"/>
                        <wp:effectExtent b="0" l="0" r="0" t="0"/>
                        <wp:docPr descr="" title="" id="26" name="Picture"/>
                        <a:graphic>
                          <a:graphicData uri="http://schemas.openxmlformats.org/drawingml/2006/picture">
                            <pic:pic>
                              <pic:nvPicPr>
                                <pic:cNvPr descr="./images/figures/comparative_judgment.png" id="27" name="Picture"/>
                                <pic:cNvPicPr>
                                  <a:picLocks noChangeArrowheads="1" noChangeAspect="1"/>
                                </pic:cNvPicPr>
                              </pic:nvPicPr>
                              <pic:blipFill>
                                <a:blip r:embed="rId25"/>
                                <a:stretch>
                                  <a:fillRect/>
                                </a:stretch>
                              </pic:blipFill>
                              <pic:spPr bwMode="auto">
                                <a:xfrm>
                                  <a:off x="0" y="0"/>
                                  <a:ext cx="2971800" cy="210997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Discriminal difference</w:t>
                  </w:r>
                </w:p>
                <w:bookmarkEnd w:id="28"/>
              </w:tc>
            </w:tr>
          </w:tbl>
          <w:p/>
        </w:tc>
      </w:tr>
    </w:tbl>
    <w:p>
      <w:pPr>
        <w:pStyle w:val="BodyText"/>
      </w:pPr>
      <w:pPr>
        <w:spacing w:before="200"/>
        <w:pStyle w:val="ImageCaption"/>
      </w:pPr>
      <w:r>
        <w:t xml:space="preserve">Figure 1: Example distribution of discriminal processes and their discriminal difference for two written texts (stimuli or objects). Extracted from</w:t>
      </w:r>
      <w:r>
        <w:t xml:space="preserve"> </w:t>
      </w:r>
      <w:r>
        <w:t xml:space="preserve">Bramley (2008, 249–51)</w:t>
      </w:r>
      <w:r>
        <w:t xml:space="preserve">.</w:t>
      </w:r>
    </w:p>
    <w:bookmarkEnd w:id="29"/>
    <w:p>
      <w:pPr>
        <w:pStyle w:val="BodyText"/>
      </w:pPr>
      <w:r>
        <w:t xml:space="preserve">Importantly, the general form of Thurstone’s theory primarily addressed pairwise comparisons of stimuli made by a single judge</w:t>
      </w:r>
      <w:r>
        <w:t xml:space="preserve"> </w:t>
      </w:r>
      <w:r>
        <w:t xml:space="preserve">(Thurstone 1927a, 267)</w:t>
      </w:r>
      <w:r>
        <w:t xml:space="preserve">. Thus, for practical application, Thurstone introduced five distinct cases derived from this general form, each defined by progressively simplifying assumptions.</w:t>
      </w:r>
      <w:r>
        <w:t xml:space="preserve"> </w:t>
      </w:r>
      <w:hyperlink w:anchor="tbl-thurstone_cases">
        <w:r>
          <w:rPr>
            <w:rStyle w:val="Hyperlink"/>
          </w:rPr>
          <w:t xml:space="preserve">Table 1</w:t>
        </w:r>
      </w:hyperlink>
      <w:r>
        <w:t xml:space="preserve"> </w:t>
      </w:r>
      <w:r>
        <w:t xml:space="preserve">summarizes these cases, highlighting key assumptions such as the distribution of discriminal processes, the similarity of discriminal dispersions across stimuli, the correlation between stimuli, and the number of judges performing the comparisons. For a comprehensive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1" name="Picture"/>
                  <a:graphic>
                    <a:graphicData uri="http://schemas.openxmlformats.org/drawingml/2006/picture">
                      <pic:pic>
                        <pic:nvPicPr>
                          <pic:cNvPr descr="./images/tables/thurstone_cases.png" id="32" name="Picture"/>
                          <pic:cNvPicPr>
                            <a:picLocks noChangeArrowheads="1" noChangeAspect="1"/>
                          </pic:cNvPicPr>
                        </pic:nvPicPr>
                        <pic:blipFill>
                          <a:blip r:embed="rId30"/>
                          <a:stretch>
                            <a:fillRect/>
                          </a:stretch>
                        </pic:blipFill>
                        <pic:spPr bwMode="auto">
                          <a:xfrm>
                            <a:off x="0" y="0"/>
                            <a:ext cx="4800600" cy="1522190"/>
                          </a:xfrm>
                          <a:prstGeom prst="rect">
                            <a:avLst/>
                          </a:prstGeom>
                          <a:noFill/>
                          <a:ln w="9525">
                            <a:noFill/>
                            <a:headEnd/>
                            <a:tailEnd/>
                          </a:ln>
                        </pic:spPr>
                      </pic:pic>
                    </a:graphicData>
                  </a:graphic>
                </wp:inline>
              </w:drawing>
            </w:r>
          </w:p>
          <w:bookmarkEnd w:id="33"/>
        </w:tc>
      </w:tr>
    </w:tbl>
    <w:bookmarkEnd w:id="34"/>
    <w:bookmarkStart w:id="47" w:name="sec-theory-issues"/>
    <w:p>
      <w:pPr>
        <w:pStyle w:val="Heading1"/>
      </w:pPr>
      <w:r>
        <w:t xml:space="preserve">Three critical issues in CJ literature</w:t>
      </w:r>
    </w:p>
    <w:bookmarkStart w:id="44" w:name="sec-theory-issue1"/>
    <w:p>
      <w:pPr>
        <w:pStyle w:val="Heading2"/>
      </w:pPr>
      <w:r>
        <w:t xml:space="preserve">The Case V and the statistical analysis of CJ data</w:t>
      </w:r>
    </w:p>
    <w:p>
      <w:pPr>
        <w:pStyle w:val="FirstParagraph"/>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is largely due to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 1:16)</w:t>
      </w:r>
      <w:r>
        <w:t xml:space="preserve"> </w:t>
      </w:r>
      <w:r>
        <w:t xml:space="preserve">(see</w:t>
      </w:r>
      <w:r>
        <w:t xml:space="preserve"> </w:t>
      </w:r>
      <w:hyperlink w:anchor="fig-logistic_vs_normal">
        <w:r>
          <w:rPr>
            <w:rStyle w:val="Hyperlink"/>
          </w:rPr>
          <w:t xml:space="preserve">Figure 2</w:t>
        </w:r>
      </w:hyperlink>
      <w:r>
        <w:t xml:space="preserve">).</w:t>
      </w:r>
    </w:p>
    <w:bookmarkStart w:id="43"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8" w:name="fig-density"/>
                <w:p>
                  <w:pPr>
                    <w:pStyle w:val="Compact"/>
                    <w:jc w:val="center"/>
                    <w:jc w:val="left"/>
                  </w:pPr>
                  <w:r>
                    <w:drawing>
                      <wp:inline>
                        <wp:extent cx="2971800" cy="2672669"/>
                        <wp:effectExtent b="0" l="0" r="0" t="0"/>
                        <wp:docPr descr="" title="" id="36" name="Picture"/>
                        <a:graphic>
                          <a:graphicData uri="http://schemas.openxmlformats.org/drawingml/2006/picture">
                            <pic:pic>
                              <pic:nvPicPr>
                                <pic:cNvPr descr="./images/figures/density.png" id="37" name="Picture"/>
                                <pic:cNvPicPr>
                                  <a:picLocks noChangeArrowheads="1" noChangeAspect="1"/>
                                </pic:cNvPicPr>
                              </pic:nvPicPr>
                              <pic:blipFill>
                                <a:blip r:embed="rId35"/>
                                <a:stretch>
                                  <a:fillRect/>
                                </a:stretch>
                              </pic:blipFill>
                              <pic:spPr bwMode="auto">
                                <a:xfrm>
                                  <a:off x="0" y="0"/>
                                  <a:ext cx="2971800" cy="26726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8"/>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2" w:name="fig-cumulative"/>
                <w:p>
                  <w:pPr>
                    <w:pStyle w:val="Compact"/>
                    <w:jc w:val="center"/>
                    <w:jc w:val="left"/>
                  </w:pPr>
                  <w:r>
                    <w:drawing>
                      <wp:inline>
                        <wp:extent cx="2971800" cy="2630139"/>
                        <wp:effectExtent b="0" l="0" r="0" t="0"/>
                        <wp:docPr descr="" title="" id="40" name="Picture"/>
                        <a:graphic>
                          <a:graphicData uri="http://schemas.openxmlformats.org/drawingml/2006/picture">
                            <pic:pic>
                              <pic:nvPicPr>
                                <pic:cNvPr descr="./images/figures/cumulative.png" id="41" name="Picture"/>
                                <pic:cNvPicPr>
                                  <a:picLocks noChangeArrowheads="1" noChangeAspect="1"/>
                                </pic:cNvPicPr>
                              </pic:nvPicPr>
                              <pic:blipFill>
                                <a:blip r:embed="rId39"/>
                                <a:stretch>
                                  <a:fillRect/>
                                </a:stretch>
                              </pic:blipFill>
                              <pic:spPr bwMode="auto">
                                <a:xfrm>
                                  <a:off x="0" y="0"/>
                                  <a:ext cx="2971800" cy="263013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2"/>
              </w:tc>
            </w:tr>
          </w:tbl>
          <w:p/>
        </w:tc>
      </w:tr>
    </w:tbl>
    <w:p>
      <w:pPr>
        <w:pStyle w:val="BodyText"/>
      </w:pPr>
      <w:pPr>
        <w:spacing w:before="200"/>
        <w:pStyle w:val="ImageCaption"/>
      </w:pPr>
      <w:r>
        <w:t xml:space="preserve">Figure 2: Probability density and cumulative probability of the logistic and Normal distributions. Extracted from</w:t>
      </w:r>
      <w:r>
        <w:t xml:space="preserve"> </w:t>
      </w:r>
      <w:r>
        <w:t xml:space="preserve">Bramley (2008, 254–55)</w:t>
      </w:r>
      <w:r>
        <w:t xml:space="preserve">.</w:t>
      </w:r>
    </w:p>
    <w:bookmarkEnd w:id="43"/>
    <w:p>
      <w:pPr>
        <w:pStyle w:val="BodyText"/>
      </w:pPr>
      <w:r>
        <w:t xml:space="preserve">However, Case V was originally developed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be suitable for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in the presence of complex traits or heterogeneous stimuli, such as handwriting or English compositions</w:t>
      </w:r>
      <w:r>
        <w:t xml:space="preserve"> </w:t>
      </w:r>
      <w:r>
        <w:t xml:space="preserve">(Thurstone 1927b, 374)</w:t>
      </w:r>
      <w:r>
        <w:t xml:space="preserve">. Consequently, given that modern CJ applications frequently involve these types of traits and stimuli, two main assumptions of Case V may not consistently hold in theory or practice: the zero correlation and equal dispersion between stimuli.</w:t>
      </w:r>
    </w:p>
    <w:p>
      <w:pPr>
        <w:pStyle w:val="BodyText"/>
      </w:pPr>
      <w:r>
        <w:t xml:space="preserve">The assumption of</w:t>
      </w:r>
      <w:r>
        <w:t xml:space="preserve"> </w:t>
      </w:r>
      <w:r>
        <w:rPr>
          <w:i/>
          <w:iCs/>
        </w:rPr>
        <w:t xml:space="preserve">zero correlation between stimuli</w:t>
      </w:r>
      <w:r>
        <w:t xml:space="preserve"> </w:t>
      </w:r>
      <w:r>
        <w:t xml:space="preserve">can be better understood through an example. For instance, when using pairwise comparisons to evaluate text quality, the assumption implies that a judge’s perception of a trait in one text does not influence his perception of the same trait in another text.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 This cancellation was mathematically demonstrated by</w:t>
      </w:r>
      <w:r>
        <w:t xml:space="preserve"> </w:t>
      </w:r>
      <w:r>
        <w:t xml:space="preserve">Andrich (1978)</w:t>
      </w:r>
      <w:r>
        <w:t xml:space="preserve">, using the BTL model under the assumption of additive biases in the discriminal processes.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and heterogeneous stimuli may introduce dependencies between stimuli. Research on text quality suggests that when judges evaluate these traits, they often rely on various intricate aspects of the stimuli to form their judgments</w:t>
      </w:r>
      <w:r>
        <w:t xml:space="preserve"> </w:t>
      </w:r>
      <w:r>
        <w:t xml:space="preserve">(van Daal et al. 2016; Lesterhuis 2018b; Chambers and Cunningham 2022)</w:t>
      </w:r>
      <w:r>
        <w:t xml:space="preserve">. In this context, it is not inconceivable that these aspects, being neither equally weighted nor opposing, may unevenly influence judges’ perceptions, resulting in biases that resist cancellation. For example, this might occur when a judge assessing the argumentative quality of a text places disproportionate emphasis on grammatical accuracy,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judges’ biases, supporting the idea that the different factors influencing pairwise comparisons may not always cancel out.</w:t>
      </w:r>
    </w:p>
    <w:p>
      <w:pPr>
        <w:pStyle w:val="BodyText"/>
      </w:pPr>
      <w:r>
        <w:t xml:space="preserve">In the second scenario, the shared context or inherent connections created by the additional hierarchical structure may introduce dependencies between stimuli, a statistical phenomenon commonly known as clustering</w:t>
      </w:r>
      <w:r>
        <w:t xml:space="preserve"> </w:t>
      </w:r>
      <w:r>
        <w:t xml:space="preserve">(Everitt and Skrondal 2010)</w:t>
      </w:r>
      <w:r>
        <w:t xml:space="preserve">. Nevertheless, despite recognizing such hierarchical structures in CJ data, the statistical handling of this extra source of dependency in the CJ literature has been inadequate. For instance, in cases where the CJ data included multiple samples of stimuli from the same individuals, researchers have often relied on (averaged)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has the significant limitation of ignoring the uncertainty associated with the scores (refer to section</w:t>
      </w:r>
      <w:r>
        <w:t xml:space="preserve"> </w:t>
      </w:r>
      <w:hyperlink w:anchor="sec-theory-issue2">
        <w:r>
          <w:rPr>
            <w:rStyle w:val="Hyperlink"/>
          </w:rPr>
          <w:t xml:space="preserve">Section 3.2</w:t>
        </w:r>
      </w:hyperlink>
      <w:r>
        <w:t xml:space="preserve"> </w:t>
      </w:r>
      <w:r>
        <w:t xml:space="preserve">for a detailed discussion of this issue).</w:t>
      </w:r>
    </w:p>
    <w:p>
      <w:pPr>
        <w:pStyle w:val="BodyText"/>
      </w:pPr>
      <w:r>
        <w:t xml:space="preserve">In contrast, the assumption of</w:t>
      </w:r>
      <w:r>
        <w:t xml:space="preserve"> </w:t>
      </w:r>
      <w:r>
        <w:rPr>
          <w:i/>
          <w:iCs/>
        </w:rPr>
        <w:t xml:space="preserve">equal dispersion between stimuli</w:t>
      </w:r>
      <w:r>
        <w:t xml:space="preserve"> </w:t>
      </w:r>
      <w:r>
        <w:t xml:space="preserve">suggests that the variability in the perceived trait level of the stimuli is the same across stimuli. While Thurstone acknowledged that this assumption may be violated when</w:t>
      </w:r>
      <w:r>
        <w:t xml:space="preserve"> </w:t>
      </w:r>
      <w:r>
        <w:t xml:space="preserve">“dealing with less conspicuous attributes or with less homogeneous stimuli”</w:t>
      </w:r>
      <w:r>
        <w:t xml:space="preserve"> </w:t>
      </w:r>
      <w:r>
        <w:t xml:space="preserve">(Thurstone 1927b, 374)</w:t>
      </w:r>
      <w:r>
        <w:t xml:space="preserve">, no study explicitly proposes that this assumption could also be violated due to the presence of an additional hierarchical (grouping) structure relevant to the texts. One such scenario might arise, for example, when comparing texts produced by university and secondary school students. In this case, university students may consistently (or more precisely) produce higher-quality texts, while secondary school students, who exhibit a broader range of writing abilities, would show greater variability in the quality of their texts. Although this example is somewhat contrived, it effectively illustrates how assuming equal dispersions across texts can overlook meaningful differences in the reliability of text quality across groups or individuals.</w:t>
      </w:r>
    </w:p>
    <w:p>
      <w:pPr>
        <w:pStyle w:val="BodyText"/>
      </w:pPr>
      <w:r>
        <w:t xml:space="preserve">“however”</w:t>
      </w:r>
      <w:r>
        <w:t xml:space="preserve"> </w:t>
      </w:r>
      <w:r>
        <w:t xml:space="preserve">paragraph</w:t>
      </w:r>
    </w:p>
    <w:p>
      <w:pPr>
        <w:pStyle w:val="BodyText"/>
      </w:pPr>
      <w:r>
        <w:t xml:space="preserve">“to mitigate”</w:t>
      </w:r>
      <w:r>
        <w:t xml:space="preserve"> </w:t>
      </w:r>
      <w:r>
        <w:t xml:space="preserve">paragraph</w:t>
      </w:r>
    </w:p>
    <w:bookmarkEnd w:id="44"/>
    <w:bookmarkStart w:id="45" w:name="sec-theory-issue2"/>
    <w:p>
      <w:pPr>
        <w:pStyle w:val="Heading2"/>
      </w:pPr>
      <w:r>
        <w:t xml:space="preserve">The disconnect between trait measurement and hypothesis testing</w:t>
      </w:r>
    </w:p>
    <w:p>
      <w:pPr>
        <w:pStyle w:val="FirstParagraph"/>
      </w:pPr>
      <w:r>
        <w:t xml:space="preserve">Building on the previous section, it is evident that the BTL model commonly functions as the trait’s measurement model in CJ experiments</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and tests, or to make decisions regarding the exclusion of certain data in these analyses and tests. The literature shows that these scores have been employed to calculate correlations with other assessment methods</w:t>
      </w:r>
      <w:r>
        <w:t xml:space="preserve"> </w:t>
      </w:r>
      <w:r>
        <w:t xml:space="preserve">(Goossens and De Maeyer 2018; Bouwer et al. 2023)</w:t>
      </w:r>
      <w:r>
        <w:t xml:space="preserve"> </w:t>
      </w:r>
      <w:r>
        <w:t xml:space="preserve">or to test hypotheses related to the underlying traits of interest</w:t>
      </w:r>
      <w:r>
        <w:t xml:space="preserve"> </w:t>
      </w:r>
      <w:r>
        <w:t xml:space="preserve">(Bramley and Vitello 2019; Boonen, Kloots, and Gillis 2020; Bouwer et al. 2023; van Daal et al. 2017; Jones et al. 2019; Gijsen et al. 2021)</w:t>
      </w:r>
      <w:r>
        <w:t xml:space="preserve">. Additionally, the BTL scores have been used to detect biases in judges’ ratings</w:t>
      </w:r>
      <w:r>
        <w:t xml:space="preserve"> </w:t>
      </w:r>
      <w:r>
        <w:t xml:space="preserve">(Pollitt and Elliott 2003; Pollitt 2012)</w:t>
      </w:r>
      <w:r>
        <w:t xml:space="preserve">, as well as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with considerations for their possible exclusion.</w:t>
      </w:r>
    </w:p>
    <w:p>
      <w:pPr>
        <w:pStyle w:val="BodyText"/>
      </w:pPr>
      <w:r>
        <w:t xml:space="preserve">However, the statistical literature advises caution when using estimated scores for additional analyses and tests, as well as when eliminating data through ad hoc univariate procedures.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Moreover, excluding data using ad hoc univariate procedures can compound these issues by discarding potentially valuable information, further exacerbating the bias</w:t>
      </w:r>
      <w:r>
        <w:t xml:space="preserve"> </w:t>
      </w:r>
      <w:r>
        <w:t xml:space="preserve">(Zimmerman 1994; McElreath 2020)</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5"/>
    <w:bookmarkStart w:id="46" w:name="sec-theory-issue3"/>
    <w:p>
      <w:pPr>
        <w:pStyle w:val="Heading2"/>
      </w:pPr>
      <w:r>
        <w:t xml:space="preserve">The diverse assessment design features and their role on reliability and validity</w:t>
      </w:r>
    </w:p>
    <w:bookmarkEnd w:id="46"/>
    <w:bookmarkEnd w:id="47"/>
    <w:bookmarkStart w:id="50" w:name="sec-theory"/>
    <w:p>
      <w:pPr>
        <w:pStyle w:val="Heading1"/>
      </w:pPr>
      <w:r>
        <w:t xml:space="preserve">An updated theoretical and statistical model for CJ</w:t>
      </w:r>
    </w:p>
    <w:bookmarkStart w:id="48" w:name="sec-theory-theoretical"/>
    <w:p>
      <w:pPr>
        <w:pStyle w:val="Heading2"/>
      </w:pPr>
      <w:r>
        <w:t xml:space="preserve">The theoretical model</w:t>
      </w:r>
    </w:p>
    <w:bookmarkEnd w:id="48"/>
    <w:bookmarkStart w:id="49" w:name="sec-theory-statistics"/>
    <w:p>
      <w:pPr>
        <w:pStyle w:val="Heading2"/>
      </w:pPr>
      <w:r>
        <w:t xml:space="preserve">From theory to statistics</w:t>
      </w:r>
    </w:p>
    <w:bookmarkEnd w:id="49"/>
    <w:bookmarkEnd w:id="50"/>
    <w:bookmarkStart w:id="53" w:name="sec-discuss"/>
    <w:p>
      <w:pPr>
        <w:pStyle w:val="Heading1"/>
      </w:pPr>
      <w:r>
        <w:t xml:space="preserve">Discussion</w:t>
      </w:r>
    </w:p>
    <w:bookmarkStart w:id="51" w:name="sec-discuss-finding"/>
    <w:p>
      <w:pPr>
        <w:pStyle w:val="Heading2"/>
      </w:pPr>
      <w:r>
        <w:t xml:space="preserve">Findings</w:t>
      </w:r>
    </w:p>
    <w:bookmarkEnd w:id="51"/>
    <w:bookmarkStart w:id="52" w:name="sec-discuss-limitations"/>
    <w:p>
      <w:pPr>
        <w:pStyle w:val="Heading2"/>
      </w:pPr>
      <w:r>
        <w:t xml:space="preserve">Limitations and further research</w:t>
      </w:r>
    </w:p>
    <w:bookmarkEnd w:id="52"/>
    <w:bookmarkEnd w:id="53"/>
    <w:bookmarkStart w:id="54" w:name="sec-conclusion"/>
    <w:p>
      <w:pPr>
        <w:pStyle w:val="Heading1"/>
      </w:pPr>
      <w:r>
        <w:t xml:space="preserve">Conclusion</w:t>
      </w:r>
    </w:p>
    <w:p>
      <w:r>
        <w:br w:type="page"/>
      </w:r>
    </w:p>
    <w:bookmarkEnd w:id="54"/>
    <w:bookmarkStart w:id="56"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5">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6"/>
    <w:bookmarkStart w:id="57" w:name="sec-appendix"/>
    <w:p>
      <w:pPr>
        <w:pStyle w:val="Heading1"/>
      </w:pPr>
      <w:r>
        <w:t xml:space="preserve">Appendix</w:t>
      </w:r>
    </w:p>
    <w:p>
      <w:r>
        <w:br w:type="page"/>
      </w:r>
    </w:p>
    <w:bookmarkEnd w:id="57"/>
    <w:bookmarkStart w:id="132" w:name="references"/>
    <w:p>
      <w:pPr>
        <w:pStyle w:val="Heading1"/>
      </w:pPr>
      <w:r>
        <w:t xml:space="preserve">References</w:t>
      </w:r>
    </w:p>
    <w:bookmarkStart w:id="131" w:name="refs"/>
    <w:bookmarkStart w:id="59"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58">
        <w:r>
          <w:rPr>
            <w:rStyle w:val="Hyperlink"/>
          </w:rPr>
          <w:t xml:space="preserve">https://doi.org/10.1177/014662167800200319</w:t>
        </w:r>
      </w:hyperlink>
      <w:r>
        <w:t xml:space="preserve">.</w:t>
      </w:r>
    </w:p>
    <w:bookmarkEnd w:id="59"/>
    <w:bookmarkStart w:id="61"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0">
        <w:r>
          <w:rPr>
            <w:rStyle w:val="Hyperlink"/>
          </w:rPr>
          <w:t xml:space="preserve">https://doi.org/10.1080/10627197.2018.1444986</w:t>
        </w:r>
      </w:hyperlink>
      <w:r>
        <w:t xml:space="preserve">.</w:t>
      </w:r>
    </w:p>
    <w:bookmarkEnd w:id="61"/>
    <w:bookmarkStart w:id="63"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2">
        <w:r>
          <w:rPr>
            <w:rStyle w:val="Hyperlink"/>
          </w:rPr>
          <w:t xml:space="preserve">https://doi.org/10.1007/978-3-030-52229-2_18</w:t>
        </w:r>
      </w:hyperlink>
      <w:r>
        <w:t xml:space="preserve">.</w:t>
      </w:r>
    </w:p>
    <w:bookmarkEnd w:id="63"/>
    <w:bookmarkStart w:id="65"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4">
        <w:r>
          <w:rPr>
            <w:rStyle w:val="Hyperlink"/>
          </w:rPr>
          <w:t xml:space="preserve">https://doi.org/10.1016/j.jcomdis.2019.105969</w:t>
        </w:r>
      </w:hyperlink>
      <w:r>
        <w:t xml:space="preserve">.</w:t>
      </w:r>
    </w:p>
    <w:bookmarkEnd w:id="65"/>
    <w:bookmarkStart w:id="67"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6">
        <w:r>
          <w:rPr>
            <w:rStyle w:val="Hyperlink"/>
          </w:rPr>
          <w:t xml:space="preserve">https://doi.org/10.17239/jowr-2024.15.03.03</w:t>
        </w:r>
      </w:hyperlink>
      <w:r>
        <w:t xml:space="preserve">.</w:t>
      </w:r>
    </w:p>
    <w:bookmarkEnd w:id="67"/>
    <w:bookmarkStart w:id="69"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68">
        <w:r>
          <w:rPr>
            <w:rStyle w:val="Hyperlink"/>
          </w:rPr>
          <w:t xml:space="preserve">https://doi.org/10.2307/2334029</w:t>
        </w:r>
      </w:hyperlink>
      <w:r>
        <w:t xml:space="preserve">.</w:t>
      </w:r>
    </w:p>
    <w:bookmarkEnd w:id="69"/>
    <w:bookmarkStart w:id="71"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0">
        <w:r>
          <w:rPr>
            <w:rStyle w:val="Hyperlink"/>
          </w:rPr>
          <w:t xml:space="preserve">https://assets.publishing.service.gov.uk/media/5a80d75940f0b62305b8d734/2007-comparability-exam-standards-i-chapter7.pdf</w:t>
        </w:r>
      </w:hyperlink>
      <w:r>
        <w:t xml:space="preserve">.</w:t>
      </w:r>
    </w:p>
    <w:bookmarkEnd w:id="71"/>
    <w:bookmarkStart w:id="73"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2">
        <w:r>
          <w:rPr>
            <w:rStyle w:val="Hyperlink"/>
          </w:rPr>
          <w:t xml:space="preserve">https://doi.org/10.1080/0969594X.2017.1418734</w:t>
        </w:r>
      </w:hyperlink>
      <w:r>
        <w:t xml:space="preserve">.</w:t>
      </w:r>
    </w:p>
    <w:bookmarkEnd w:id="73"/>
    <w:bookmarkStart w:id="75"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4">
        <w:r>
          <w:rPr>
            <w:rStyle w:val="Hyperlink"/>
          </w:rPr>
          <w:t xml:space="preserve">https://doi.org/10.3389/feduc.2022.802392</w:t>
        </w:r>
      </w:hyperlink>
      <w:r>
        <w:t xml:space="preserve">.</w:t>
      </w:r>
    </w:p>
    <w:bookmarkEnd w:id="75"/>
    <w:bookmarkStart w:id="77"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6">
        <w:r>
          <w:rPr>
            <w:rStyle w:val="Hyperlink"/>
          </w:rPr>
          <w:t xml:space="preserve">https://repository.uantwerpen.be/docman/irua/e71ea9/147930.pdf</w:t>
        </w:r>
      </w:hyperlink>
      <w:r>
        <w:t xml:space="preserve">.</w:t>
      </w:r>
    </w:p>
    <w:bookmarkEnd w:id="77"/>
    <w:bookmarkStart w:id="79"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78">
        <w:r>
          <w:rPr>
            <w:rStyle w:val="Hyperlink"/>
          </w:rPr>
          <w:t xml:space="preserve">https://doi.org/10.3389/feduc.2021.788202</w:t>
        </w:r>
      </w:hyperlink>
      <w:r>
        <w:t xml:space="preserve">.</w:t>
      </w:r>
    </w:p>
    <w:bookmarkEnd w:id="79"/>
    <w:bookmarkStart w:id="81" w:name="ref-Everitt_et_al_2010"/>
    <w:p>
      <w:pPr>
        <w:pStyle w:val="Bibliography"/>
      </w:pPr>
      <w:r>
        <w:t xml:space="preserve">Everitt, B., and A. Skrondal. 2010.</w:t>
      </w:r>
      <w:r>
        <w:t xml:space="preserve"> </w:t>
      </w:r>
      <w:hyperlink r:id="rId80">
        <w:r>
          <w:rPr>
            <w:rStyle w:val="Hyperlink"/>
            <w:i/>
            <w:iCs/>
          </w:rPr>
          <w:t xml:space="preserve">The Cambridge Dictionary of Statistics</w:t>
        </w:r>
      </w:hyperlink>
      <w:r>
        <w:t xml:space="preserve">. Cambridge University Press.</w:t>
      </w:r>
    </w:p>
    <w:bookmarkEnd w:id="81"/>
    <w:bookmarkStart w:id="82" w:name="ref-Fox_2010"/>
    <w:p>
      <w:pPr>
        <w:pStyle w:val="Bibliography"/>
      </w:pPr>
      <w:r>
        <w:t xml:space="preserve">Fox, J. P. 2010.</w:t>
      </w:r>
      <w:r>
        <w:t xml:space="preserve"> </w:t>
      </w:r>
      <w:hyperlink r:id="rId80">
        <w:r>
          <w:rPr>
            <w:rStyle w:val="Hyperlink"/>
            <w:i/>
            <w:iCs/>
          </w:rPr>
          <w:t xml:space="preserve">Bayesian Item Response Modeling, Theory and Applications</w:t>
        </w:r>
      </w:hyperlink>
      <w:r>
        <w:t xml:space="preserve">. Statistics for Social and Behavioral Sciences. Springer.</w:t>
      </w:r>
    </w:p>
    <w:bookmarkEnd w:id="82"/>
    <w:bookmarkStart w:id="84"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3">
        <w:r>
          <w:rPr>
            <w:rStyle w:val="Hyperlink"/>
          </w:rPr>
          <w:t xml:space="preserve">https://doi.org/10.3389/feduc.2020.582800</w:t>
        </w:r>
      </w:hyperlink>
      <w:r>
        <w:t xml:space="preserve">.</w:t>
      </w:r>
    </w:p>
    <w:bookmarkEnd w:id="84"/>
    <w:bookmarkStart w:id="86"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5">
        <w:r>
          <w:rPr>
            <w:rStyle w:val="Hyperlink"/>
          </w:rPr>
          <w:t xml:space="preserve">https://doi.org/10.1007/978-3-319-97807-9_2</w:t>
        </w:r>
      </w:hyperlink>
      <w:r>
        <w:t xml:space="preserve">.</w:t>
      </w:r>
    </w:p>
    <w:bookmarkEnd w:id="86"/>
    <w:bookmarkStart w:id="87" w:name="ref-Hoyle_et_al_2023"/>
    <w:p>
      <w:pPr>
        <w:pStyle w:val="Bibliography"/>
      </w:pPr>
      <w:r>
        <w:t xml:space="preserve">Hoyle, R. (eds.). 2023.</w:t>
      </w:r>
      <w:r>
        <w:t xml:space="preserve"> </w:t>
      </w:r>
      <w:hyperlink r:id="rId80">
        <w:r>
          <w:rPr>
            <w:rStyle w:val="Hyperlink"/>
            <w:i/>
            <w:iCs/>
          </w:rPr>
          <w:t xml:space="preserve">Handbook of Structural Equation Modeling</w:t>
        </w:r>
      </w:hyperlink>
      <w:r>
        <w:t xml:space="preserve">. Guilford Press.</w:t>
      </w:r>
    </w:p>
    <w:bookmarkEnd w:id="87"/>
    <w:bookmarkStart w:id="89"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88">
        <w:r>
          <w:rPr>
            <w:rStyle w:val="Hyperlink"/>
          </w:rPr>
          <w:t xml:space="preserve">https://doi.org/10.1002/berj.3519</w:t>
        </w:r>
      </w:hyperlink>
      <w:r>
        <w:t xml:space="preserve">.</w:t>
      </w:r>
    </w:p>
    <w:bookmarkEnd w:id="89"/>
    <w:bookmarkStart w:id="91"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0">
        <w:r>
          <w:rPr>
            <w:rStyle w:val="Hyperlink"/>
          </w:rPr>
          <w:t xml:space="preserve">https://doi.org/10.1007/s10649-015-9607-1</w:t>
        </w:r>
      </w:hyperlink>
      <w:r>
        <w:t xml:space="preserve">.</w:t>
      </w:r>
    </w:p>
    <w:bookmarkEnd w:id="91"/>
    <w:bookmarkStart w:id="93"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2">
        <w:r>
          <w:rPr>
            <w:rStyle w:val="Hyperlink"/>
          </w:rPr>
          <w:t xml:space="preserve">https://doi.org/10.1080/0969594X.2022.2147901</w:t>
        </w:r>
      </w:hyperlink>
      <w:r>
        <w:t xml:space="preserve">.</w:t>
      </w:r>
    </w:p>
    <w:bookmarkEnd w:id="93"/>
    <w:bookmarkStart w:id="95"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4">
        <w:r>
          <w:rPr>
            <w:rStyle w:val="Hyperlink"/>
          </w:rPr>
          <w:t xml:space="preserve">https://doi.org/10.1007/s10798-011-9190-4</w:t>
        </w:r>
      </w:hyperlink>
      <w:r>
        <w:t xml:space="preserve">.</w:t>
      </w:r>
    </w:p>
    <w:bookmarkEnd w:id="95"/>
    <w:bookmarkStart w:id="96" w:name="ref-Kline_et_al_2023"/>
    <w:p>
      <w:pPr>
        <w:pStyle w:val="Bibliography"/>
      </w:pPr>
      <w:r>
        <w:t xml:space="preserve">Kline, R. 2023.</w:t>
      </w:r>
      <w:r>
        <w:t xml:space="preserve"> </w:t>
      </w:r>
      <w:hyperlink r:id="rId80">
        <w:r>
          <w:rPr>
            <w:rStyle w:val="Hyperlink"/>
            <w:i/>
            <w:iCs/>
          </w:rPr>
          <w:t xml:space="preserve">Principles and Practice of Structural Equation Modeling</w:t>
        </w:r>
      </w:hyperlink>
      <w:r>
        <w:t xml:space="preserve">. Methodology in the Social Sciences. Guilford Press.</w:t>
      </w:r>
    </w:p>
    <w:bookmarkEnd w:id="96"/>
    <w:bookmarkStart w:id="98"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97">
        <w:r>
          <w:rPr>
            <w:rStyle w:val="Hyperlink"/>
          </w:rPr>
          <w:t xml:space="preserve">https://doi.org/10.2304/plat.2003.3.2.89</w:t>
        </w:r>
      </w:hyperlink>
      <w:r>
        <w:t xml:space="preserve">.</w:t>
      </w:r>
    </w:p>
    <w:bookmarkEnd w:id="98"/>
    <w:bookmarkStart w:id="100"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99">
        <w:r>
          <w:rPr>
            <w:rStyle w:val="Hyperlink"/>
          </w:rPr>
          <w:t xml:space="preserve">https://hdl.handle.net/10067/1548280151162165141</w:t>
        </w:r>
      </w:hyperlink>
      <w:r>
        <w:t xml:space="preserve">.</w:t>
      </w:r>
    </w:p>
    <w:bookmarkEnd w:id="100"/>
    <w:bookmarkStart w:id="102"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1">
        <w:r>
          <w:rPr>
            <w:rStyle w:val="Hyperlink"/>
          </w:rPr>
          <w:t xml:space="preserve">https://doi.org/10.17239/L1ESLL-2018.18.01.02</w:t>
        </w:r>
      </w:hyperlink>
      <w:r>
        <w:t xml:space="preserve">.</w:t>
      </w:r>
    </w:p>
    <w:bookmarkEnd w:id="102"/>
    <w:bookmarkStart w:id="104"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3">
        <w:r>
          <w:rPr>
            <w:rStyle w:val="Hyperlink"/>
          </w:rPr>
          <w:t xml:space="preserve">https://doi.org/10.1037/h0043178</w:t>
        </w:r>
      </w:hyperlink>
      <w:r>
        <w:t xml:space="preserve">.</w:t>
      </w:r>
    </w:p>
    <w:bookmarkEnd w:id="104"/>
    <w:bookmarkStart w:id="106"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5">
        <w:r>
          <w:rPr>
            <w:rStyle w:val="Hyperlink"/>
          </w:rPr>
          <w:t xml:space="preserve">https://doi.org/10.1007/s40841-020-00163-3</w:t>
        </w:r>
      </w:hyperlink>
      <w:r>
        <w:t xml:space="preserve">.</w:t>
      </w:r>
    </w:p>
    <w:bookmarkEnd w:id="106"/>
    <w:bookmarkStart w:id="107" w:name="ref-McElreath_2020"/>
    <w:p>
      <w:pPr>
        <w:pStyle w:val="Bibliography"/>
      </w:pPr>
      <w:r>
        <w:t xml:space="preserve">McElreath, R. 2020.</w:t>
      </w:r>
      <w:r>
        <w:t xml:space="preserve"> </w:t>
      </w:r>
      <w:hyperlink r:id="rId80">
        <w:r>
          <w:rPr>
            <w:rStyle w:val="Hyperlink"/>
            <w:i/>
            <w:iCs/>
          </w:rPr>
          <w:t xml:space="preserve">Statistical Rethinking: A Bayesian Course with Examples in r and STAN</w:t>
        </w:r>
      </w:hyperlink>
      <w:r>
        <w:t xml:space="preserve">. Chapman; Hall/CRC.</w:t>
      </w:r>
    </w:p>
    <w:bookmarkEnd w:id="107"/>
    <w:bookmarkStart w:id="109"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08">
        <w:r>
          <w:rPr>
            <w:rStyle w:val="Hyperlink"/>
          </w:rPr>
          <w:t xml:space="preserve">https://doi.org/10.1109/ICPR48806.2021.9412676</w:t>
        </w:r>
      </w:hyperlink>
      <w:r>
        <w:t xml:space="preserve">.</w:t>
      </w:r>
    </w:p>
    <w:bookmarkEnd w:id="109"/>
    <w:bookmarkStart w:id="111"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0">
        <w:r>
          <w:rPr>
            <w:rStyle w:val="Hyperlink"/>
          </w:rPr>
          <w:t xml:space="preserve">https://doi.org/10.1080/0969594X.2012.665354</w:t>
        </w:r>
      </w:hyperlink>
      <w:r>
        <w:t xml:space="preserve">.</w:t>
      </w:r>
    </w:p>
    <w:bookmarkEnd w:id="111"/>
    <w:bookmarkStart w:id="113"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12">
        <w:r>
          <w:rPr>
            <w:rStyle w:val="Hyperlink"/>
          </w:rPr>
          <w:t xml:space="preserve">https://www.cambridgeassessment.org.uk/Images/109707-monitoring-and-investigating-comparability-a-proper-role-for-human-judgement.pdf</w:t>
        </w:r>
      </w:hyperlink>
      <w:r>
        <w:t xml:space="preserve">.</w:t>
      </w:r>
    </w:p>
    <w:bookmarkEnd w:id="113"/>
    <w:bookmarkStart w:id="115"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4">
        <w:r>
          <w:rPr>
            <w:rStyle w:val="Hyperlink"/>
          </w:rPr>
          <w:t xml:space="preserve">https://doi.org/10.1037/h0070288</w:t>
        </w:r>
      </w:hyperlink>
      <w:r>
        <w:t xml:space="preserve">.</w:t>
      </w:r>
    </w:p>
    <w:bookmarkEnd w:id="115"/>
    <w:bookmarkStart w:id="117"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16">
        <w:r>
          <w:rPr>
            <w:rStyle w:val="Hyperlink"/>
          </w:rPr>
          <w:t xml:space="preserve">https://brocku.ca/MeadProject/Thurstone/Thurstone_1927g.html</w:t>
        </w:r>
      </w:hyperlink>
      <w:r>
        <w:t xml:space="preserve">.</w:t>
      </w:r>
    </w:p>
    <w:bookmarkEnd w:id="117"/>
    <w:bookmarkStart w:id="119"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18">
        <w:r>
          <w:rPr>
            <w:rStyle w:val="Hyperlink"/>
          </w:rPr>
          <w:t xml:space="preserve">https://doi.org/10.1080/0969594X.2016.1253542</w:t>
        </w:r>
      </w:hyperlink>
      <w:r>
        <w:t xml:space="preserve">.</w:t>
      </w:r>
    </w:p>
    <w:bookmarkEnd w:id="119"/>
    <w:bookmarkStart w:id="121"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0">
        <w:r>
          <w:rPr>
            <w:rStyle w:val="Hyperlink"/>
          </w:rPr>
          <w:t xml:space="preserve">https://doi.org/10.3389/feduc.2017.00044</w:t>
        </w:r>
      </w:hyperlink>
      <w:r>
        <w:t xml:space="preserve">.</w:t>
      </w:r>
    </w:p>
    <w:bookmarkEnd w:id="121"/>
    <w:bookmarkStart w:id="122" w:name="ref-vanderLinden_et_al_2017_I"/>
    <w:p>
      <w:pPr>
        <w:pStyle w:val="Bibliography"/>
      </w:pPr>
      <w:r>
        <w:t xml:space="preserve">van der Linden, W., ed. 2017.</w:t>
      </w:r>
      <w:r>
        <w:t xml:space="preserve"> </w:t>
      </w:r>
      <w:hyperlink r:id="rId80">
        <w:r>
          <w:rPr>
            <w:rStyle w:val="Hyperlink"/>
            <w:i/>
            <w:iCs/>
          </w:rPr>
          <w:t xml:space="preserve">Handbook of Item Response Theory: Models</w:t>
        </w:r>
      </w:hyperlink>
      <w:r>
        <w:t xml:space="preserve">. Vol. 1. Statistics in the Social and Behavioral Sciences Series. CRC Press.</w:t>
      </w:r>
    </w:p>
    <w:bookmarkEnd w:id="122"/>
    <w:bookmarkStart w:id="124"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3">
        <w:r>
          <w:rPr>
            <w:rStyle w:val="Hyperlink"/>
          </w:rPr>
          <w:t xml:space="preserve">https://doi.org/10.1080/0969594X.2019.1602027</w:t>
        </w:r>
      </w:hyperlink>
      <w:r>
        <w:t xml:space="preserve">.</w:t>
      </w:r>
    </w:p>
    <w:bookmarkEnd w:id="124"/>
    <w:bookmarkStart w:id="126"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25">
        <w:r>
          <w:rPr>
            <w:rStyle w:val="Hyperlink"/>
          </w:rPr>
          <w:t xml:space="preserve">https://doi.org/10.3389/feduc.2021.785919</w:t>
        </w:r>
      </w:hyperlink>
      <w:r>
        <w:t xml:space="preserve">.</w:t>
      </w:r>
    </w:p>
    <w:bookmarkEnd w:id="126"/>
    <w:bookmarkStart w:id="128"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27">
        <w:r>
          <w:rPr>
            <w:rStyle w:val="Hyperlink"/>
          </w:rPr>
          <w:t xml:space="preserve">https://filestore.aqa.org.uk/content/research/CERP_RP_CW_24102012_0.pdf?download=1</w:t>
        </w:r>
      </w:hyperlink>
      <w:r>
        <w:t xml:space="preserve">.</w:t>
      </w:r>
    </w:p>
    <w:bookmarkEnd w:id="128"/>
    <w:bookmarkStart w:id="130" w:name="ref-Zimmerman_1994"/>
    <w:p>
      <w:pPr>
        <w:pStyle w:val="Bibliography"/>
      </w:pPr>
      <w:r>
        <w:t xml:space="preserve">Zimmerman, D. 1994.</w:t>
      </w:r>
      <w:r>
        <w:t xml:space="preserve"> </w:t>
      </w:r>
      <w:r>
        <w:t xml:space="preserve">“A Note on the Influence of Outliers on Parametric and Nonparametric Tests.”</w:t>
      </w:r>
      <w:r>
        <w:t xml:space="preserve"> </w:t>
      </w:r>
      <w:r>
        <w:rPr>
          <w:i/>
          <w:iCs/>
        </w:rPr>
        <w:t xml:space="preserve">The Journal of General Psychology</w:t>
      </w:r>
      <w:r>
        <w:t xml:space="preserve"> </w:t>
      </w:r>
      <w:r>
        <w:t xml:space="preserve">121 (4): 391–401.</w:t>
      </w:r>
      <w:r>
        <w:t xml:space="preserve"> </w:t>
      </w:r>
      <w:hyperlink r:id="rId129">
        <w:r>
          <w:rPr>
            <w:rStyle w:val="Hyperlink"/>
          </w:rPr>
          <w:t xml:space="preserve">https://doi.org/10.1080/00221309.1994.9921213</w:t>
        </w:r>
      </w:hyperlink>
      <w:r>
        <w:t xml:space="preserve">.</w:t>
      </w:r>
    </w:p>
    <w:bookmarkEnd w:id="130"/>
    <w:bookmarkEnd w:id="131"/>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hyperlink" Id="rId80" Target="" TargetMode="External" /><Relationship Type="http://schemas.openxmlformats.org/officeDocument/2006/relationships/hyperlink" Id="rId70" Target="https://assets.publishing.service.gov.uk/media/5a80d75940f0b62305b8d734/2007-comparability-exam-standards-i-chapter7.pdf" TargetMode="External" /><Relationship Type="http://schemas.openxmlformats.org/officeDocument/2006/relationships/hyperlink" Id="rId116" Target="https://brocku.ca/MeadProject/Thurstone/Thurstone_1927g.html" TargetMode="External" /><Relationship Type="http://schemas.openxmlformats.org/officeDocument/2006/relationships/hyperlink" Id="rId88" Target="https://doi.org/10.1002/berj.3519" TargetMode="External" /><Relationship Type="http://schemas.openxmlformats.org/officeDocument/2006/relationships/hyperlink" Id="rId62" Target="https://doi.org/10.1007/978-3-030-52229-2_18" TargetMode="External" /><Relationship Type="http://schemas.openxmlformats.org/officeDocument/2006/relationships/hyperlink" Id="rId85" Target="https://doi.org/10.1007/978-3-319-97807-9_2" TargetMode="External" /><Relationship Type="http://schemas.openxmlformats.org/officeDocument/2006/relationships/hyperlink" Id="rId90" Target="https://doi.org/10.1007/s10649-015-9607-1" TargetMode="External" /><Relationship Type="http://schemas.openxmlformats.org/officeDocument/2006/relationships/hyperlink" Id="rId94" Target="https://doi.org/10.1007/s10798-011-9190-4" TargetMode="External" /><Relationship Type="http://schemas.openxmlformats.org/officeDocument/2006/relationships/hyperlink" Id="rId105" Target="https://doi.org/10.1007/s40841-020-00163-3" TargetMode="External" /><Relationship Type="http://schemas.openxmlformats.org/officeDocument/2006/relationships/hyperlink" Id="rId64" Target="https://doi.org/10.1016/j.jcomdis.2019.105969" TargetMode="External" /><Relationship Type="http://schemas.openxmlformats.org/officeDocument/2006/relationships/hyperlink" Id="rId103" Target="https://doi.org/10.1037/h0043178" TargetMode="External" /><Relationship Type="http://schemas.openxmlformats.org/officeDocument/2006/relationships/hyperlink" Id="rId114" Target="https://doi.org/10.1037/h0070288" TargetMode="External" /><Relationship Type="http://schemas.openxmlformats.org/officeDocument/2006/relationships/hyperlink" Id="rId129" Target="https://doi.org/10.1080/00221309.1994.9921213" TargetMode="External" /><Relationship Type="http://schemas.openxmlformats.org/officeDocument/2006/relationships/hyperlink" Id="rId110" Target="https://doi.org/10.1080/0969594X.2012.665354" TargetMode="External" /><Relationship Type="http://schemas.openxmlformats.org/officeDocument/2006/relationships/hyperlink" Id="rId118" Target="https://doi.org/10.1080/0969594X.2016.1253542" TargetMode="External" /><Relationship Type="http://schemas.openxmlformats.org/officeDocument/2006/relationships/hyperlink" Id="rId72" Target="https://doi.org/10.1080/0969594X.2017.1418734" TargetMode="External" /><Relationship Type="http://schemas.openxmlformats.org/officeDocument/2006/relationships/hyperlink" Id="rId123" Target="https://doi.org/10.1080/0969594X.2019.1602027" TargetMode="External" /><Relationship Type="http://schemas.openxmlformats.org/officeDocument/2006/relationships/hyperlink" Id="rId92" Target="https://doi.org/10.1080/0969594X.2022.2147901" TargetMode="External" /><Relationship Type="http://schemas.openxmlformats.org/officeDocument/2006/relationships/hyperlink" Id="rId60" Target="https://doi.org/10.1080/10627197.2018.1444986" TargetMode="External" /><Relationship Type="http://schemas.openxmlformats.org/officeDocument/2006/relationships/hyperlink" Id="rId108" Target="https://doi.org/10.1109/ICPR48806.2021.9412676" TargetMode="External" /><Relationship Type="http://schemas.openxmlformats.org/officeDocument/2006/relationships/hyperlink" Id="rId58" Target="https://doi.org/10.1177/014662167800200319" TargetMode="External" /><Relationship Type="http://schemas.openxmlformats.org/officeDocument/2006/relationships/hyperlink" Id="rId101" Target="https://doi.org/10.17239/L1ESLL-2018.18.01.02" TargetMode="External" /><Relationship Type="http://schemas.openxmlformats.org/officeDocument/2006/relationships/hyperlink" Id="rId66" Target="https://doi.org/10.17239/jowr-2024.15.03.03" TargetMode="External" /><Relationship Type="http://schemas.openxmlformats.org/officeDocument/2006/relationships/hyperlink" Id="rId97" Target="https://doi.org/10.2304/plat.2003.3.2.89" TargetMode="External" /><Relationship Type="http://schemas.openxmlformats.org/officeDocument/2006/relationships/hyperlink" Id="rId68" Target="https://doi.org/10.2307/2334029" TargetMode="External" /><Relationship Type="http://schemas.openxmlformats.org/officeDocument/2006/relationships/hyperlink" Id="rId120"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125" Target="https://doi.org/10.3389/feduc.2021.785919" TargetMode="External" /><Relationship Type="http://schemas.openxmlformats.org/officeDocument/2006/relationships/hyperlink" Id="rId78" Target="https://doi.org/10.3389/feduc.2021.788202" TargetMode="External" /><Relationship Type="http://schemas.openxmlformats.org/officeDocument/2006/relationships/hyperlink" Id="rId74" Target="https://doi.org/10.3389/feduc.2022.802392" TargetMode="External" /><Relationship Type="http://schemas.openxmlformats.org/officeDocument/2006/relationships/hyperlink" Id="rId127" Target="https://filestore.aqa.org.uk/content/research/CERP_RP_CW_24102012_0.pdf?download=1" TargetMode="External" /><Relationship Type="http://schemas.openxmlformats.org/officeDocument/2006/relationships/hyperlink" Id="rId99" Target="https://hdl.handle.net/10067/1548280151162165141" TargetMode="External" /><Relationship Type="http://schemas.openxmlformats.org/officeDocument/2006/relationships/hyperlink" Id="rId55" Target="https://jriveraespejo.github.io/paper2_manuscript/" TargetMode="External" /><Relationship Type="http://schemas.openxmlformats.org/officeDocument/2006/relationships/hyperlink" Id="rId76" Target="https://repository.uantwerpen.be/docman/irua/e71ea9/147930.pdf" TargetMode="External" /><Relationship Type="http://schemas.openxmlformats.org/officeDocument/2006/relationships/hyperlink" Id="rId112" Target="https://www.cambridgeassessment.org.uk/Images/109707-monitoring-and-investigating-comparability-a-proper-role-for-human-judgement.pdf" TargetMode="External" /></Relationships>
</file>

<file path=word/_rels/footnotes.xml.rels><?xml version="1.0" encoding="UTF-8"?><Relationships xmlns="http://schemas.openxmlformats.org/package/2006/relationships"><Relationship Type="http://schemas.openxmlformats.org/officeDocument/2006/relationships/hyperlink" Id="rId80" Target="" TargetMode="External" /><Relationship Type="http://schemas.openxmlformats.org/officeDocument/2006/relationships/hyperlink" Id="rId70" Target="https://assets.publishing.service.gov.uk/media/5a80d75940f0b62305b8d734/2007-comparability-exam-standards-i-chapter7.pdf" TargetMode="External" /><Relationship Type="http://schemas.openxmlformats.org/officeDocument/2006/relationships/hyperlink" Id="rId116" Target="https://brocku.ca/MeadProject/Thurstone/Thurstone_1927g.html" TargetMode="External" /><Relationship Type="http://schemas.openxmlformats.org/officeDocument/2006/relationships/hyperlink" Id="rId88" Target="https://doi.org/10.1002/berj.3519" TargetMode="External" /><Relationship Type="http://schemas.openxmlformats.org/officeDocument/2006/relationships/hyperlink" Id="rId62" Target="https://doi.org/10.1007/978-3-030-52229-2_18" TargetMode="External" /><Relationship Type="http://schemas.openxmlformats.org/officeDocument/2006/relationships/hyperlink" Id="rId85" Target="https://doi.org/10.1007/978-3-319-97807-9_2" TargetMode="External" /><Relationship Type="http://schemas.openxmlformats.org/officeDocument/2006/relationships/hyperlink" Id="rId90" Target="https://doi.org/10.1007/s10649-015-9607-1" TargetMode="External" /><Relationship Type="http://schemas.openxmlformats.org/officeDocument/2006/relationships/hyperlink" Id="rId94" Target="https://doi.org/10.1007/s10798-011-9190-4" TargetMode="External" /><Relationship Type="http://schemas.openxmlformats.org/officeDocument/2006/relationships/hyperlink" Id="rId105" Target="https://doi.org/10.1007/s40841-020-00163-3" TargetMode="External" /><Relationship Type="http://schemas.openxmlformats.org/officeDocument/2006/relationships/hyperlink" Id="rId64" Target="https://doi.org/10.1016/j.jcomdis.2019.105969" TargetMode="External" /><Relationship Type="http://schemas.openxmlformats.org/officeDocument/2006/relationships/hyperlink" Id="rId103" Target="https://doi.org/10.1037/h0043178" TargetMode="External" /><Relationship Type="http://schemas.openxmlformats.org/officeDocument/2006/relationships/hyperlink" Id="rId114" Target="https://doi.org/10.1037/h0070288" TargetMode="External" /><Relationship Type="http://schemas.openxmlformats.org/officeDocument/2006/relationships/hyperlink" Id="rId129" Target="https://doi.org/10.1080/00221309.1994.9921213" TargetMode="External" /><Relationship Type="http://schemas.openxmlformats.org/officeDocument/2006/relationships/hyperlink" Id="rId110" Target="https://doi.org/10.1080/0969594X.2012.665354" TargetMode="External" /><Relationship Type="http://schemas.openxmlformats.org/officeDocument/2006/relationships/hyperlink" Id="rId118" Target="https://doi.org/10.1080/0969594X.2016.1253542" TargetMode="External" /><Relationship Type="http://schemas.openxmlformats.org/officeDocument/2006/relationships/hyperlink" Id="rId72" Target="https://doi.org/10.1080/0969594X.2017.1418734" TargetMode="External" /><Relationship Type="http://schemas.openxmlformats.org/officeDocument/2006/relationships/hyperlink" Id="rId123" Target="https://doi.org/10.1080/0969594X.2019.1602027" TargetMode="External" /><Relationship Type="http://schemas.openxmlformats.org/officeDocument/2006/relationships/hyperlink" Id="rId92" Target="https://doi.org/10.1080/0969594X.2022.2147901" TargetMode="External" /><Relationship Type="http://schemas.openxmlformats.org/officeDocument/2006/relationships/hyperlink" Id="rId60" Target="https://doi.org/10.1080/10627197.2018.1444986" TargetMode="External" /><Relationship Type="http://schemas.openxmlformats.org/officeDocument/2006/relationships/hyperlink" Id="rId108" Target="https://doi.org/10.1109/ICPR48806.2021.9412676" TargetMode="External" /><Relationship Type="http://schemas.openxmlformats.org/officeDocument/2006/relationships/hyperlink" Id="rId58" Target="https://doi.org/10.1177/014662167800200319" TargetMode="External" /><Relationship Type="http://schemas.openxmlformats.org/officeDocument/2006/relationships/hyperlink" Id="rId101" Target="https://doi.org/10.17239/L1ESLL-2018.18.01.02" TargetMode="External" /><Relationship Type="http://schemas.openxmlformats.org/officeDocument/2006/relationships/hyperlink" Id="rId66" Target="https://doi.org/10.17239/jowr-2024.15.03.03" TargetMode="External" /><Relationship Type="http://schemas.openxmlformats.org/officeDocument/2006/relationships/hyperlink" Id="rId97" Target="https://doi.org/10.2304/plat.2003.3.2.89" TargetMode="External" /><Relationship Type="http://schemas.openxmlformats.org/officeDocument/2006/relationships/hyperlink" Id="rId68" Target="https://doi.org/10.2307/2334029" TargetMode="External" /><Relationship Type="http://schemas.openxmlformats.org/officeDocument/2006/relationships/hyperlink" Id="rId120" Target="https://doi.org/10.3389/feduc.2017.00044" TargetMode="External" /><Relationship Type="http://schemas.openxmlformats.org/officeDocument/2006/relationships/hyperlink" Id="rId83" Target="https://doi.org/10.3389/feduc.2020.582800" TargetMode="External" /><Relationship Type="http://schemas.openxmlformats.org/officeDocument/2006/relationships/hyperlink" Id="rId125" Target="https://doi.org/10.3389/feduc.2021.785919" TargetMode="External" /><Relationship Type="http://schemas.openxmlformats.org/officeDocument/2006/relationships/hyperlink" Id="rId78" Target="https://doi.org/10.3389/feduc.2021.788202" TargetMode="External" /><Relationship Type="http://schemas.openxmlformats.org/officeDocument/2006/relationships/hyperlink" Id="rId74" Target="https://doi.org/10.3389/feduc.2022.802392" TargetMode="External" /><Relationship Type="http://schemas.openxmlformats.org/officeDocument/2006/relationships/hyperlink" Id="rId127" Target="https://filestore.aqa.org.uk/content/research/CERP_RP_CW_24102012_0.pdf?download=1" TargetMode="External" /><Relationship Type="http://schemas.openxmlformats.org/officeDocument/2006/relationships/hyperlink" Id="rId99" Target="https://hdl.handle.net/10067/1548280151162165141" TargetMode="External" /><Relationship Type="http://schemas.openxmlformats.org/officeDocument/2006/relationships/hyperlink" Id="rId55" Target="https://jriveraespejo.github.io/paper2_manuscript/" TargetMode="External" /><Relationship Type="http://schemas.openxmlformats.org/officeDocument/2006/relationships/hyperlink" Id="rId76" Target="https://repository.uantwerpen.be/docman/irua/e71ea9/147930.pdf" TargetMode="External" /><Relationship Type="http://schemas.openxmlformats.org/officeDocument/2006/relationships/hyperlink" Id="rId112" Target="https://www.cambridgeassessment.org.uk/Images/109707-monitoring-and-investigating-comparability-a-proper-role-for-human-judgem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2024-11-22T13:10:50Z</dcterms:created>
  <dcterms:modified xsi:type="dcterms:W3CDTF">2024-11-22T13:10:50Z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2024-11-22</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