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2024-12-05</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2012b;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of the stimulus’ perceived trait.</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emphasizes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denote the discriminal dispersions of the stimuli, while</w:t>
      </w:r>
      <w:r>
        <w:t xml:space="preserve"> </w:t>
      </w:r>
      <m:oMath>
        <m:r>
          <m:t>ρ</m:t>
        </m:r>
      </m:oMath>
      <w:r>
        <w:t xml:space="preserve"> </w:t>
      </w:r>
      <w:r>
        <w:t xml:space="preserve">represents the correlation between their discriminal processes.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likely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the comparison outcome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the area under the curve,</w:t>
      </w:r>
      <w:r>
        <w:t xml:space="preserve"> </w:t>
      </w:r>
      <m:oMath>
        <m:r>
          <m:t>P</m:t>
        </m:r>
        <m:d>
          <m:dPr>
            <m:begChr m:val="("/>
            <m:endChr m:val=")"/>
            <m:sepChr m:val=""/>
            <m:grow/>
          </m:dPr>
          <m:e>
            <m:r>
              <m:t>B</m:t>
            </m:r>
            <m:r>
              <m:rPr>
                <m:sty m:val="p"/>
              </m:rPr>
              <m:t>&gt;</m:t>
            </m:r>
            <m:r>
              <m:t>A</m:t>
            </m:r>
          </m:e>
        </m:d>
      </m:oMath>
      <w:r>
        <w:t xml:space="preserve">, that lies above zero compared to curves with lower correlations. Moreover, although the figure does not illustrate this scenario, it is reasonable to infer that if the texts had similar or identical quality levels, higher correlations would likely reduce the chance of the discriminal difference distinctly favoring one text over the other. This probability reduction occurs because the distribution of the discriminal difference would become more narrowly centered around zero.</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w:t>
      </w:r>
      <w:r>
        <w:t xml:space="preserve"> </w:t>
      </w:r>
      <w:r>
        <w:t xml:space="preserve">(Thurstone 1927b, 376)</w:t>
      </w:r>
      <w:r>
        <w:t xml:space="preserve">. Consequently, given that modern CJ applications frequently involve these traits and stimuli, two main assumptions of Case V and, by extension, of the BTL model may not consistently hold in theory or practice: the equal dispersion and zero correlation between stimuli.</w:t>
      </w:r>
    </w:p>
    <w:p>
      <w:pPr>
        <w:pStyle w:val="BodyText"/>
      </w:pPr>
      <w:r>
        <w:t xml:space="preserve">On the one hand, the assumption of</w:t>
      </w:r>
      <w:r>
        <w:t xml:space="preserve"> </w:t>
      </w:r>
      <w:r>
        <w:rPr>
          <w:i/>
          <w:iCs/>
        </w:rPr>
        <w:t xml:space="preserve">equal dispersion between stimuli</w:t>
      </w:r>
      <w:r>
        <w:t xml:space="preserve"> </w:t>
      </w:r>
      <w:r>
        <w:t xml:space="preserve">suggests that the variability of the perceived trait remains consistent across all stimuli. However, Thurstone contended that this assumption may not hold when researchers assess complex traits or heterogeneous stimuli</w:t>
      </w:r>
      <w:r>
        <w:t xml:space="preserve"> </w:t>
      </w:r>
      <w:r>
        <w:t xml:space="preserve">(Thurstone 1927b, 376)</w:t>
      </w:r>
      <w:r>
        <w:t xml:space="preserve">, as these traits and stimuli can introduce judgment discrepancies due to their unique features. Indeed, evidence of such violation may already exist in the CJ literature as misfit statistics. These statistics measure the judgment discrepancies associated with a given stimulus</w:t>
      </w:r>
      <w:r>
        <w:t xml:space="preserve"> </w:t>
      </w:r>
      <w:r>
        <w:t xml:space="preserve">(Pollitt 2004, 12; Goossens and De Maeyer 2018, 20)</w:t>
      </w:r>
      <w:r>
        <w:t xml:space="preserve">. For instance, labeling texts as</w:t>
      </w:r>
      <w:r>
        <w:t xml:space="preserve"> </w:t>
      </w:r>
      <w:r>
        <w:t xml:space="preserve">“misfits”</w:t>
      </w:r>
      <w:r>
        <w:t xml:space="preserve"> </w:t>
      </w:r>
      <w:r>
        <w:t xml:space="preserve">indicates that comparisons involving these texts result in more judgment discrepancies than comparisons involving other texts</w:t>
      </w:r>
      <w:r>
        <w:t xml:space="preserve"> </w:t>
      </w:r>
      <w:r>
        <w:t xml:space="preserve">(Pollitt 2012a, 2012b; van Daal et al. 2016; Goossens and De Maeyer 2018)</w:t>
      </w:r>
      <w:r>
        <w:t xml:space="preserve">. This finding implies that the discriminal differences associated with</w:t>
      </w:r>
      <w:r>
        <w:t xml:space="preserve"> </w:t>
      </w:r>
      <w:r>
        <w:t xml:space="preserve">“misfits”</w:t>
      </w:r>
      <w:r>
        <w:t xml:space="preserve"> </w:t>
      </w:r>
      <w:r>
        <w:t xml:space="preserve">texts usually display a broader dispersion, suggesting that their discriminal processes also exhibit more variation than other texts. Notably, this reasoning also applies to</w:t>
      </w:r>
      <w:r>
        <w:t xml:space="preserve"> </w:t>
      </w:r>
      <w:r>
        <w:t xml:space="preserve">“misfit”</w:t>
      </w:r>
      <w:r>
        <w:t xml:space="preserve"> </w:t>
      </w:r>
      <w:r>
        <w:t xml:space="preserve">judges, whose evaluations reflect substantial deviations from the shared consensus due to the unique characteristics of the stimuli or the judges themselves.</w:t>
      </w:r>
    </w:p>
    <w:p>
      <w:pPr>
        <w:pStyle w:val="BodyText"/>
      </w:pPr>
      <w:r>
        <w:t xml:space="preserve">However, assuming equal dispersions between stimuli despite its violation can lead Case V (and the BTL model) to overlook critical differences in the reliability of the trait across stimuli. Furthermore, if researchers acknowledge that misfit statistics help identify these critical differences, the common practice in the CJ literature of excluding stimuli based on these statistics</w:t>
      </w:r>
      <w:r>
        <w:t xml:space="preserve"> </w:t>
      </w:r>
      <w:r>
        <w:t xml:space="preserve">(Pollitt 2012b; van Daal et al. 2017; Goossens and De Maeyer 2018)</w:t>
      </w:r>
      <w:r>
        <w:t xml:space="preserve"> </w:t>
      </w:r>
      <w:r>
        <w:t xml:space="preserve">risks discarding valuable information and introducing bias into the trait’s estimates</w:t>
      </w:r>
      <w:r>
        <w:t xml:space="preserve"> </w:t>
      </w:r>
      <w:r>
        <w:t xml:space="preserve">(Zimmerman 1994; McElreath 2020, chap. 12)</w:t>
      </w:r>
      <w:r>
        <w:t xml:space="preserve">. The direction and magnitude of these biases are unpredictable, as they depend on the particular stimuli researchers exclude from the analysis. Taken together, these oversights undermine the reliability of the trait and ultimately compromise its validity</w:t>
      </w:r>
      <w:r>
        <w:t xml:space="preserve"> </w:t>
      </w:r>
      <w:r>
        <w:t xml:space="preserve">(Perron and Gillespie 2015, 2)</w:t>
      </w:r>
      <w:r>
        <w:t xml:space="preserve">.</w:t>
      </w:r>
    </w:p>
    <w:p>
      <w:pPr>
        <w:pStyle w:val="BodyText"/>
      </w:pPr>
      <w:r>
        <w:t xml:space="preserve">how do we mitigate these risks?</w:t>
      </w:r>
    </w:p>
    <w:p>
      <w:pPr>
        <w:pStyle w:val="BodyText"/>
      </w:pPr>
      <w:r>
        <w:t xml:space="preserve">On the other hand hand,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(see</w:t>
      </w:r>
      <w:r>
        <w:t xml:space="preserve"> </w:t>
      </w:r>
      <w:hyperlink w:anchor="sec-thurstone_theory">
        <w:r>
          <w:rPr>
            <w:rStyle w:val="Hyperlink"/>
          </w:rPr>
          <w:t xml:space="preserve">Section 2</w:t>
        </w:r>
      </w:hyperlink>
      <w:r>
        <w:t xml:space="preserve">).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ultimately,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the statistical handling of this extra source of dependency between stimuli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the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statistical model used for analysis.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undermine the trait’s reliability and ultimately compromise the validity of the trait’s estimates</w:t>
      </w:r>
      <w:r>
        <w:t xml:space="preserve"> </w:t>
      </w:r>
      <w:r>
        <w:t xml:space="preserve">(Perron and Gillespie 2015, 2)</w:t>
      </w:r>
      <w:r>
        <w:t xml:space="preserve">.</w:t>
      </w:r>
    </w:p>
    <w:p>
      <w:pPr>
        <w:pStyle w:val="BodyText"/>
      </w:pPr>
      <w:r>
        <w:t xml:space="preserve">Fortunately, the same literature offers solutions for addressing these issues.</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recommend integrating judges’ biases into the BTL model. Moreover, the literature advocates for the incorporation of relevant hierarchical structures into the statistical model to account for these dependencies. Together, these additions can result in a model resembling a Multilevel Structural Equation Model (MSEM)</w:t>
      </w:r>
      <w:r>
        <w:t xml:space="preserve"> </w:t>
      </w:r>
      <w:r>
        <w:t xml:space="preserve">(Hoyle 2023, chap. 26)</w:t>
      </w:r>
      <w:r>
        <w:t xml:space="preserve"> </w:t>
      </w:r>
      <w:r>
        <w:t xml:space="preserve">combined with a multidimensional or two-parameter logistic Item Response Theory (IRT) model</w:t>
      </w:r>
      <w:r>
        <w:t xml:space="preserve"> </w:t>
      </w:r>
      <w:r>
        <w:t xml:space="preserve">(Hoyle 2023, chap. 15)</w:t>
      </w:r>
      <w:r>
        <w:t xml:space="preserve">, depending on the theoretical and statistical treatment of judges’ biases.</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besides its inconveniences, the BTL model commonly functions as the trait’s measurement model for CJ data</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2012b;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2012b; van Daal et al. 2016; Goossens and De Maeyer 2018)</w:t>
      </w:r>
      <w:r>
        <w:t xml:space="preserve">, detect biases in judges’ ratings</w:t>
      </w:r>
      <w:r>
        <w:t xml:space="preserve"> </w:t>
      </w:r>
      <w:r>
        <w:t xml:space="preserve">(Pollitt and Elliott 2003; Pollitt 2012b)</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44" w:name="references"/>
    <w:p>
      <w:pPr>
        <w:pStyle w:val="Heading1"/>
      </w:pPr>
      <w:r>
        <w:t xml:space="preserve">References</w:t>
      </w:r>
    </w:p>
    <w:bookmarkStart w:id="143"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115">
        <w:r>
          <w:rPr>
            <w:rStyle w:val="Hyperlink"/>
          </w:rPr>
          <w:t xml:space="preserve">https://www.cambridgeassessment.org.uk/images/109719-let-s-stop-marking-exams.pdf</w:t>
        </w:r>
      </w:hyperlink>
      <w:r>
        <w:t xml:space="preserve">.</w:t>
      </w:r>
    </w:p>
    <w:bookmarkEnd w:id="116"/>
    <w:bookmarkStart w:id="118"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17">
        <w:r>
          <w:rPr>
            <w:rStyle w:val="Hyperlink"/>
          </w:rPr>
          <w:t xml:space="preserve">https://doi.org/10.1007/s10798-011-9189-x</w:t>
        </w:r>
      </w:hyperlink>
      <w:r>
        <w:t xml:space="preserve">.</w:t>
      </w:r>
    </w:p>
    <w:bookmarkEnd w:id="118"/>
    <w:bookmarkStart w:id="120"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9">
        <w:r>
          <w:rPr>
            <w:rStyle w:val="Hyperlink"/>
          </w:rPr>
          <w:t xml:space="preserve">https://doi.org/10.1080/0969594X.2012.665354</w:t>
        </w:r>
      </w:hyperlink>
      <w:r>
        <w:t xml:space="preserve">.</w:t>
      </w:r>
    </w:p>
    <w:bookmarkEnd w:id="120"/>
    <w:bookmarkStart w:id="12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21">
        <w:r>
          <w:rPr>
            <w:rStyle w:val="Hyperlink"/>
          </w:rPr>
          <w:t xml:space="preserve">https://www.cambridgeassessment.org.uk/Images/109707-monitoring-and-investigating-comparability-a-proper-role-for-human-judgement.pdf</w:t>
        </w:r>
      </w:hyperlink>
      <w:r>
        <w:t xml:space="preserve">.</w:t>
      </w:r>
    </w:p>
    <w:bookmarkEnd w:id="122"/>
    <w:bookmarkStart w:id="12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23">
        <w:r>
          <w:rPr>
            <w:rStyle w:val="Hyperlink"/>
          </w:rPr>
          <w:t xml:space="preserve">https://doi.org/10.1037/h0070288</w:t>
        </w:r>
      </w:hyperlink>
      <w:r>
        <w:t xml:space="preserve">.</w:t>
      </w:r>
    </w:p>
    <w:bookmarkEnd w:id="124"/>
    <w:bookmarkStart w:id="12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5">
        <w:r>
          <w:rPr>
            <w:rStyle w:val="Hyperlink"/>
          </w:rPr>
          <w:t xml:space="preserve">https://brocku.ca/MeadProject/Thurstone/Thurstone_1927g.html</w:t>
        </w:r>
      </w:hyperlink>
      <w:r>
        <w:t xml:space="preserve">.</w:t>
      </w:r>
    </w:p>
    <w:bookmarkEnd w:id="126"/>
    <w:bookmarkStart w:id="12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7">
        <w:r>
          <w:rPr>
            <w:rStyle w:val="Hyperlink"/>
          </w:rPr>
          <w:t xml:space="preserve">https://doi.org/10.1080/0969594X.2016.1253542</w:t>
        </w:r>
      </w:hyperlink>
      <w:r>
        <w:t xml:space="preserve">.</w:t>
      </w:r>
    </w:p>
    <w:bookmarkEnd w:id="128"/>
    <w:bookmarkStart w:id="130"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9">
        <w:r>
          <w:rPr>
            <w:rStyle w:val="Hyperlink"/>
          </w:rPr>
          <w:t xml:space="preserve">https://doi.org/10.3389/feduc.2017.00044</w:t>
        </w:r>
      </w:hyperlink>
      <w:r>
        <w:t xml:space="preserve">.</w:t>
      </w:r>
    </w:p>
    <w:bookmarkEnd w:id="130"/>
    <w:bookmarkStart w:id="131"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31"/>
    <w:bookmarkStart w:id="132"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32"/>
    <w:bookmarkStart w:id="13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33">
        <w:r>
          <w:rPr>
            <w:rStyle w:val="Hyperlink"/>
          </w:rPr>
          <w:t xml:space="preserve">https://doi.org/10.1080/0969594X.2019.1602027</w:t>
        </w:r>
      </w:hyperlink>
      <w:r>
        <w:t xml:space="preserve">.</w:t>
      </w:r>
    </w:p>
    <w:bookmarkEnd w:id="134"/>
    <w:bookmarkStart w:id="13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5">
        <w:r>
          <w:rPr>
            <w:rStyle w:val="Hyperlink"/>
          </w:rPr>
          <w:t xml:space="preserve">https://doi.org/10.3389/feduc.2021.785919</w:t>
        </w:r>
      </w:hyperlink>
      <w:r>
        <w:t xml:space="preserve">.</w:t>
      </w:r>
    </w:p>
    <w:bookmarkEnd w:id="136"/>
    <w:bookmarkStart w:id="138"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7">
        <w:r>
          <w:rPr>
            <w:rStyle w:val="Hyperlink"/>
          </w:rPr>
          <w:t xml:space="preserve">https://doi.org/10.1177/014662167800200301</w:t>
        </w:r>
      </w:hyperlink>
      <w:r>
        <w:t xml:space="preserve">.</w:t>
      </w:r>
    </w:p>
    <w:bookmarkEnd w:id="138"/>
    <w:bookmarkStart w:id="140"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9">
        <w:r>
          <w:rPr>
            <w:rStyle w:val="Hyperlink"/>
          </w:rPr>
          <w:t xml:space="preserve">https://filestore.aqa.org.uk/content/research/CERP_RP_CW_24102012_0.pdf?download=1</w:t>
        </w:r>
      </w:hyperlink>
      <w:r>
        <w:t xml:space="preserve">.</w:t>
      </w:r>
    </w:p>
    <w:bookmarkEnd w:id="140"/>
    <w:bookmarkStart w:id="142"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41">
        <w:r>
          <w:rPr>
            <w:rStyle w:val="Hyperlink"/>
          </w:rPr>
          <w:t xml:space="preserve">https://doi.org/10.1080/00221309.1994.9921213</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41" Target="https://doi.org/10.1080/00221309.1994.9921213"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5"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117" Target="https://doi.org/10.1007/s10798-011-9189-x"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23" Target="https://doi.org/10.1037/h0070288" TargetMode="External" /><Relationship Type="http://schemas.openxmlformats.org/officeDocument/2006/relationships/hyperlink" Id="rId141" Target="https://doi.org/10.1080/00221309.1994.9921213" TargetMode="External" /><Relationship Type="http://schemas.openxmlformats.org/officeDocument/2006/relationships/hyperlink" Id="rId119" Target="https://doi.org/10.1080/0969594X.2012.665354" TargetMode="External" /><Relationship Type="http://schemas.openxmlformats.org/officeDocument/2006/relationships/hyperlink" Id="rId127"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33"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7"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9"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5"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9"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21" Target="https://www.cambridgeassessment.org.uk/Images/109707-monitoring-and-investigating-comparability-a-proper-role-for-human-judgement.pdf" TargetMode="External" /><Relationship Type="http://schemas.openxmlformats.org/officeDocument/2006/relationships/hyperlink" Id="rId115"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2024-12-05T10:03:38Z</dcterms:created>
  <dcterms:modified xsi:type="dcterms:W3CDTF">2024-12-05T10:03:38Z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2024-12-05</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