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2024-05-16</w:t>
      </w:r>
    </w:p>
    <w:p>
      <w:pPr>
        <w:pStyle w:val="AbstractTitle"/>
      </w:pPr>
      <w:r>
        <w:t xml:space="preserve">Abstract</w:t>
      </w:r>
    </w:p>
    <w:p>
      <w:pPr>
        <w:pStyle w:val="Abstract"/>
      </w:pPr>
      <w:r>
        <w:t xml:space="preserve">This</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analyzing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hypotheses.</w:t>
      </w:r>
      <w:r>
        <w:t xml:space="preserve"> </w:t>
      </w:r>
      <w:r>
        <w:t xml:space="preserve">Using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study</w:t>
      </w:r>
      <w:r>
        <w:t xml:space="preserve"> </w:t>
      </w:r>
      <w:r>
        <w:t xml:space="preserve">employs</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these</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illustrates</w:t>
      </w:r>
      <w:r>
        <w:t xml:space="preserve"> </w:t>
      </w:r>
      <w:r>
        <w:t xml:space="preserve">how</w:t>
      </w:r>
      <w:r>
        <w:t xml:space="preserve"> </w:t>
      </w:r>
      <w:r>
        <w:t xml:space="preserve">researcher</w:t>
      </w:r>
      <w:r>
        <w:t xml:space="preserve"> </w:t>
      </w:r>
      <w:r>
        <w:t xml:space="preserve">can</w:t>
      </w:r>
      <w:r>
        <w:t xml:space="preserve"> </w:t>
      </w:r>
      <w:r>
        <w:t xml:space="preserve">explore</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show</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model</w:t>
      </w:r>
      <w:r>
        <w:t xml:space="preserve"> </w:t>
      </w:r>
      <w:r>
        <w:t xml:space="preserve">facilitates</w:t>
      </w:r>
      <w:r>
        <w:t xml:space="preserve"> </w:t>
      </w:r>
      <w:r>
        <w:t xml:space="preserve">hypothesis</w:t>
      </w:r>
      <w:r>
        <w:t xml:space="preserve"> </w:t>
      </w:r>
      <w:r>
        <w:t xml:space="preserve">exploration</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However,</w:t>
      </w:r>
      <w:r>
        <w:t xml:space="preserve"> </w:t>
      </w:r>
      <w:r>
        <w:t xml:space="preserve">implementing</w:t>
      </w:r>
      <w:r>
        <w:t xml:space="preserve"> </w:t>
      </w:r>
      <w:r>
        <w:t xml:space="preserve">these</w:t>
      </w:r>
      <w:r>
        <w:t xml:space="preserve"> </w:t>
      </w:r>
      <w:r>
        <w:t xml:space="preserve">statistical</w:t>
      </w:r>
      <w:r>
        <w:t xml:space="preserve"> </w:t>
      </w:r>
      <w:r>
        <w:t xml:space="preserve">tools</w:t>
      </w:r>
      <w:r>
        <w:t xml:space="preserve"> </w:t>
      </w:r>
      <w:r>
        <w:t xml:space="preserve">require</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the</w:t>
      </w:r>
      <w:r>
        <w:t xml:space="preserve"> </w:t>
      </w:r>
      <w:r>
        <w:t xml:space="preserve">core</w:t>
      </w:r>
      <w:r>
        <w:t xml:space="preserve"> </w:t>
      </w:r>
      <w:r>
        <w:t xml:space="preserve">of</w:t>
      </w:r>
      <w:r>
        <w:t xml:space="preserve"> </w:t>
      </w:r>
      <w:r>
        <w:t xml:space="preserve">Bayesian</w:t>
      </w:r>
      <w:r>
        <w:t xml:space="preserve"> </w:t>
      </w:r>
      <w:r>
        <w:t xml:space="preserve">methods.</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and</w:t>
      </w:r>
      <w:r>
        <w:t xml:space="preserve"> </w:t>
      </w:r>
      <w:r>
        <w:t xml:space="preserve">accurately</w:t>
      </w:r>
      <w:r>
        <w:t xml:space="preserve"> </w:t>
      </w:r>
      <w:r>
        <w:t xml:space="preserve">predicting</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w:t>
      </w:r>
      <w:r>
        <w:t xml:space="preserve"> </w:t>
      </w:r>
      <w:r>
        <w:t xml:space="preserve">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w:t>
      </w:r>
      <w:r>
        <w:t xml:space="preserve"> </w:t>
      </w:r>
      <w:r>
        <w:t xml:space="preserve">Underfitting occurs when statistical models fail to capture the underlying data patterns, potentially generating predictions outside the data range, thus hindering the model’s ability to generalize when confronted with new data.</w:t>
      </w:r>
      <w:r>
        <w:t xml:space="preserve"> </w:t>
      </w:r>
      <w:r>
        <w:t xml:space="preserve">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r>
        <w:t xml:space="preserve"> </w:t>
      </w:r>
      <w:r>
        <w:t xml:space="preserve">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for every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w:t>
            </w:r>
            <w:r>
              <w:t xml:space="preserve"> </w:t>
            </w:r>
            <w:r>
              <w:t xml:space="preserve">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w:t>
            </w:r>
            <w:r>
              <w:t xml:space="preserve"> </w:t>
            </w:r>
            <w:r>
              <w:t xml:space="preserve">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w:t>
      </w:r>
      <w:r>
        <w:t xml:space="preserve"> </w:t>
      </w:r>
      <w:r>
        <w:t xml:space="preserve">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w:t>
      </w:r>
      <w:r>
        <w:t xml:space="preserve"> </w:t>
      </w:r>
      <w:r>
        <w:t xml:space="preserve">Specifically, the focus centered on assessing the influence of speaker-related factors on intelligibility, such as chronological age and hearing status.</w:t>
      </w:r>
      <w:r>
        <w:t xml:space="preserve"> </w:t>
      </w:r>
      <w:r>
        <w:t xml:space="preserve">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w:t>
      </w:r>
      <w:r>
        <w:t xml:space="preserve"> </w:t>
      </w:r>
      <w:r>
        <w:t xml:space="preserve">The results also emphasized that models neglecting measurement error and boundedness in the outcomes lead to underfitting and misspecification issues, even when robust features are integrated.</w:t>
      </w:r>
      <w:r>
        <w:t xml:space="preserve"> </w:t>
      </w:r>
      <w:r>
        <w:t xml:space="preserve">This was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 the construction of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This indicated that different speaker-related factor hypotheses were viable for the data, with some presenting contradictory conclusions about the influence of these factors on intelligibility. However, even without unequivocal support for one hypothesis, the divided support among these models informed that certain statistical issues may be hindering the models’ ability to distinguish among individuals and, ultimately, among models. These issues may be attributed to factors such as the insufficient sample size of speakers, the inadequate representation of the population of speakers, referred to as selection bias,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models.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addressed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provided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interpreted potential intelligibility as an unobserved latent trait of speakers influencing the likelihood of observing a set of entropy scores. These scores, in turn, reflected the transcribers’ ability to decode words in sentences produced by the speakers. Despite this practical approach, the construct validity of the latent trait heavily depended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assumed the transcription task set by</w:t>
      </w:r>
      <w:r>
        <w:t xml:space="preserve"> </w:t>
      </w:r>
      <w:r>
        <w:t xml:space="preserve">Boonen et al. (2023)</w:t>
      </w:r>
      <w:r>
        <w:t xml:space="preserve"> </w:t>
      </w:r>
      <w:r>
        <w:t xml:space="preserve">was properly understood and executed, it expected that the potential intelligibility reflected the overall speech intelligibility of speakers. However, the study did not delved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could 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serves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have highlighted the effectiveness of the Bayesian Beta-proportion GLLAMM to collectively address several key data features when investigating unobservable and complex traits. The study used speech intelligibility and entropy scores as a motivating example. The results have demonstrated that the proposed model consistently outperforms the Normal LMM in predicting the empirical phenomena. Moreover, the model exhibits the ability to quantify the latent potential intelligibility of speakers, allowing for the ranking and comparison of individuals based on the latent trait while accommodating associated uncertainties. Additionally, the proposed model have facilitated the exploration of research hypotheses concerning the influence of speaker-related factors on potential intelligibility, where the integration and comparison of these hypotheses within the model’s framework was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the exploration and integration of novel evaluation methods for assessing intelligibility. The insights derived from this study hold implications for both researchers and data analysts interested in quantitatively measuring intricate, unobservable constructs, while predicting accurately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exemplified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In addition, a blank space</w:t>
      </w:r>
      <w:r>
        <w:t xml:space="preserve"> </w:t>
      </w:r>
      <w:r>
        <w:rPr>
          <w:i/>
          <w:iCs/>
        </w:rPr>
        <w:t xml:space="preserve">[B]</w:t>
      </w:r>
      <w:r>
        <w:t xml:space="preserve"> </w:t>
      </w:r>
      <w:r>
        <w:t xml:space="preserve">is a symbol that defined the absence of a word in a space where a word was expected during the alignment procedure, as compared with other transcriptions. Notice that for calculation purposes, because the blank space was not expected in such position, it was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with an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did not identify a complete word, or part of it, (s)he was instructed to write</w:t>
      </w:r>
      <w:r>
        <w:t xml:space="preserve"> </w:t>
      </w:r>
      <w:r>
        <w:rPr>
          <w:i/>
          <w:iCs/>
        </w:rPr>
        <w:t xml:space="preserve">[X]</w:t>
      </w:r>
      <w:r>
        <w:t xml:space="preserve"> </w:t>
      </w:r>
      <w:r>
        <w:t xml:space="preserve">in that position. However, for the calculation of the entropy score, if more than one listener marked an unidentifiable word with</w:t>
      </w:r>
      <w:r>
        <w:t xml:space="preserve"> </w:t>
      </w:r>
      <w:r>
        <w:rPr>
          <w:i/>
          <w:iCs/>
        </w:rPr>
        <w:t xml:space="preserve">[X]</w:t>
      </w:r>
      <w:r>
        <w:t xml:space="preserve">, each one of them was considered a different word type. This was done to avoid the artificial reduction of the entropy score, as</w:t>
      </w:r>
      <w:r>
        <w:t xml:space="preserve"> </w:t>
      </w:r>
      <w:r>
        <w:rPr>
          <w:i/>
          <w:iCs/>
        </w:rPr>
        <w:t xml:space="preserve">[X]</w:t>
      </w:r>
      <w:r>
        <w:t xml:space="preserve"> </w:t>
      </w:r>
      <w:r>
        <w:t xml:space="preserve">values already indicated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with an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the last example showcased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discards most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2024-05-16T17:09:27Z</dcterms:created>
  <dcterms:modified xsi:type="dcterms:W3CDTF">2024-05-16T17:09:27Z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aims to demonstrate the efficacy of the Generalized Linear Latent and Mixed Model (GLLAMM) (Rabe-Hesketh, Skrondal, and Pickles 2004a, 2004c, 2004b; Skrondal and Rabe-Hesketh 2004) in analyzing entropy scores for investigating speech intelligibility hypotheses. Using transcriptions from spontaneous speech data originally collected by Boonen et al. (2023), the study employs the Bayesian Beta-proportion GLLAMM to model the resulting entropy scores. The research compared the model’s prediction accuracy with the Normal Linear Mixed Model (LMM) (Holmes, Bolin, and Kelley 2019) and investigated its capacity to estimate a latent intelligibility from these entropy scores. The study also illustrates how researcher can explore hypotheses concerning the impact of speaker-related factors on intelligibility. Results show the superiority of the Beta-proportion GLLAMM in predicting empirical phenomena over the Normal LMM and its ability to quantify latent potential intelligibility. Additionally, the model facilitates hypothesis exploration concerning speaker-related factors and intelligibility. However, implementing these statistical tools require formulating assumptions about the data-generating process and knowledge of probabilistic programming languages, the core of Bayesian methods. Nevertheless, the study suggests future research directions, including causal hypothesis formulation and novel methods for intelligibility assessment. Ultimately, this research has implications for researchers and data analysts interested in quantitatively measuring intricate, unobservable constructs and accurately predicting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