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2024-04-19</w:t>
      </w:r>
    </w:p>
    <w:p>
      <w:pPr>
        <w:pStyle w:val="AbstractTitle"/>
      </w:pPr>
      <w:r>
        <w:t xml:space="preserve">Abstract</w:t>
      </w:r>
    </w:p>
    <w:p>
      <w:pPr>
        <w:pStyle w:val="Abstract"/>
      </w:pPr>
      <w:r>
        <w:t xml:space="preserve">This</w:t>
      </w:r>
      <w:r>
        <w:t xml:space="preserve"> </w:t>
      </w:r>
      <w:r>
        <w:t xml:space="preserve">research</w:t>
      </w:r>
      <w:r>
        <w:t xml:space="preserve"> </w:t>
      </w:r>
      <w:r>
        <w:t xml:space="preserve">aims</w:t>
      </w:r>
      <w:r>
        <w:t xml:space="preserve"> </w:t>
      </w:r>
      <w:r>
        <w:t xml:space="preserve">to</w:t>
      </w:r>
      <w:r>
        <w:t xml:space="preserve"> </w:t>
      </w:r>
      <w:r>
        <w:t xml:space="preserve">demonstrate</w:t>
      </w:r>
      <w:r>
        <w:t xml:space="preserve"> </w:t>
      </w:r>
      <w:r>
        <w:t xml:space="preserve">the</w:t>
      </w:r>
      <w:r>
        <w:t xml:space="preserve"> </w:t>
      </w:r>
      <w:r>
        <w:t xml:space="preserve">efficacy</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analyzing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hypotheses.</w:t>
      </w:r>
      <w:r>
        <w:t xml:space="preserve"> </w:t>
      </w:r>
      <w:r>
        <w:t xml:space="preserve">Using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(2023)</w:t>
      </w:r>
      <w:r>
        <w:t xml:space="preserve">,</w:t>
      </w:r>
      <w:r>
        <w:t xml:space="preserve"> </w:t>
      </w:r>
      <w:r>
        <w:t xml:space="preserve">the</w:t>
      </w:r>
      <w:r>
        <w:t xml:space="preserve"> </w:t>
      </w:r>
      <w:r>
        <w:t xml:space="preserve">study</w:t>
      </w:r>
      <w:r>
        <w:t xml:space="preserve"> </w:t>
      </w:r>
      <w:r>
        <w:t xml:space="preserve">employs</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research</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these</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also</w:t>
      </w:r>
      <w:r>
        <w:t xml:space="preserve"> </w:t>
      </w:r>
      <w:r>
        <w:t xml:space="preserve">illustrates</w:t>
      </w:r>
      <w:r>
        <w:t xml:space="preserve"> </w:t>
      </w:r>
      <w:r>
        <w:t xml:space="preserve">how</w:t>
      </w:r>
      <w:r>
        <w:t xml:space="preserve"> </w:t>
      </w:r>
      <w:r>
        <w:t xml:space="preserve">researcher</w:t>
      </w:r>
      <w:r>
        <w:t xml:space="preserve"> </w:t>
      </w:r>
      <w:r>
        <w:t xml:space="preserve">can</w:t>
      </w:r>
      <w:r>
        <w:t xml:space="preserve"> </w:t>
      </w:r>
      <w:r>
        <w:t xml:space="preserve">explore</w:t>
      </w:r>
      <w:r>
        <w:t xml:space="preserve"> </w:t>
      </w:r>
      <w:r>
        <w:t xml:space="preserve">hypotheses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show</w:t>
      </w:r>
      <w:r>
        <w:t xml:space="preserve"> </w:t>
      </w:r>
      <w:r>
        <w:t xml:space="preserve">the</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in</w:t>
      </w:r>
      <w:r>
        <w:t xml:space="preserve"> </w:t>
      </w:r>
      <w:r>
        <w:t xml:space="preserve">predicting</w:t>
      </w:r>
      <w:r>
        <w:t xml:space="preserve"> </w:t>
      </w:r>
      <w:r>
        <w:t xml:space="preserve">empirical</w:t>
      </w:r>
      <w:r>
        <w:t xml:space="preserve"> </w:t>
      </w:r>
      <w:r>
        <w:t xml:space="preserve">phenomena</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and</w:t>
      </w:r>
      <w:r>
        <w:t xml:space="preserve"> </w:t>
      </w:r>
      <w:r>
        <w:t xml:space="preserve">its</w:t>
      </w:r>
      <w:r>
        <w:t xml:space="preserve"> </w:t>
      </w:r>
      <w:r>
        <w:t xml:space="preserve">ability</w:t>
      </w:r>
      <w:r>
        <w:t xml:space="preserve"> </w:t>
      </w:r>
      <w:r>
        <w:t xml:space="preserve">to</w:t>
      </w:r>
      <w:r>
        <w:t xml:space="preserve"> </w:t>
      </w:r>
      <w:r>
        <w:t xml:space="preserve">quantify</w:t>
      </w:r>
      <w:r>
        <w:t xml:space="preserve"> </w:t>
      </w:r>
      <w:r>
        <w:t xml:space="preserve">latent</w:t>
      </w:r>
      <w:r>
        <w:t xml:space="preserve"> </w:t>
      </w:r>
      <w:r>
        <w:t xml:space="preserve">potential</w:t>
      </w:r>
      <w:r>
        <w:t xml:space="preserve"> </w:t>
      </w:r>
      <w:r>
        <w:t xml:space="preserve">intelligibility.</w:t>
      </w:r>
      <w:r>
        <w:t xml:space="preserve"> </w:t>
      </w:r>
      <w:r>
        <w:t xml:space="preserve">Additionally,</w:t>
      </w:r>
      <w:r>
        <w:t xml:space="preserve"> </w:t>
      </w:r>
      <w:r>
        <w:t xml:space="preserve">the</w:t>
      </w:r>
      <w:r>
        <w:t xml:space="preserve"> </w:t>
      </w:r>
      <w:r>
        <w:t xml:space="preserve">model</w:t>
      </w:r>
      <w:r>
        <w:t xml:space="preserve"> </w:t>
      </w:r>
      <w:r>
        <w:t xml:space="preserve">facilitates</w:t>
      </w:r>
      <w:r>
        <w:t xml:space="preserve"> </w:t>
      </w:r>
      <w:r>
        <w:t xml:space="preserve">hypothesis</w:t>
      </w:r>
      <w:r>
        <w:t xml:space="preserve"> </w:t>
      </w:r>
      <w:r>
        <w:t xml:space="preserve">exploration</w:t>
      </w:r>
      <w:r>
        <w:t xml:space="preserve"> </w:t>
      </w:r>
      <w:r>
        <w:t xml:space="preserve">concerning</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However,</w:t>
      </w:r>
      <w:r>
        <w:t xml:space="preserve"> </w:t>
      </w:r>
      <w:r>
        <w:t xml:space="preserve">implementing</w:t>
      </w:r>
      <w:r>
        <w:t xml:space="preserve"> </w:t>
      </w:r>
      <w:r>
        <w:t xml:space="preserve">these</w:t>
      </w:r>
      <w:r>
        <w:t xml:space="preserve"> </w:t>
      </w:r>
      <w:r>
        <w:t xml:space="preserve">statistical</w:t>
      </w:r>
      <w:r>
        <w:t xml:space="preserve"> </w:t>
      </w:r>
      <w:r>
        <w:t xml:space="preserve">tools</w:t>
      </w:r>
      <w:r>
        <w:t xml:space="preserve"> </w:t>
      </w:r>
      <w:r>
        <w:t xml:space="preserve">require</w:t>
      </w:r>
      <w:r>
        <w:t xml:space="preserve"> </w:t>
      </w:r>
      <w:r>
        <w:t xml:space="preserve">formulating</w:t>
      </w:r>
      <w:r>
        <w:t xml:space="preserve"> </w:t>
      </w:r>
      <w:r>
        <w:t xml:space="preserve">assumptions</w:t>
      </w:r>
      <w:r>
        <w:t xml:space="preserve"> </w:t>
      </w:r>
      <w:r>
        <w:t xml:space="preserve">about</w:t>
      </w:r>
      <w:r>
        <w:t xml:space="preserve"> </w:t>
      </w:r>
      <w:r>
        <w:t xml:space="preserve">the</w:t>
      </w:r>
      <w:r>
        <w:t xml:space="preserve"> </w:t>
      </w:r>
      <w:r>
        <w:t xml:space="preserve">data-generating</w:t>
      </w:r>
      <w:r>
        <w:t xml:space="preserve"> </w:t>
      </w:r>
      <w:r>
        <w:t xml:space="preserve">process</w:t>
      </w:r>
      <w:r>
        <w:t xml:space="preserve"> </w:t>
      </w:r>
      <w:r>
        <w:t xml:space="preserve">and</w:t>
      </w:r>
      <w:r>
        <w:t xml:space="preserve"> </w:t>
      </w:r>
      <w:r>
        <w:t xml:space="preserve">knowledge</w:t>
      </w:r>
      <w:r>
        <w:t xml:space="preserve"> </w:t>
      </w:r>
      <w:r>
        <w:t xml:space="preserve">of</w:t>
      </w:r>
      <w:r>
        <w:t xml:space="preserve"> </w:t>
      </w:r>
      <w:r>
        <w:t xml:space="preserve">probabilistic</w:t>
      </w:r>
      <w:r>
        <w:t xml:space="preserve"> </w:t>
      </w:r>
      <w:r>
        <w:t xml:space="preserve">programming</w:t>
      </w:r>
      <w:r>
        <w:t xml:space="preserve"> </w:t>
      </w:r>
      <w:r>
        <w:t xml:space="preserve">languages,</w:t>
      </w:r>
      <w:r>
        <w:t xml:space="preserve"> </w:t>
      </w:r>
      <w:r>
        <w:t xml:space="preserve">the</w:t>
      </w:r>
      <w:r>
        <w:t xml:space="preserve"> </w:t>
      </w:r>
      <w:r>
        <w:t xml:space="preserve">core</w:t>
      </w:r>
      <w:r>
        <w:t xml:space="preserve"> </w:t>
      </w:r>
      <w:r>
        <w:t xml:space="preserve">of</w:t>
      </w:r>
      <w:r>
        <w:t xml:space="preserve"> </w:t>
      </w:r>
      <w:r>
        <w:t xml:space="preserve">Bayesian</w:t>
      </w:r>
      <w:r>
        <w:t xml:space="preserve"> </w:t>
      </w:r>
      <w:r>
        <w:t xml:space="preserve">methods.</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Ultimately,</w:t>
      </w:r>
      <w:r>
        <w:t xml:space="preserve"> </w:t>
      </w:r>
      <w:r>
        <w:t xml:space="preserve">this</w:t>
      </w:r>
      <w:r>
        <w:t xml:space="preserve"> </w:t>
      </w:r>
      <w:r>
        <w:t xml:space="preserve">research</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intricate,</w:t>
      </w:r>
      <w:r>
        <w:t xml:space="preserve"> </w:t>
      </w:r>
      <w:r>
        <w:t xml:space="preserve">unobservable</w:t>
      </w:r>
      <w:r>
        <w:t xml:space="preserve"> </w:t>
      </w:r>
      <w:r>
        <w:t xml:space="preserve">constructs</w:t>
      </w:r>
      <w:r>
        <w:t xml:space="preserve"> </w:t>
      </w:r>
      <w:r>
        <w:t xml:space="preserve">and</w:t>
      </w:r>
      <w:r>
        <w:t xml:space="preserve"> </w:t>
      </w:r>
      <w:r>
        <w:t xml:space="preserve">accurately</w:t>
      </w:r>
      <w:r>
        <w:t xml:space="preserve"> </w:t>
      </w:r>
      <w:r>
        <w:t xml:space="preserve">predicting</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(Kent, Miolo, and Bloedel 1994)</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w:t>
      </w:r>
      <w:r>
        <w:t xml:space="preserve"> </w:t>
      </w:r>
      <w:r>
        <w:t xml:space="preserve">(Freeman et al. 2017; van Heuven 2008; Whitehill and Chau 2004)</w:t>
      </w:r>
      <w:r>
        <w:t xml:space="preserve">. Furthermore, achieving intelligible spoken language requires all core components of speech perception, cognitive processing, linguistic knowledge, and articulation to be mastered</w:t>
      </w:r>
      <w:r>
        <w:t xml:space="preserve"> </w:t>
      </w:r>
      <w:r>
        <w:t xml:space="preserve">(Freeman et al. 2017)</w:t>
      </w:r>
      <w:r>
        <w:t xml:space="preserve">. Hence, it is unsurprising that its accurate measurement faces challenges</w:t>
      </w:r>
      <w:r>
        <w:t xml:space="preserve"> </w:t>
      </w:r>
      <w:r>
        <w:t xml:space="preserve">(Kent et al. 1989)</w:t>
      </w:r>
      <w:r>
        <w:t xml:space="preserve">. These challenges arise from the interplay of its determinants, which encompass attributes of the communicative environment, such as background noise</w:t>
      </w:r>
      <w:r>
        <w:t xml:space="preserve"> </w:t>
      </w:r>
      <w:r>
        <w:t xml:space="preserve">(Munro 1998)</w:t>
      </w:r>
      <w:r>
        <w:t xml:space="preserve">, speaker features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listener characteristics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2023)</w:t>
      </w:r>
      <w:r>
        <w:t xml:space="preserve">. However, due to the uncertainty surrounding the speaker’s intended word production, it is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2023)</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2023)</w:t>
      </w:r>
      <w:r>
        <w:t xml:space="preserve">. In the latter approach, listeners transcribe orthographically spontaneous speech samples produced by various speakers.</w:t>
      </w:r>
      <w:r>
        <w:t xml:space="preserve"> </w:t>
      </w:r>
      <w:r>
        <w:t xml:space="preserve">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2023; Faes, De Maeyer, and Gillis 2022)</w:t>
      </w:r>
      <w:r>
        <w:t xml:space="preserve">. Notably, the aggregation procedure assumes that speech samples are considered</w:t>
      </w:r>
      <w:r>
        <w:t xml:space="preserve"> </w:t>
      </w:r>
      <w:r>
        <w:t xml:space="preserve">‘</w:t>
      </w:r>
      <w:r>
        <w:t xml:space="preserve">intelligible</w:t>
      </w:r>
      <w:r>
        <w:t xml:space="preserve">’</w:t>
      </w:r>
      <w:r>
        <w:t xml:space="preserve"> </w:t>
      </w:r>
      <w:r>
        <w:t xml:space="preserve">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2023)</w:t>
      </w:r>
      <w:r>
        <w:t xml:space="preserve">.</w:t>
      </w:r>
    </w:p>
    <w:p>
      <w:pPr>
        <w:pStyle w:val="BodyText"/>
      </w:pPr>
      <w:r>
        <w:t xml:space="preserve">However, despite their potential as a fine-grained metric of intelligibility, as proposed by</w:t>
      </w:r>
      <w:r>
        <w:t xml:space="preserve"> </w:t>
      </w:r>
      <w:r>
        <w:t xml:space="preserve">Boonen et al. (2023)</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w:t>
      </w:r>
      <w:r>
        <w:t xml:space="preserve"> </w:t>
      </w:r>
      <w:r>
        <w:t xml:space="preserve">Secondly, entropy scores are assumed to be a manifestation of a speaker’s intelligibility, with this intelligibility being the primary factor influencing the observed scores.</w:t>
      </w:r>
      <w:r>
        <w:t xml:space="preserve"> </w:t>
      </w:r>
      <w:r>
        <w:t xml:space="preserve">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speech samples with entropy scores located at the extreme of the bounds, and the presence of more than one population in the data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 data. Conversely, misspecification,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p>
    <w:p>
      <w:pPr>
        <w:pStyle w:val="BodyText"/>
      </w:pPr>
      <w:r>
        <w:t xml:space="preserve">In the realm of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with all of the aforementioned data features.</w:t>
      </w:r>
    </w:p>
    <w:p>
      <w:pPr>
        <w:pStyle w:val="BodyText"/>
      </w:pPr>
      <w:r>
        <w:t xml:space="preserve">All of these models have found moderate adoption in various fields, including speech communication</w:t>
      </w:r>
      <w:r>
        <w:t xml:space="preserve"> </w:t>
      </w:r>
      <w:r>
        <w:t xml:space="preserve">(Boonen et al. 2023)</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(2023)</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The study employed Bayesian procedures for three main reasons. Firstly, prior research consistently demonstrates the superiority of Bayesian methods over frequentist methods, especially with complex and over-parameterized models</w:t>
      </w:r>
      <w:r>
        <w:t xml:space="preserve"> </w:t>
      </w:r>
      <w:r>
        <w:t xml:space="preserve">(Baker 1998; Kim and Cohen 1999)</w:t>
      </w:r>
      <w:r>
        <w:t xml:space="preserve">. This is particularly relevant for the proposed GLLAMM, given the model’s implementation challenges under frequentist methods</w:t>
      </w:r>
      <w:r>
        <w:t xml:space="preserve"> </w:t>
      </w:r>
      <w:r>
        <w:t xml:space="preserve">(Depaoli 2014)</w:t>
      </w:r>
      <w:r>
        <w:t xml:space="preserve">. Secondly, the Bayesian approach enables the incorporation of prior information, thereby constraining certain parameters within specified bounds. This feature addresses issues such as non-convergence or improper parameter estimation common in complex models under frequentist methods</w:t>
      </w:r>
      <w:r>
        <w:t xml:space="preserve"> </w:t>
      </w:r>
      <w:r>
        <w:t xml:space="preserve">(Martin and McDonald 1975; Seaman III, Seaman Jr., and Stamey 2011)</w:t>
      </w:r>
      <w:r>
        <w:t xml:space="preserve">. An example is the estimation of negative variances for random effects in hierarchical models</w:t>
      </w:r>
      <w:r>
        <w:t xml:space="preserve"> </w:t>
      </w:r>
      <w:r>
        <w:t xml:space="preserve">(Holmes, Bolin, and Kelley 2019)</w:t>
      </w:r>
      <w:r>
        <w:t xml:space="preserve">, a problem resolved in this study through the utilization of prior distributions. Lastly, Bayesian methods exhibit proficiency in drawing inferences from small sample sizes</w:t>
      </w:r>
      <w:r>
        <w:t xml:space="preserve"> </w:t>
      </w:r>
      <w:r>
        <w:t xml:space="preserve">(Baldwin and Fellingham 2013; Lambert et al. 2006; Depaoli 2014)</w:t>
      </w:r>
      <w:r>
        <w:t xml:space="preserve">. This property holds relevance for this study, as it also grapples with a small sample size, where reliance on the asymptotic properties of frequentist methods may not be justified.</w:t>
      </w:r>
    </w:p>
    <w:bookmarkStart w:id="20" w:name="sec-I-RQ"/>
    <w:p>
      <w:pPr>
        <w:pStyle w:val="Heading2"/>
      </w:pPr>
      <w:r>
        <w:t xml:space="preserve">Research questions</w:t>
      </w:r>
    </w:p>
    <w:p>
      <w:pPr>
        <w:pStyle w:val="FirstParagraph"/>
      </w:pPr>
      <w:r>
        <w:t xml:space="preserve">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hypotheses concerning speech intelligibility.</w:t>
      </w:r>
      <w:r>
        <w:t xml:space="preserve"> </w:t>
      </w:r>
      <w:r>
        <w:t xml:space="preserve">To achieve this objective, the study will reexamine data originating from transcriptions of spontaneous speech samples, initially collected by</w:t>
      </w:r>
      <w:r>
        <w:t xml:space="preserve"> </w:t>
      </w:r>
      <w:r>
        <w:t xml:space="preserve">Boonen et al. (2023)</w:t>
      </w:r>
      <w:r>
        <w:t xml:space="preserve">. Subsequently, this data will be aggregated into entropy scores and subjected to modeling through the Bayesian Beta-proportion GLLAMM.</w:t>
      </w:r>
    </w:p>
    <w:p>
      <w:pPr>
        <w:pStyle w:val="BodyText"/>
      </w:pPr>
      <w:r>
        <w:t xml:space="preserve">To address the primary objective, the study poses three key research questions.</w:t>
      </w:r>
      <w:r>
        <w:t xml:space="preserve"> </w:t>
      </w:r>
      <w:r>
        <w:t xml:space="preserve">First, given the importance of accurate predictions in developing useful practical models and testing research hypotheses</w:t>
      </w:r>
      <w:r>
        <w:t xml:space="preserve"> </w:t>
      </w:r>
      <w:r>
        <w:t xml:space="preserve">(Shmueli and Koppius 2011)</w:t>
      </w:r>
      <w:r>
        <w:t xml:space="preserve">,</w:t>
      </w:r>
      <w:r>
        <w:t xml:space="preserve"> </w:t>
      </w:r>
      <w:r>
        <w:rPr>
          <w:i/>
          <w:iCs/>
        </w:rPr>
        <w:t xml:space="preserve">Research Question 1 (RQ1)</w:t>
      </w:r>
      <w:r>
        <w:t xml:space="preserve"> </w:t>
      </w:r>
      <w:r>
        <w:t xml:space="preserve">evaluates whether the Beta-proportion GLLAMM yields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(Kent, Miolo, and Bloedel 1994)</w:t>
      </w:r>
      <w:r>
        <w:t xml:space="preserve">,</w:t>
      </w:r>
      <w:r>
        <w:t xml:space="preserve"> </w:t>
      </w:r>
      <w:r>
        <w:rPr>
          <w:i/>
          <w:iCs/>
        </w:rPr>
        <w:t xml:space="preserve">Research Question 2 (RQ2)</w:t>
      </w:r>
      <w:r>
        <w:t xml:space="preserve"> </w:t>
      </w:r>
      <w:r>
        <w:t xml:space="preserve">investigates how the proposed model can estimate speakers’ latent intelligibility from manifest entropy scores.</w:t>
      </w:r>
      <w:r>
        <w:t xml:space="preserve"> </w:t>
      </w:r>
      <w:r>
        <w:t xml:space="preserve">Thirdly, recognizing that research involves developing and comparing hypotheses,</w:t>
      </w:r>
      <w:r>
        <w:t xml:space="preserve"> </w:t>
      </w:r>
      <w:r>
        <w:rPr>
          <w:i/>
          <w:iCs/>
        </w:rPr>
        <w:t xml:space="preserve">Research Question 3 (RQ3)</w:t>
      </w:r>
      <w:r>
        <w:t xml:space="preserve"> </w:t>
      </w:r>
      <w:r>
        <w:t xml:space="preserve">illustrates how these research hypotheses can be examined within the model’s framework.</w:t>
      </w:r>
      <w:r>
        <w:t xml:space="preserve"> </w:t>
      </w:r>
      <w:r>
        <w:t xml:space="preserve">Specifically, RQ3 assesses the influence of speaker-related factors on the newly estimated latent intelligibility.</w:t>
      </w:r>
    </w:p>
    <w:p>
      <w:pPr>
        <w:pStyle w:val="BodyText"/>
      </w:pPr>
      <w:r>
        <w:t xml:space="preserve">Ultimately, this study offers a statistical tool designed for researchers studying speech intelligibility through entropy scores and those in similar or different fields facing analogous data challenges that improves upon current research models. This tool assess the predictability of empirical phenomena and develops a quantitative measure for the latent variable of interest. This quantitative measure, in turn, facilitates the appropriate comparison of existing hypotheses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(2023)</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(2023)</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w:t>
      </w:r>
      <w:r>
        <w:t xml:space="preserve"> </w:t>
      </w:r>
      <w:r>
        <w:t xml:space="preserve">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the actual recording, the children were allowed to skim over the booklet and examine the pictures. Prior to the selection of the samples, the recordings were orthographically transcribed using the CHAT format in the CLAN editor</w:t>
      </w:r>
      <w:r>
        <w:t xml:space="preserve"> </w:t>
      </w:r>
      <w:r>
        <w:t xml:space="preserve">(MacWhinney 2020)</w:t>
      </w:r>
      <w:r>
        <w:t xml:space="preserve">. These transcriptions were exclusively used in the selection of appropriate speech samples.</w:t>
      </w:r>
      <w:r>
        <w:t xml:space="preserve"> </w:t>
      </w:r>
      <w:r>
        <w:t xml:space="preserve">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(2023)</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with no overlap between the blocks.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2023)</w:t>
      </w:r>
      <w:r>
        <w:t xml:space="preserve">, at the sentence level in a column-like grid structure like the one presented in</w:t>
      </w:r>
      <w:r>
        <w:t xml:space="preserve"> </w:t>
      </w:r>
      <w:hyperlink w:anchor="tbl-alignment">
        <w:r>
          <w:rPr>
            <w:rStyle w:val="Hyperlink"/>
          </w:rPr>
          <w:t xml:space="preserve">Table 1</w:t>
        </w:r>
      </w:hyperlink>
      <w:r>
        <w:t xml:space="preserve">.</w:t>
      </w:r>
      <w:r>
        <w:t xml:space="preserve"> </w:t>
      </w:r>
      <w:r>
        <w:t xml:space="preserve">This alignment process was repeated for each sentence within each speaker and block, and the output was manually checked and adjusted (if needed) in order to appropriately align the words.</w:t>
      </w:r>
      <w:r>
        <w:t xml:space="preserve"> </w:t>
      </w:r>
      <w:r>
        <w:t xml:space="preserve">For more details on the random assignment and alignment procedures refer to the original authors.</w:t>
      </w:r>
    </w:p>
    <w:p>
      <w:pPr>
        <w:pStyle w:val="BodyText"/>
      </w:pPr>
      <w:r>
        <w:t xml:space="preserve">Next, the aligned transcriptions were aggregated by listener yielding</w:t>
      </w:r>
      <w:r>
        <w:t xml:space="preserve"> </w:t>
      </w:r>
      <m:oMath>
        <m:r>
          <m:t>2</m:t>
        </m:r>
        <m:r>
          <m:rPr>
            <m:sty m:val="p"/>
          </m:rPr>
          <m:t>,</m:t>
        </m:r>
        <m:r>
          <m:t>2634</m:t>
        </m:r>
      </m:oMath>
      <w:r>
        <w:t xml:space="preserve"> </w:t>
      </w:r>
      <w:r>
        <w:t xml:space="preserve">entropy scores, one score per word within each sentence.</w:t>
      </w:r>
      <w:r>
        <w:t xml:space="preserve"> </w:t>
      </w:r>
      <w:r>
        <w:t xml:space="preserve">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Refer to</w:t>
      </w:r>
      <w:r>
        <w:t xml:space="preserve"> </w:t>
      </w:r>
      <w:hyperlink w:anchor="sec-appA">
        <w:r>
          <w:rPr>
            <w:rStyle w:val="Hyperlink"/>
          </w:rPr>
          <w:t xml:space="preserve">Section 6.1</w:t>
        </w:r>
      </w:hyperlink>
      <w:r>
        <w:t xml:space="preserve"> </w:t>
      </w:r>
      <w:r>
        <w:t xml:space="preserve">for an example of how entropy scores are computed.</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2023; Faes, De Maeyer, and Gillis 2022)</w:t>
      </w:r>
      <w:r>
        <w:t xml:space="preserve">. Furthermore, no score is excluded from the modeling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(2023)</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w:t>
      </w:r>
      <w:r>
        <w:t xml:space="preserve"> </w:t>
      </w:r>
      <w:r>
        <w:t xml:space="preserve">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speakers’ characteristics. This is commonly known as a direct link function. Moreover,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Additionally,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Finally,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this over-parameterized model facilitated: (1) the comparison between the specific parameter interpretations of the Normal LMM and the Beta-proportion GLLAMM, with</w:t>
      </w:r>
      <w:r>
        <w:t xml:space="preserve"> </w:t>
      </w:r>
      <m:oMath>
        <m:r>
          <m:t>α</m:t>
        </m:r>
      </m:oMath>
      <w:r>
        <w:t xml:space="preserve"> </w:t>
      </w:r>
      <w:r>
        <w:t xml:space="preserve">serving no particular purpose in the former case,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w:t>
      </w:r>
      <w:r>
        <w:t xml:space="preserve"> </w:t>
      </w:r>
      <w:r>
        <w:t xml:space="preserve">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 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Additionally,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w:t>
      </w:r>
      <w:r>
        <w:t xml:space="preserve"> </w:t>
      </w:r>
      <w:r>
        <w:t xml:space="preserve">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behind this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the study utilizes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For this purpose, the study also presents the associated uncertainty for both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 the models’ complexity penalization, as well as their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w:t>
      </w:r>
      <w:r>
        <w:t xml:space="preserve"> </w:t>
      </w:r>
      <w:r>
        <w:t xml:space="preserve">The digital walk-through is available at the following 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w:t>
      </w:r>
      <w:r>
        <w:t xml:space="preserve"> </w:t>
      </w: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w:t>
      </w:r>
      <w:r>
        <w:t xml:space="preserve"> </w:t>
      </w:r>
      <w:r>
        <w:t xml:space="preserve">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w:t>
      </w:r>
      <w:r>
        <w:t xml:space="preserve"> </w:t>
      </w:r>
      <w:r>
        <w:t xml:space="preserve">This indicates that Model</w:t>
      </w:r>
      <w:r>
        <w:t xml:space="preserve"> </w:t>
      </w:r>
      <m:oMath>
        <m:r>
          <m:t>10</m:t>
        </m:r>
      </m:oMath>
      <w:r>
        <w:t xml:space="preserve"> </w:t>
      </w:r>
      <w:r>
        <w:t xml:space="preserve">significantly deviates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t xml:space="preserve">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w:t>
      </w:r>
      <w:r>
        <w:t xml:space="preserve"> </w:t>
      </w:r>
      <w:r>
        <w:t xml:space="preserve">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fails to adequately capture the data’s underlying patterns, resulting in predictions that are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bear no resemblance to the actual data densities.</w:t>
      </w:r>
      <w:r>
        <w:t xml:space="preserve"> </w:t>
      </w:r>
      <w:r>
        <w:t xml:space="preserve">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
          <w:iCs/>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
          <w:iCs/>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w:t>
      </w:r>
      <w:r>
        <w:t xml:space="preserve"> </w:t>
      </w:r>
      <w:r>
        <w:t xml:space="preserve">The figure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w:t>
      </w:r>
      <w:r>
        <w:t xml:space="preserve"> </w:t>
      </w:r>
      <w:r>
        <w:t xml:space="preserve">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w:t>
      </w:r>
      <w:r>
        <w:t xml:space="preserve"> </w:t>
      </w:r>
      <w:r>
        <w:t xml:space="preserve">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hypotheses on intelligibility can be examined within the model’s framework.</w:t>
      </w:r>
      <w:r>
        <w:t xml:space="preserve"> </w:t>
      </w:r>
      <w:r>
        <w:t xml:space="preserve">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w:t>
            </w:r>
            <w:r>
              <w:t xml:space="preserve"> </w:t>
            </w:r>
            <w:r>
              <w:t xml:space="preserve">Model 10,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w:t>
            </w:r>
            <w:r>
              <w:t xml:space="preserve"> </w:t>
            </w:r>
            <w:r>
              <w:t xml:space="preserve">Model 11,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w:t>
            </w:r>
            <w:r>
              <w:t xml:space="preserve"> </w:t>
            </w:r>
            <w:r>
              <w:t xml:space="preserve">Model 12,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hypotheses related to speech intelligibility using entropy scores.</w:t>
      </w:r>
      <w:r>
        <w:t xml:space="preserve"> </w:t>
      </w:r>
      <w:r>
        <w:t xml:space="preserve">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w:t>
      </w:r>
      <w:r>
        <w:t xml:space="preserve"> </w:t>
      </w:r>
      <w:r>
        <w:t xml:space="preserve">The results suggested that multiple models were plausible for the observed entropy scores, indicating that different speaker-related factor hypotheses were viable for the data, with some presenting contradictory conclusions about the influence of those factors on intelligibility.</w:t>
      </w:r>
      <w:r>
        <w:t xml:space="preserve"> </w:t>
      </w:r>
      <w:r>
        <w:t xml:space="preserve">However, even when unequivocal support for one hypothesis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w:t>
      </w:r>
      <w:r>
        <w:t xml:space="preserve"> </w:t>
      </w:r>
      <w:r>
        <w:t xml:space="preserve">These tools not only assessed the predictability of empirical phenomena but also quantitatively measured the latent trait of interest, namely potential intelligibility, facilitating the comparison of research hypotheses related to this trait.</w:t>
      </w:r>
      <w:r>
        <w:t xml:space="preserve"> </w:t>
      </w:r>
      <w:r>
        <w:t xml:space="preserve">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w:t>
      </w:r>
      <w:r>
        <w:t xml:space="preserve"> </w:t>
      </w:r>
      <w:r>
        <w:t xml:space="preserve">Boonen et al. (2023)</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w:t>
      </w:r>
      <w:r>
        <w:t xml:space="preserve"> </w:t>
      </w:r>
      <w:r>
        <w:t xml:space="preserve">Consequently, future research should consider extending this study by conducting formal sample size planning. This entails assessing the impact of expanding the speakers’ pool on testing research hypotheses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w:t>
      </w:r>
      <w:r>
        <w:t xml:space="preserve"> </w:t>
      </w:r>
      <w:r>
        <w:t xml:space="preserve">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hypotheses within the model’s framework.</w:t>
      </w:r>
      <w:r>
        <w:t xml:space="preserve"> </w:t>
      </w:r>
      <w:r>
        <w:t xml:space="preserve">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w:t>
      </w:r>
      <w:r>
        <w:t xml:space="preserve"> </w:t>
      </w:r>
      <w:r>
        <w:t xml:space="preserve">Additionally, the proposed model facilitates the exploration of research hypotheses concerning the influence of speaker-related factors on potential intelligibility. The study indicates that integrating and comparing these hypotheses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w:t>
      </w:r>
      <w:r>
        <w:t xml:space="preserve"> </w:t>
      </w:r>
      <w:r>
        <w:t xml:space="preserve">Nevertheless, the study suggests several promising avenues for future research, including causal hypothesis formulation, and exploration and integration of novel evaluation methods for assessing intelligibility. The insights derived from this study hold implications for both researchers and data analysts interested in quantitatively measuring intricate, unobservable constructs and accurately predicting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exemplifies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w:t>
      </w:r>
      <w:r>
        <w:t xml:space="preserve"> </w:t>
      </w:r>
      <w:r>
        <w:t xml:space="preserve">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w:t>
      </w:r>
      <w:r>
        <w:t xml:space="preserve"> </w:t>
      </w:r>
      <w:r>
        <w:t xml:space="preserve">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this last example showcases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2023)</w:t>
      </w:r>
      <w:r>
        <w:t xml:space="preserve">. In contrast, the percentage of (un)intelligible words mostly discards some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07" w:name="references"/>
    <w:p>
      <w:pPr>
        <w:pStyle w:val="Heading1"/>
      </w:pPr>
      <w:r>
        <w:t xml:space="preserve">References</w:t>
      </w:r>
    </w:p>
    <w:bookmarkStart w:id="306"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3"/>
    <w:p>
      <w:pPr>
        <w:pStyle w:val="Bibliography"/>
      </w:pPr>
      <w:r>
        <w:t xml:space="preserve">Boonen, N., H. Kloots, P. Nurzia, and S. Gillis. 2023.</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w:t>
      </w:r>
      <w:r>
        <w:t xml:space="preserve">50 (1): 78–103.</w:t>
      </w:r>
      <w:r>
        <w:t xml:space="preserve"> </w:t>
      </w:r>
      <w:hyperlink r:id="rId151">
        <w:r>
          <w:rPr>
            <w:rStyle w:val="Hyperlink"/>
          </w:rPr>
          <w:t xml:space="preserve">https://doi.org/10.1017/S0305000921000714</w:t>
        </w:r>
      </w:hyperlink>
      <w:r>
        <w:t xml:space="preserve">.</w:t>
      </w:r>
    </w:p>
    <w:bookmarkEnd w:id="152"/>
    <w:bookmarkStart w:id="154"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3">
        <w:r>
          <w:rPr>
            <w:rStyle w:val="Hyperlink"/>
          </w:rPr>
          <w:t xml:space="preserve">https://doi.org/10.1097/AUD.0b013e3182503e47</w:t>
        </w:r>
      </w:hyperlink>
      <w:r>
        <w:t xml:space="preserve">.</w:t>
      </w:r>
    </w:p>
    <w:bookmarkEnd w:id="154"/>
    <w:bookmarkStart w:id="156"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5">
        <w:r>
          <w:rPr>
            <w:rStyle w:val="Hyperlink"/>
          </w:rPr>
          <w:t xml:space="preserve">https://arxiv.org/abs/1212.0870</w:t>
        </w:r>
      </w:hyperlink>
      <w:r>
        <w:t xml:space="preserve">.</w:t>
      </w:r>
    </w:p>
    <w:bookmarkEnd w:id="156"/>
    <w:bookmarkStart w:id="158"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7">
        <w:r>
          <w:rPr>
            <w:rStyle w:val="Hyperlink"/>
          </w:rPr>
          <w:t xml:space="preserve">https://doi.org/10.1179/1754762813Y.0000000043</w:t>
        </w:r>
      </w:hyperlink>
      <w:r>
        <w:t xml:space="preserve">.</w:t>
      </w:r>
    </w:p>
    <w:bookmarkEnd w:id="158"/>
    <w:bookmarkStart w:id="160"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59">
        <w:r>
          <w:rPr>
            <w:rStyle w:val="Hyperlink"/>
          </w:rPr>
          <w:t xml:space="preserve">https://doi.org/10.1016/j.jcomdis.2012.05.003</w:t>
        </w:r>
      </w:hyperlink>
      <w:r>
        <w:t xml:space="preserve">.</w:t>
      </w:r>
    </w:p>
    <w:bookmarkEnd w:id="160"/>
    <w:bookmarkStart w:id="162"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1">
        <w:r>
          <w:rPr>
            <w:rStyle w:val="Hyperlink"/>
          </w:rPr>
          <w:t xml:space="preserve">https://doi.org/10.3109/02699206.2014.926997</w:t>
        </w:r>
      </w:hyperlink>
      <w:r>
        <w:t xml:space="preserve">.</w:t>
      </w:r>
    </w:p>
    <w:bookmarkEnd w:id="162"/>
    <w:bookmarkStart w:id="164"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3">
        <w:r>
          <w:rPr>
            <w:rStyle w:val="Hyperlink"/>
          </w:rPr>
          <w:t xml:space="preserve">https://doi.org/10.1007/s12564-023-09907-4</w:t>
        </w:r>
      </w:hyperlink>
      <w:r>
        <w:t xml:space="preserve">.</w:t>
      </w:r>
    </w:p>
    <w:bookmarkEnd w:id="164"/>
    <w:bookmarkStart w:id="166"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5">
        <w:r>
          <w:rPr>
            <w:rStyle w:val="Hyperlink"/>
          </w:rPr>
          <w:t xml:space="preserve">https://doi.org/10.2139/ssrn.3689437</w:t>
        </w:r>
      </w:hyperlink>
      <w:r>
        <w:t xml:space="preserve">.</w:t>
      </w:r>
    </w:p>
    <w:bookmarkEnd w:id="166"/>
    <w:bookmarkStart w:id="168"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7">
        <w:r>
          <w:rPr>
            <w:rStyle w:val="Hyperlink"/>
          </w:rPr>
          <w:t xml:space="preserve">https://doi.org/10.1044/jshr.3202.347</w:t>
        </w:r>
      </w:hyperlink>
      <w:r>
        <w:t xml:space="preserve">.</w:t>
      </w:r>
    </w:p>
    <w:bookmarkEnd w:id="168"/>
    <w:bookmarkStart w:id="170"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69">
        <w:r>
          <w:rPr>
            <w:rStyle w:val="Hyperlink"/>
          </w:rPr>
          <w:t xml:space="preserve">https://doi.org/10.1037/h0040957</w:t>
        </w:r>
      </w:hyperlink>
      <w:r>
        <w:t xml:space="preserve">.</w:t>
      </w:r>
    </w:p>
    <w:bookmarkEnd w:id="170"/>
    <w:bookmarkStart w:id="172"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1">
        <w:r>
          <w:rPr>
            <w:rStyle w:val="Hyperlink"/>
          </w:rPr>
          <w:t xml:space="preserve">https://doi.org/10.1371/journal.pone.0254103</w:t>
        </w:r>
      </w:hyperlink>
      <w:r>
        <w:t xml:space="preserve">.</w:t>
      </w:r>
    </w:p>
    <w:bookmarkEnd w:id="172"/>
    <w:bookmarkStart w:id="174"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3">
        <w:r>
          <w:rPr>
            <w:rStyle w:val="Hyperlink"/>
          </w:rPr>
          <w:t xml:space="preserve">https://doi.org/10.1177/25152459221106366</w:t>
        </w:r>
      </w:hyperlink>
      <w:r>
        <w:t xml:space="preserve">.</w:t>
      </w:r>
    </w:p>
    <w:bookmarkEnd w:id="174"/>
    <w:bookmarkStart w:id="176"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5">
        <w:r>
          <w:rPr>
            <w:rStyle w:val="Hyperlink"/>
          </w:rPr>
          <w:t xml:space="preserve">https://doi.org/10.1080/10705511.2014.882686</w:t>
        </w:r>
      </w:hyperlink>
      <w:r>
        <w:t xml:space="preserve">.</w:t>
      </w:r>
    </w:p>
    <w:bookmarkEnd w:id="176"/>
    <w:bookmarkStart w:id="178" w:name="ref-Depaoli_2021"/>
    <w:p>
      <w:pPr>
        <w:pStyle w:val="Bibliography"/>
      </w:pPr>
      <w:r>
        <w:t xml:space="preserve">———. 2021.</w:t>
      </w:r>
      <w:r>
        <w:t xml:space="preserve"> </w:t>
      </w:r>
      <w:hyperlink r:id="rId177">
        <w:r>
          <w:rPr>
            <w:rStyle w:val="Hyperlink"/>
            <w:i/>
            <w:iCs/>
          </w:rPr>
          <w:t xml:space="preserve">Bayesian Structural Equation Modeling</w:t>
        </w:r>
      </w:hyperlink>
      <w:r>
        <w:t xml:space="preserve">. Methodology in the Social Sciences. The Guilford Press.</w:t>
      </w:r>
    </w:p>
    <w:bookmarkEnd w:id="178"/>
    <w:bookmarkStart w:id="180"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79">
        <w:r>
          <w:rPr>
            <w:rStyle w:val="Hyperlink"/>
          </w:rPr>
          <w:t xml:space="preserve">https://doi.org/10.1037/met0000065</w:t>
        </w:r>
      </w:hyperlink>
      <w:r>
        <w:t xml:space="preserve">.</w:t>
      </w:r>
    </w:p>
    <w:bookmarkEnd w:id="180"/>
    <w:bookmarkStart w:id="182"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1">
        <w:r>
          <w:rPr>
            <w:rStyle w:val="Hyperlink"/>
          </w:rPr>
          <w:t xml:space="preserve">https://doi.org/10.1007/s10198-022-01554-7</w:t>
        </w:r>
      </w:hyperlink>
      <w:r>
        <w:t xml:space="preserve">.</w:t>
      </w:r>
    </w:p>
    <w:bookmarkEnd w:id="182"/>
    <w:bookmarkStart w:id="184"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3">
        <w:r>
          <w:rPr>
            <w:rStyle w:val="Hyperlink"/>
          </w:rPr>
          <w:t xml:space="preserve">https://doi.org/10.1044/0161-1461(2010/09-0081)</w:t>
        </w:r>
      </w:hyperlink>
      <w:r>
        <w:t xml:space="preserve">.</w:t>
      </w:r>
    </w:p>
    <w:bookmarkEnd w:id="184"/>
    <w:bookmarkStart w:id="185" w:name="ref-Everitt_et_al_2010"/>
    <w:p>
      <w:pPr>
        <w:pStyle w:val="Bibliography"/>
      </w:pPr>
      <w:r>
        <w:t xml:space="preserve">Everitt, B., and A. Skrondal. 2010.</w:t>
      </w:r>
      <w:r>
        <w:t xml:space="preserve"> </w:t>
      </w:r>
      <w:hyperlink r:id="rId177">
        <w:r>
          <w:rPr>
            <w:rStyle w:val="Hyperlink"/>
            <w:i/>
            <w:iCs/>
          </w:rPr>
          <w:t xml:space="preserve">The Cambridge Dictionary of Statistics</w:t>
        </w:r>
      </w:hyperlink>
      <w:r>
        <w:t xml:space="preserve">. Cambridge University Press.</w:t>
      </w:r>
    </w:p>
    <w:bookmarkEnd w:id="185"/>
    <w:bookmarkStart w:id="187"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6">
        <w:r>
          <w:rPr>
            <w:rStyle w:val="Hyperlink"/>
          </w:rPr>
          <w:t xml:space="preserve">https://doi.org/10.1080/02699206.2021.1988148</w:t>
        </w:r>
      </w:hyperlink>
      <w:r>
        <w:t xml:space="preserve">.</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7">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7">
        <w:r>
          <w:rPr>
            <w:rStyle w:val="Hyperlink"/>
          </w:rPr>
          <w:t xml:space="preserve">https://doi.org/10.1080/00401706.1969.10490657</w:t>
        </w:r>
      </w:hyperlink>
      <w:r>
        <w:t xml:space="preserve">.</w:t>
      </w:r>
    </w:p>
    <w:bookmarkEnd w:id="208"/>
    <w:bookmarkStart w:id="210"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9">
        <w:r>
          <w:rPr>
            <w:rStyle w:val="Hyperlink"/>
          </w:rPr>
          <w:t xml:space="preserve">https://doi.org/10.1201/9781351062268</w:t>
        </w:r>
      </w:hyperlink>
      <w:r>
        <w:t xml:space="preserve">.</w:t>
      </w:r>
    </w:p>
    <w:bookmarkEnd w:id="210"/>
    <w:bookmarkStart w:id="211" w:name="ref-Jeffreys_1998"/>
    <w:p>
      <w:pPr>
        <w:pStyle w:val="Bibliography"/>
      </w:pPr>
      <w:r>
        <w:t xml:space="preserve">Jeffreys, H. 1998.</w:t>
      </w:r>
      <w:r>
        <w:t xml:space="preserve"> </w:t>
      </w:r>
      <w:hyperlink r:id="rId177">
        <w:r>
          <w:rPr>
            <w:rStyle w:val="Hyperlink"/>
            <w:i/>
            <w:iCs/>
          </w:rPr>
          <w:t xml:space="preserve">Theory of Probability</w:t>
        </w:r>
      </w:hyperlink>
      <w:r>
        <w:t xml:space="preserve">. Oxford University Press.</w:t>
      </w:r>
    </w:p>
    <w:bookmarkEnd w:id="211"/>
    <w:bookmarkStart w:id="213"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2">
        <w:r>
          <w:rPr>
            <w:rStyle w:val="Hyperlink"/>
          </w:rPr>
          <w:t xml:space="preserve">https://doi.org/10.1016/S0147-1767(00)00011-0</w:t>
        </w:r>
      </w:hyperlink>
      <w:r>
        <w:t xml:space="preserve">.</w:t>
      </w:r>
    </w:p>
    <w:bookmarkEnd w:id="213"/>
    <w:bookmarkStart w:id="215"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4">
        <w:r>
          <w:rPr>
            <w:rStyle w:val="Hyperlink"/>
          </w:rPr>
          <w:t xml:space="preserve">https://doi.org/10.1007/s40615-023-01809-w</w:t>
        </w:r>
      </w:hyperlink>
      <w:r>
        <w:t xml:space="preserve">.</w:t>
      </w:r>
    </w:p>
    <w:bookmarkEnd w:id="215"/>
    <w:bookmarkStart w:id="217" w:name="ref-Kent_et_al_1994"/>
    <w:p>
      <w:pPr>
        <w:pStyle w:val="Bibliography"/>
      </w:pPr>
      <w:r>
        <w:t xml:space="preserve">Kent, R., G. Miolo, and S. Bloedel. 1994.</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6">
        <w:r>
          <w:rPr>
            <w:rStyle w:val="Hyperlink"/>
          </w:rPr>
          <w:t xml:space="preserve">https://doi.org/10.1044/1058-0360.0302.81</w:t>
        </w:r>
      </w:hyperlink>
      <w:r>
        <w:t xml:space="preserve">.</w:t>
      </w:r>
    </w:p>
    <w:bookmarkEnd w:id="217"/>
    <w:bookmarkStart w:id="219"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8">
        <w:r>
          <w:rPr>
            <w:rStyle w:val="Hyperlink"/>
          </w:rPr>
          <w:t xml:space="preserve">https://doi.org/10.1044/jshd.5404.482</w:t>
        </w:r>
      </w:hyperlink>
      <w:r>
        <w:t xml:space="preserve">.</w:t>
      </w:r>
    </w:p>
    <w:bookmarkEnd w:id="219"/>
    <w:bookmarkStart w:id="221"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0">
        <w:r>
          <w:rPr>
            <w:rStyle w:val="Hyperlink"/>
          </w:rPr>
          <w:t xml:space="preserve">https://doi.org/10.3109/02699206.2010.490003</w:t>
        </w:r>
      </w:hyperlink>
      <w:r>
        <w:t xml:space="preserve">.</w:t>
      </w:r>
    </w:p>
    <w:bookmarkEnd w:id="221"/>
    <w:bookmarkStart w:id="223"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2">
        <w:r>
          <w:rPr>
            <w:rStyle w:val="Hyperlink"/>
          </w:rPr>
          <w:t xml:space="preserve">https://eric.ed.gov/?id=ED430012</w:t>
        </w:r>
      </w:hyperlink>
      <w:r>
        <w:t xml:space="preserve">.</w:t>
      </w:r>
    </w:p>
    <w:bookmarkEnd w:id="223"/>
    <w:bookmarkStart w:id="225"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4">
        <w:r>
          <w:rPr>
            <w:rStyle w:val="Hyperlink"/>
          </w:rPr>
          <w:t xml:space="preserve">http://www.jstor.org/stable/2236703</w:t>
        </w:r>
      </w:hyperlink>
      <w:r>
        <w:t xml:space="preserve">.</w:t>
      </w:r>
    </w:p>
    <w:bookmarkEnd w:id="225"/>
    <w:bookmarkStart w:id="227"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6">
        <w:r>
          <w:rPr>
            <w:rStyle w:val="Hyperlink"/>
          </w:rPr>
          <w:t xml:space="preserve">https://doi.org/10.1111/1460-6984.12067</w:t>
        </w:r>
      </w:hyperlink>
      <w:r>
        <w:t xml:space="preserve">.</w:t>
      </w:r>
    </w:p>
    <w:bookmarkEnd w:id="227"/>
    <w:bookmarkStart w:id="229"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8">
        <w:r>
          <w:rPr>
            <w:rStyle w:val="Hyperlink"/>
          </w:rPr>
          <w:t xml:space="preserve">https://doi.org/10.1002/sim.2112</w:t>
        </w:r>
      </w:hyperlink>
      <w:r>
        <w:t xml:space="preserve">.</w:t>
      </w:r>
    </w:p>
    <w:bookmarkEnd w:id="229"/>
    <w:bookmarkStart w:id="231"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0">
        <w:r>
          <w:rPr>
            <w:rStyle w:val="Hyperlink"/>
          </w:rPr>
          <w:t xml:space="preserve">https://www.jirka.org/ra/html/frontmatter-1.html</w:t>
        </w:r>
      </w:hyperlink>
      <w:r>
        <w:t xml:space="preserve">.</w:t>
      </w:r>
    </w:p>
    <w:bookmarkEnd w:id="231"/>
    <w:bookmarkStart w:id="23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2"/>
    <w:bookmarkStart w:id="234"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3">
        <w:r>
          <w:rPr>
            <w:rStyle w:val="Hyperlink"/>
          </w:rPr>
          <w:t xml:space="preserve">https://doi.org/10.1007/s12671-023-02165-w</w:t>
        </w:r>
      </w:hyperlink>
      <w:r>
        <w:t xml:space="preserve">.</w:t>
      </w:r>
    </w:p>
    <w:bookmarkEnd w:id="234"/>
    <w:bookmarkStart w:id="236"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5">
        <w:r>
          <w:rPr>
            <w:rStyle w:val="Hyperlink"/>
          </w:rPr>
          <w:t xml:space="preserve">https://doi.org/10.21415/3mhn-0z89</w:t>
        </w:r>
      </w:hyperlink>
      <w:r>
        <w:t xml:space="preserve">.</w:t>
      </w:r>
    </w:p>
    <w:bookmarkEnd w:id="236"/>
    <w:bookmarkStart w:id="238"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7">
        <w:r>
          <w:rPr>
            <w:rStyle w:val="Hyperlink"/>
          </w:rPr>
          <w:t xml:space="preserve">https://doi.org/10.1007/BF02291552</w:t>
        </w:r>
      </w:hyperlink>
      <w:r>
        <w:t xml:space="preserve">.</w:t>
      </w:r>
    </w:p>
    <w:bookmarkEnd w:id="238"/>
    <w:bookmarkStart w:id="240"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9">
        <w:r>
          <w:rPr>
            <w:rStyle w:val="Hyperlink"/>
          </w:rPr>
          <w:t xml:space="preserve">https://books.google.be/books?id=Asi5KQAACAAJ</w:t>
        </w:r>
      </w:hyperlink>
      <w:r>
        <w:t xml:space="preserve">.</w:t>
      </w:r>
    </w:p>
    <w:bookmarkEnd w:id="240"/>
    <w:bookmarkStart w:id="241" w:name="ref-McElreath_2020"/>
    <w:p>
      <w:pPr>
        <w:pStyle w:val="Bibliography"/>
      </w:pPr>
      <w:r>
        <w:t xml:space="preserve">McElreath, R. 2020.</w:t>
      </w:r>
      <w:r>
        <w:t xml:space="preserve"> </w:t>
      </w:r>
      <w:hyperlink r:id="rId177">
        <w:r>
          <w:rPr>
            <w:rStyle w:val="Hyperlink"/>
            <w:i/>
            <w:iCs/>
          </w:rPr>
          <w:t xml:space="preserve">Statistical Rethinking: A Bayesian Course with Examples in r and STAN</w:t>
        </w:r>
      </w:hyperlink>
      <w:r>
        <w:t xml:space="preserve">. Chapman; Hall/CRC.</w:t>
      </w:r>
    </w:p>
    <w:bookmarkEnd w:id="241"/>
    <w:bookmarkStart w:id="243"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2">
        <w:r>
          <w:rPr>
            <w:rStyle w:val="Hyperlink"/>
          </w:rPr>
          <w:t xml:space="preserve">https://doi.org/10.1044/2014\_JSLHR-H-14-0190</w:t>
        </w:r>
      </w:hyperlink>
      <w:r>
        <w:t xml:space="preserve">.</w:t>
      </w:r>
    </w:p>
    <w:bookmarkEnd w:id="243"/>
    <w:bookmarkStart w:id="245"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4">
        <w:r>
          <w:rPr>
            <w:rStyle w:val="Hyperlink"/>
          </w:rPr>
          <w:t xml:space="preserve">https://doi.org/10.1017/S0272263198002022</w:t>
        </w:r>
      </w:hyperlink>
      <w:r>
        <w:t xml:space="preserve">.</w:t>
      </w:r>
    </w:p>
    <w:bookmarkEnd w:id="245"/>
    <w:bookmarkStart w:id="247"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6">
        <w:r>
          <w:rPr>
            <w:rStyle w:val="Hyperlink"/>
          </w:rPr>
          <w:t xml:space="preserve">https://doi.org/10.1111/1467-9922.00038</w:t>
        </w:r>
      </w:hyperlink>
      <w:r>
        <w:t xml:space="preserve">.</w:t>
      </w:r>
    </w:p>
    <w:bookmarkEnd w:id="247"/>
    <w:bookmarkStart w:id="249"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8">
        <w:r>
          <w:rPr>
            <w:rStyle w:val="Hyperlink"/>
          </w:rPr>
          <w:t xml:space="preserve">https://doi.org/10.1037/10409-010</w:t>
        </w:r>
      </w:hyperlink>
      <w:r>
        <w:t xml:space="preserve">.</w:t>
      </w:r>
    </w:p>
    <w:bookmarkEnd w:id="249"/>
    <w:bookmarkStart w:id="251"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0">
        <w:r>
          <w:rPr>
            <w:rStyle w:val="Hyperlink"/>
          </w:rPr>
          <w:t xml:space="preserve">https://doi.org/10.1001/jama.2010.451</w:t>
        </w:r>
      </w:hyperlink>
      <w:r>
        <w:t xml:space="preserve">.</w:t>
      </w:r>
    </w:p>
    <w:bookmarkEnd w:id="251"/>
    <w:bookmarkStart w:id="253"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2">
        <w:r>
          <w:rPr>
            <w:rStyle w:val="Hyperlink"/>
          </w:rPr>
          <w:t xml:space="preserve">https://doi.org/0.1080/10904018.2015.1056877</w:t>
        </w:r>
      </w:hyperlink>
      <w:r>
        <w:t xml:space="preserve">.</w:t>
      </w:r>
    </w:p>
    <w:bookmarkEnd w:id="253"/>
    <w:bookmarkStart w:id="255"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4">
        <w:r>
          <w:rPr>
            <w:rStyle w:val="Hyperlink"/>
          </w:rPr>
          <w:t xml:space="preserve">https://doi.org/10.1111/rssa.12551</w:t>
        </w:r>
      </w:hyperlink>
      <w:r>
        <w:t xml:space="preserve">.</w:t>
      </w:r>
    </w:p>
    <w:bookmarkEnd w:id="255"/>
    <w:bookmarkStart w:id="257"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6">
        <w:r>
          <w:rPr>
            <w:rStyle w:val="Hyperlink"/>
          </w:rPr>
          <w:t xml:space="preserve">https://doi.org/10.1007/s10798-011-9189-x</w:t>
        </w:r>
      </w:hyperlink>
      <w:r>
        <w:t xml:space="preserve">.</w:t>
      </w:r>
    </w:p>
    <w:bookmarkEnd w:id="257"/>
    <w:bookmarkStart w:id="259"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58">
        <w:r>
          <w:rPr>
            <w:rStyle w:val="Hyperlink"/>
          </w:rPr>
          <w:t xml:space="preserve">https://doi.org/10.1080/0969594X.2012.665354</w:t>
        </w:r>
      </w:hyperlink>
      <w:r>
        <w:t xml:space="preserve">.</w:t>
      </w:r>
    </w:p>
    <w:bookmarkEnd w:id="259"/>
    <w:bookmarkStart w:id="261"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0">
        <w:r>
          <w:rPr>
            <w:rStyle w:val="Hyperlink"/>
          </w:rPr>
          <w:t xml:space="preserve">http://www.R-project.org/</w:t>
        </w:r>
      </w:hyperlink>
      <w:r>
        <w:t xml:space="preserve">.</w:t>
      </w:r>
    </w:p>
    <w:bookmarkEnd w:id="261"/>
    <w:bookmarkStart w:id="263"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2">
        <w:r>
          <w:rPr>
            <w:rStyle w:val="Hyperlink"/>
          </w:rPr>
          <w:t xml:space="preserve">https://www.doi.org/10.1007/BF02295939</w:t>
        </w:r>
      </w:hyperlink>
      <w:r>
        <w:t xml:space="preserve">.</w:t>
      </w:r>
    </w:p>
    <w:bookmarkEnd w:id="263"/>
    <w:bookmarkStart w:id="265"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4">
        <w:r>
          <w:rPr>
            <w:rStyle w:val="Hyperlink"/>
          </w:rPr>
          <w:t xml:space="preserve">http://www.biostat.jhsph.edu/~fdominic/teaching/bio656/software-gllamm.manual.pdf</w:t>
        </w:r>
      </w:hyperlink>
      <w:r>
        <w:t xml:space="preserve">.</w:t>
      </w:r>
    </w:p>
    <w:bookmarkEnd w:id="265"/>
    <w:bookmarkStart w:id="267"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6">
        <w:r>
          <w:rPr>
            <w:rStyle w:val="Hyperlink"/>
          </w:rPr>
          <w:t xml:space="preserve">https://www.doi.org/10.1016/j.jeconom.2004.08.017</w:t>
        </w:r>
      </w:hyperlink>
      <w:r>
        <w:t xml:space="preserve">.</w:t>
      </w:r>
    </w:p>
    <w:bookmarkEnd w:id="267"/>
    <w:bookmarkStart w:id="269"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8">
        <w:r>
          <w:rPr>
            <w:rStyle w:val="Hyperlink"/>
          </w:rPr>
          <w:t xml:space="preserve">https://doi.org/10.1080/00031305.2012.695938</w:t>
        </w:r>
      </w:hyperlink>
      <w:r>
        <w:t xml:space="preserve">.</w:t>
      </w:r>
    </w:p>
    <w:bookmarkEnd w:id="269"/>
    <w:bookmarkStart w:id="271"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0">
        <w:r>
          <w:rPr>
            <w:rStyle w:val="Hyperlink"/>
          </w:rPr>
          <w:t xml:space="preserve">https://doi.org/10.1002/j.1538-7305.1948.tb01338.x</w:t>
        </w:r>
      </w:hyperlink>
      <w:r>
        <w:t xml:space="preserve">.</w:t>
      </w:r>
    </w:p>
    <w:bookmarkEnd w:id="271"/>
    <w:bookmarkStart w:id="273"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2">
        <w:r>
          <w:rPr>
            <w:rStyle w:val="Hyperlink"/>
          </w:rPr>
          <w:t xml:space="preserve">https://doi.org/10.2307/23042796</w:t>
        </w:r>
      </w:hyperlink>
      <w:r>
        <w:t xml:space="preserve">.</w:t>
      </w:r>
    </w:p>
    <w:bookmarkEnd w:id="273"/>
    <w:bookmarkStart w:id="275"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4">
        <w:r>
          <w:rPr>
            <w:rStyle w:val="Hyperlink"/>
          </w:rPr>
          <w:t xml:space="preserve">https://doi.org/10.1016/j.csda.2009.08.017</w:t>
        </w:r>
      </w:hyperlink>
      <w:r>
        <w:t xml:space="preserve">.</w:t>
      </w:r>
    </w:p>
    <w:bookmarkEnd w:id="275"/>
    <w:bookmarkStart w:id="276" w:name="ref-Skrondal_et_al_2004a"/>
    <w:p>
      <w:pPr>
        <w:pStyle w:val="Bibliography"/>
      </w:pPr>
      <w:r>
        <w:t xml:space="preserve">Skrondal, A., and S. Rabe-Hesketh. 2004.</w:t>
      </w:r>
      <w:r>
        <w:t xml:space="preserve"> </w:t>
      </w:r>
      <w:hyperlink r:id="rId177">
        <w:r>
          <w:rPr>
            <w:rStyle w:val="Hyperlink"/>
            <w:i/>
            <w:iCs/>
          </w:rPr>
          <w:t xml:space="preserve">Generalized Latent Variable Modeling: Multilevel, Longitudinal, and Structural Equation Models</w:t>
        </w:r>
      </w:hyperlink>
      <w:r>
        <w:t xml:space="preserve">. Interdisciplinary Statistics. Chapman &amp; Hall/CRC Press.</w:t>
      </w:r>
    </w:p>
    <w:bookmarkEnd w:id="276"/>
    <w:bookmarkStart w:id="278"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7">
        <w:r>
          <w:rPr>
            <w:rStyle w:val="Hyperlink"/>
          </w:rPr>
          <w:t xml:space="preserve">https://doi.org/10.1111/1467-9868.00353</w:t>
        </w:r>
      </w:hyperlink>
      <w:r>
        <w:t xml:space="preserve">.</w:t>
      </w:r>
    </w:p>
    <w:bookmarkEnd w:id="278"/>
    <w:bookmarkStart w:id="280"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9">
        <w:r>
          <w:rPr>
            <w:rStyle w:val="Hyperlink"/>
          </w:rPr>
          <w:t xml:space="preserve">https://mc-stan.org</w:t>
        </w:r>
      </w:hyperlink>
      <w:r>
        <w:t xml:space="preserve">.</w:t>
      </w:r>
    </w:p>
    <w:bookmarkEnd w:id="280"/>
    <w:bookmarkStart w:id="282"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1">
        <w:r>
          <w:rPr>
            <w:rStyle w:val="Hyperlink"/>
          </w:rPr>
          <w:t xml:space="preserve">https://doi.org/10.1186/s13063-022-06967-6</w:t>
        </w:r>
      </w:hyperlink>
      <w:r>
        <w:t xml:space="preserve">.</w:t>
      </w:r>
    </w:p>
    <w:bookmarkEnd w:id="282"/>
    <w:bookmarkStart w:id="28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3">
        <w:r>
          <w:rPr>
            <w:rStyle w:val="Hyperlink"/>
          </w:rPr>
          <w:t xml:space="preserve">https://doi.org/10.1037/h0070288</w:t>
        </w:r>
      </w:hyperlink>
      <w:r>
        <w:t xml:space="preserve">.</w:t>
      </w:r>
    </w:p>
    <w:bookmarkEnd w:id="284"/>
    <w:bookmarkStart w:id="286"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5">
        <w:r>
          <w:rPr>
            <w:rStyle w:val="Hyperlink"/>
          </w:rPr>
          <w:t xml:space="preserve">https://doi.org/10.30931/jetas.321165</w:t>
        </w:r>
      </w:hyperlink>
      <w:r>
        <w:t xml:space="preserve">.</w:t>
      </w:r>
    </w:p>
    <w:bookmarkEnd w:id="286"/>
    <w:bookmarkStart w:id="28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7"/>
    <w:bookmarkStart w:id="289"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8">
        <w:r>
          <w:rPr>
            <w:rStyle w:val="Hyperlink"/>
          </w:rPr>
          <w:t xml:space="preserve">https://doi.org/10.3366/E1753854809000305</w:t>
        </w:r>
      </w:hyperlink>
      <w:r>
        <w:t xml:space="preserve">.</w:t>
      </w:r>
    </w:p>
    <w:bookmarkEnd w:id="289"/>
    <w:bookmarkStart w:id="291"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0">
        <w:r>
          <w:rPr>
            <w:rStyle w:val="Hyperlink"/>
          </w:rPr>
          <w:t xml:space="preserve">https://doi.org/10.1093/applin/6.1.71</w:t>
        </w:r>
      </w:hyperlink>
      <w:r>
        <w:t xml:space="preserve">.</w:t>
      </w:r>
    </w:p>
    <w:bookmarkEnd w:id="291"/>
    <w:bookmarkStart w:id="293"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2">
        <w:r>
          <w:rPr>
            <w:rStyle w:val="Hyperlink"/>
          </w:rPr>
          <w:t xml:space="preserve">https://doi.org/10.1007/s11222-016-9696-4</w:t>
        </w:r>
      </w:hyperlink>
      <w:r>
        <w:t xml:space="preserve">.</w:t>
      </w:r>
    </w:p>
    <w:bookmarkEnd w:id="293"/>
    <w:bookmarkStart w:id="295"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4">
        <w:r>
          <w:rPr>
            <w:rStyle w:val="Hyperlink"/>
          </w:rPr>
          <w:t xml:space="preserve">https://doi.org/10.1214/20-BA1221</w:t>
        </w:r>
      </w:hyperlink>
      <w:r>
        <w:t xml:space="preserve">.</w:t>
      </w:r>
    </w:p>
    <w:bookmarkEnd w:id="295"/>
    <w:bookmarkStart w:id="2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6">
        <w:r>
          <w:rPr>
            <w:rStyle w:val="Hyperlink"/>
          </w:rPr>
          <w:t xml:space="preserve">https://doi.org/10.1080/0969594X.2019.1602027</w:t>
        </w:r>
      </w:hyperlink>
      <w:r>
        <w:t xml:space="preserve">.</w:t>
      </w:r>
    </w:p>
    <w:bookmarkEnd w:id="297"/>
    <w:bookmarkStart w:id="299"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8">
        <w:r>
          <w:rPr>
            <w:rStyle w:val="Hyperlink"/>
          </w:rPr>
          <w:t xml:space="preserve">https://doi.org/10.3102/1076998610396895</w:t>
        </w:r>
      </w:hyperlink>
      <w:r>
        <w:t xml:space="preserve">.</w:t>
      </w:r>
    </w:p>
    <w:bookmarkEnd w:id="299"/>
    <w:bookmarkStart w:id="301"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0">
        <w:r>
          <w:rPr>
            <w:rStyle w:val="Hyperlink"/>
          </w:rPr>
          <w:t xml:space="preserve">https://www.jmlr.org/papers/volume14/watanabe13a/watanabe13a.pdf</w:t>
        </w:r>
      </w:hyperlink>
      <w:r>
        <w:t xml:space="preserve">.</w:t>
      </w:r>
    </w:p>
    <w:bookmarkEnd w:id="301"/>
    <w:bookmarkStart w:id="303"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2">
        <w:r>
          <w:rPr>
            <w:rStyle w:val="Hyperlink"/>
          </w:rPr>
          <w:t xml:space="preserve">https://doi.org/10.1080/02699200410001663344</w:t>
        </w:r>
      </w:hyperlink>
      <w:r>
        <w:t xml:space="preserve">.</w:t>
      </w:r>
    </w:p>
    <w:bookmarkEnd w:id="303"/>
    <w:bookmarkStart w:id="305"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4">
        <w:r>
          <w:rPr>
            <w:rStyle w:val="Hyperlink"/>
          </w:rPr>
          <w:t xml:space="preserve">https://doi.org/10.1038/s41440-023-01322-x</w:t>
        </w:r>
      </w:hyperlink>
      <w:r>
        <w:t xml:space="preserve">.</w:t>
      </w:r>
    </w:p>
    <w:bookmarkEnd w:id="305"/>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_rels/footnotes.xml.rels><?xml version="1.0" encoding="UTF-8"?><Relationships xmlns="http://schemas.openxmlformats.org/package/2006/relationships"><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2024-04-19T15:26:58Z</dcterms:created>
  <dcterms:modified xsi:type="dcterms:W3CDTF">2024-04-19T15:26:58Z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research aims to demonstrate the efficacy of the Generalized Linear Latent and Mixed Model (GLLAMM) (Rabe-Hesketh, Skrondal, and Pickles 2004a, 2004c, 2004b; Skrondal and Rabe-Hesketh 2004) in analyzing entropy scores for investigating speech intelligibility hypotheses. Using transcriptions from spontaneous speech data originally collected by Boonen et al. (2023), the study employs the Bayesian Beta-proportion GLLAMM to model the resulting entropy scores. The research compared the model’s prediction accuracy with the Normal Linear Mixed Model (LMM) (Holmes, Bolin, and Kelley 2019) and investigated its capacity to estimate a latent intelligibility from these entropy scores. The study also illustrates how researcher can explore hypotheses concerning the impact of speaker-related factors on intelligibility. Results show the superiority of the Beta-proportion GLLAMM in predicting empirical phenomena over the Normal LMM and its ability to quantify latent potential intelligibility. Additionally, the model facilitates hypothesis exploration concerning speaker-related factors and intelligibility. However, implementing these statistical tools require formulating assumptions about the data-generating process and knowledge of probabilistic programming languages, the core of Bayesian methods. Nevertheless, the study suggests future research directions, including causal hypothesis formulation and novel methods for intelligibility assessment. Ultimately, this research has implications for researchers and data analysts interested in quantitatively measuring intricate, unobservable constructs and accurately predicting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2024-04-19</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