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7.png" ContentType="image/png"/>
  <Override PartName="/word/media/rId54.png" ContentType="image/png"/>
  <Override PartName="/word/media/rId107.png" ContentType="image/png"/>
  <Override PartName="/word/media/rId112.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7.png" ContentType="image/png"/>
  <Override PartName="/word/media/rId122.png" ContentType="image/png"/>
  <Override PartName="/word/media/rId127.png" ContentType="image/png"/>
  <Override PartName="/word/media/rId132.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2024-04-05</w:t>
      </w:r>
    </w:p>
    <w:p>
      <w:pPr>
        <w:pStyle w:val="AbstractTitle"/>
      </w:pPr>
      <w:r>
        <w:t xml:space="preserve">Abstract</w:t>
      </w:r>
    </w:p>
    <w:p>
      <w:pPr>
        <w:pStyle w:val="Abstract"/>
      </w:pPr>
      <w:r>
        <w:t xml:space="preserve">Considering</w:t>
      </w:r>
      <w:r>
        <w:t xml:space="preserve"> </w:t>
      </w:r>
      <w:r>
        <w:t xml:space="preserve">the</w:t>
      </w:r>
      <w:r>
        <w:t xml:space="preserve"> </w:t>
      </w:r>
      <w:r>
        <w:t xml:space="preserve">imperative</w:t>
      </w:r>
      <w:r>
        <w:t xml:space="preserve"> </w:t>
      </w:r>
      <w:r>
        <w:t xml:space="preserve">need</w:t>
      </w:r>
      <w:r>
        <w:t xml:space="preserve"> </w:t>
      </w:r>
      <w:r>
        <w:t xml:space="preserve">to</w:t>
      </w:r>
      <w:r>
        <w:t xml:space="preserve"> </w:t>
      </w:r>
      <w:r>
        <w:t xml:space="preserve">comprehensively</w:t>
      </w:r>
      <w:r>
        <w:t xml:space="preserve"> </w:t>
      </w:r>
      <w:r>
        <w:t xml:space="preserve">address</w:t>
      </w:r>
      <w:r>
        <w:t xml:space="preserve"> </w:t>
      </w:r>
      <w:r>
        <w:t xml:space="preserve">all</w:t>
      </w:r>
      <w:r>
        <w:t xml:space="preserve"> </w:t>
      </w:r>
      <w:r>
        <w:t xml:space="preserve">data</w:t>
      </w:r>
      <w:r>
        <w:t xml:space="preserve"> </w:t>
      </w:r>
      <w:r>
        <w:t xml:space="preserve">features</w:t>
      </w:r>
      <w:r>
        <w:t xml:space="preserve"> </w:t>
      </w:r>
      <w:r>
        <w:t xml:space="preserve">when</w:t>
      </w:r>
      <w:r>
        <w:t xml:space="preserve"> </w:t>
      </w:r>
      <w:r>
        <w:t xml:space="preserve">investigating</w:t>
      </w:r>
      <w:r>
        <w:t xml:space="preserve"> </w:t>
      </w:r>
      <w:r>
        <w:t xml:space="preserve">unobservable</w:t>
      </w:r>
      <w:r>
        <w:t xml:space="preserve"> </w:t>
      </w:r>
      <w:r>
        <w:t xml:space="preserve">and</w:t>
      </w:r>
      <w:r>
        <w:t xml:space="preserve"> </w:t>
      </w:r>
      <w:r>
        <w:t xml:space="preserve">complex</w:t>
      </w:r>
      <w:r>
        <w:t xml:space="preserve"> </w:t>
      </w:r>
      <w:r>
        <w:t xml:space="preserve">traits,</w:t>
      </w:r>
      <w:r>
        <w:t xml:space="preserve"> </w:t>
      </w:r>
      <w:r>
        <w:t xml:space="preserve">this</w:t>
      </w:r>
      <w:r>
        <w:t xml:space="preserve"> </w:t>
      </w:r>
      <w:r>
        <w:t xml:space="preserve">research</w:t>
      </w:r>
      <w:r>
        <w:t xml:space="preserve"> </w:t>
      </w:r>
      <w:r>
        <w:t xml:space="preserve">aims</w:t>
      </w:r>
      <w:r>
        <w:t xml:space="preserve"> </w:t>
      </w:r>
      <w:r>
        <w:t xml:space="preserve">to</w:t>
      </w:r>
      <w:r>
        <w:t xml:space="preserve"> </w:t>
      </w:r>
      <w:r>
        <w:t xml:space="preserve">showcase</w:t>
      </w:r>
      <w:r>
        <w:t xml:space="preserve"> </w:t>
      </w:r>
      <w:r>
        <w:t xml:space="preserve">the</w:t>
      </w:r>
      <w:r>
        <w:t xml:space="preserve"> </w:t>
      </w:r>
      <w:r>
        <w:t xml:space="preserve">effectiveness</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theories.</w:t>
      </w:r>
      <w:r>
        <w:t xml:space="preserve"> </w:t>
      </w:r>
      <w:r>
        <w:t xml:space="preserve">Utilizing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(2021)</w:t>
      </w:r>
      <w:r>
        <w:t xml:space="preserve">,</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was</w:t>
      </w:r>
      <w:r>
        <w:t xml:space="preserve"> </w:t>
      </w:r>
      <w:r>
        <w:t xml:space="preserve">employed</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manifest</w:t>
      </w:r>
      <w:r>
        <w:t xml:space="preserve"> </w:t>
      </w:r>
      <w:r>
        <w:t xml:space="preserve">entropy</w:t>
      </w:r>
      <w:r>
        <w:t xml:space="preserve"> </w:t>
      </w:r>
      <w:r>
        <w:t xml:space="preserve">scores.</w:t>
      </w:r>
      <w:r>
        <w:t xml:space="preserve"> </w:t>
      </w:r>
      <w:r>
        <w:t xml:space="preserve">Additionally,</w:t>
      </w:r>
      <w:r>
        <w:t xml:space="preserve"> </w:t>
      </w:r>
      <w:r>
        <w:t xml:space="preserve">it</w:t>
      </w:r>
      <w:r>
        <w:t xml:space="preserve"> </w:t>
      </w:r>
      <w:r>
        <w:t xml:space="preserve">illustrated</w:t>
      </w:r>
      <w:r>
        <w:t xml:space="preserve"> </w:t>
      </w:r>
      <w:r>
        <w:t xml:space="preserve">how</w:t>
      </w:r>
      <w:r>
        <w:t xml:space="preserve"> </w:t>
      </w:r>
      <w:r>
        <w:t xml:space="preserve">the</w:t>
      </w:r>
      <w:r>
        <w:t xml:space="preserve"> </w:t>
      </w:r>
      <w:r>
        <w:t xml:space="preserve">model</w:t>
      </w:r>
      <w:r>
        <w:t xml:space="preserve"> </w:t>
      </w:r>
      <w:r>
        <w:t xml:space="preserve">can</w:t>
      </w:r>
      <w:r>
        <w:t xml:space="preserve"> </w:t>
      </w:r>
      <w:r>
        <w:t xml:space="preserve">explore</w:t>
      </w:r>
      <w:r>
        <w:t xml:space="preserve"> </w:t>
      </w:r>
      <w:r>
        <w:t xml:space="preserve">research</w:t>
      </w:r>
      <w:r>
        <w:t xml:space="preserve"> </w:t>
      </w:r>
      <w:r>
        <w:t xml:space="preserve">theories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demonstrate</w:t>
      </w:r>
      <w:r>
        <w:t xml:space="preserve"> </w:t>
      </w:r>
      <w:r>
        <w:t xml:space="preserve">the</w:t>
      </w:r>
      <w:r>
        <w:t xml:space="preserve"> </w:t>
      </w:r>
      <w:r>
        <w:t xml:space="preserve">consistent</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in</w:t>
      </w:r>
      <w:r>
        <w:t xml:space="preserve"> </w:t>
      </w:r>
      <w:r>
        <w:t xml:space="preserve">predicting</w:t>
      </w:r>
      <w:r>
        <w:t xml:space="preserve"> </w:t>
      </w:r>
      <w:r>
        <w:t xml:space="preserve">the</w:t>
      </w:r>
      <w:r>
        <w:t xml:space="preserve"> </w:t>
      </w:r>
      <w:r>
        <w:t xml:space="preserve">empirical</w:t>
      </w:r>
      <w:r>
        <w:t xml:space="preserve"> </w:t>
      </w:r>
      <w:r>
        <w:t xml:space="preserve">phenomena.</w:t>
      </w:r>
      <w:r>
        <w:t xml:space="preserve"> </w:t>
      </w:r>
      <w:r>
        <w:t xml:space="preserve">Furthermore,</w:t>
      </w:r>
      <w:r>
        <w:t xml:space="preserve"> </w:t>
      </w:r>
      <w:r>
        <w:t xml:space="preserve">the</w:t>
      </w:r>
      <w:r>
        <w:t xml:space="preserve"> </w:t>
      </w:r>
      <w:r>
        <w:t xml:space="preserve">model</w:t>
      </w:r>
      <w:r>
        <w:t xml:space="preserve"> </w:t>
      </w:r>
      <w:r>
        <w:t xml:space="preserve">effectively</w:t>
      </w:r>
      <w:r>
        <w:t xml:space="preserve"> </w:t>
      </w:r>
      <w:r>
        <w:t xml:space="preserve">quantified</w:t>
      </w:r>
      <w:r>
        <w:t xml:space="preserve"> </w:t>
      </w:r>
      <w:r>
        <w:t xml:space="preserve">the</w:t>
      </w:r>
      <w:r>
        <w:t xml:space="preserve"> </w:t>
      </w:r>
      <w:r>
        <w:t xml:space="preserve">latent</w:t>
      </w:r>
      <w:r>
        <w:t xml:space="preserve"> </w:t>
      </w:r>
      <w:r>
        <w:t xml:space="preserve">potential</w:t>
      </w:r>
      <w:r>
        <w:t xml:space="preserve"> </w:t>
      </w:r>
      <w:r>
        <w:t xml:space="preserve">intelligibility,</w:t>
      </w:r>
      <w:r>
        <w:t xml:space="preserve"> </w:t>
      </w:r>
      <w:r>
        <w:t xml:space="preserve">enabling</w:t>
      </w:r>
      <w:r>
        <w:t xml:space="preserve"> </w:t>
      </w:r>
      <w:r>
        <w:t xml:space="preserve">the</w:t>
      </w:r>
      <w:r>
        <w:t xml:space="preserve"> </w:t>
      </w:r>
      <w:r>
        <w:t xml:space="preserve">ranking</w:t>
      </w:r>
      <w:r>
        <w:t xml:space="preserve"> </w:t>
      </w:r>
      <w:r>
        <w:t xml:space="preserve">and</w:t>
      </w:r>
      <w:r>
        <w:t xml:space="preserve"> </w:t>
      </w:r>
      <w:r>
        <w:t xml:space="preserve">comparison</w:t>
      </w:r>
      <w:r>
        <w:t xml:space="preserve"> </w:t>
      </w:r>
      <w:r>
        <w:t xml:space="preserve">of</w:t>
      </w:r>
      <w:r>
        <w:t xml:space="preserve"> </w:t>
      </w:r>
      <w:r>
        <w:t xml:space="preserve">individuals</w:t>
      </w:r>
      <w:r>
        <w:t xml:space="preserve"> </w:t>
      </w:r>
      <w:r>
        <w:t xml:space="preserve">while</w:t>
      </w:r>
      <w:r>
        <w:t xml:space="preserve"> </w:t>
      </w:r>
      <w:r>
        <w:t xml:space="preserve">accommodating</w:t>
      </w:r>
      <w:r>
        <w:t xml:space="preserve"> </w:t>
      </w:r>
      <w:r>
        <w:t xml:space="preserve">for</w:t>
      </w:r>
      <w:r>
        <w:t xml:space="preserve"> </w:t>
      </w:r>
      <w:r>
        <w:t xml:space="preserve">uncertainties.</w:t>
      </w:r>
      <w:r>
        <w:t xml:space="preserve"> </w:t>
      </w:r>
      <w:r>
        <w:t xml:space="preserve">Lastly,</w:t>
      </w:r>
      <w:r>
        <w:t xml:space="preserve"> </w:t>
      </w:r>
      <w:r>
        <w:t xml:space="preserve">it</w:t>
      </w:r>
      <w:r>
        <w:t xml:space="preserve"> </w:t>
      </w:r>
      <w:r>
        <w:t xml:space="preserve">facilitated</w:t>
      </w:r>
      <w:r>
        <w:t xml:space="preserve"> </w:t>
      </w:r>
      <w:r>
        <w:t xml:space="preserve">exploration</w:t>
      </w:r>
      <w:r>
        <w:t xml:space="preserve"> </w:t>
      </w:r>
      <w:r>
        <w:t xml:space="preserve">of</w:t>
      </w:r>
      <w:r>
        <w:t xml:space="preserve"> </w:t>
      </w:r>
      <w:r>
        <w:t xml:space="preserve">theories</w:t>
      </w:r>
      <w:r>
        <w:t xml:space="preserve"> </w:t>
      </w:r>
      <w:r>
        <w:t xml:space="preserve">related</w:t>
      </w:r>
      <w:r>
        <w:t xml:space="preserve"> </w:t>
      </w:r>
      <w:r>
        <w:t xml:space="preserve">to</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Despite</w:t>
      </w:r>
      <w:r>
        <w:t xml:space="preserve"> </w:t>
      </w:r>
      <w:r>
        <w:t xml:space="preserve">these</w:t>
      </w:r>
      <w:r>
        <w:t xml:space="preserve"> </w:t>
      </w:r>
      <w:r>
        <w:t xml:space="preserve">advantages,</w:t>
      </w:r>
      <w:r>
        <w:t xml:space="preserve"> </w:t>
      </w:r>
      <w:r>
        <w:t xml:space="preserve">the</w:t>
      </w:r>
      <w:r>
        <w:t xml:space="preserve"> </w:t>
      </w:r>
      <w:r>
        <w:t xml:space="preserve">introduction</w:t>
      </w:r>
      <w:r>
        <w:t xml:space="preserve"> </w:t>
      </w:r>
      <w:r>
        <w:t xml:space="preserve">of</w:t>
      </w:r>
      <w:r>
        <w:t xml:space="preserve"> </w:t>
      </w:r>
      <w:r>
        <w:t xml:space="preserve">these</w:t>
      </w:r>
      <w:r>
        <w:t xml:space="preserve"> </w:t>
      </w:r>
      <w:r>
        <w:t xml:space="preserve">innovative</w:t>
      </w:r>
      <w:r>
        <w:t xml:space="preserve"> </w:t>
      </w:r>
      <w:r>
        <w:t xml:space="preserve">statistical</w:t>
      </w:r>
      <w:r>
        <w:t xml:space="preserve"> </w:t>
      </w:r>
      <w:r>
        <w:t xml:space="preserve">tools</w:t>
      </w:r>
      <w:r>
        <w:t xml:space="preserve"> </w:t>
      </w:r>
      <w:r>
        <w:t xml:space="preserve">poses</w:t>
      </w:r>
      <w:r>
        <w:t xml:space="preserve"> </w:t>
      </w:r>
      <w:r>
        <w:t xml:space="preserve">challenges</w:t>
      </w:r>
      <w:r>
        <w:t xml:space="preserve"> </w:t>
      </w:r>
      <w:r>
        <w:t xml:space="preserve">for</w:t>
      </w:r>
      <w:r>
        <w:t xml:space="preserve"> </w:t>
      </w:r>
      <w:r>
        <w:t xml:space="preserve">researchers</w:t>
      </w:r>
      <w:r>
        <w:t xml:space="preserve"> </w:t>
      </w:r>
      <w:r>
        <w:t xml:space="preserve">seeking</w:t>
      </w:r>
      <w:r>
        <w:t xml:space="preserve"> </w:t>
      </w:r>
      <w:r>
        <w:t xml:space="preserve">implementation.</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interesting</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power</w:t>
      </w:r>
      <w:r>
        <w:t xml:space="preserve"> </w:t>
      </w:r>
      <w:r>
        <w:t xml:space="preserve">analysis,</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exploration</w:t>
      </w:r>
      <w:r>
        <w:t xml:space="preserve"> </w:t>
      </w:r>
      <w:r>
        <w:t xml:space="preserve">of</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This</w:t>
      </w:r>
      <w:r>
        <w:t xml:space="preserve"> </w:t>
      </w:r>
      <w:r>
        <w:t xml:space="preserve">study</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and</w:t>
      </w:r>
      <w:r>
        <w:t xml:space="preserve"> </w:t>
      </w:r>
      <w:r>
        <w:t xml:space="preserve">testing</w:t>
      </w:r>
      <w:r>
        <w:t xml:space="preserve"> </w:t>
      </w:r>
      <w:r>
        <w:t xml:space="preserve">theories</w:t>
      </w:r>
      <w:r>
        <w:t xml:space="preserve"> </w:t>
      </w:r>
      <w:r>
        <w:t xml:space="preserve">related</w:t>
      </w:r>
      <w:r>
        <w:t xml:space="preserve"> </w:t>
      </w:r>
      <w:r>
        <w:t xml:space="preserve">to</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emphasizing</w:t>
      </w:r>
      <w:r>
        <w:t xml:space="preserve"> </w:t>
      </w:r>
      <w:r>
        <w:t xml:space="preserve">the</w:t>
      </w:r>
      <w:r>
        <w:t xml:space="preserve"> </w:t>
      </w:r>
      <w:r>
        <w:t xml:space="preserve">accurate</w:t>
      </w:r>
      <w:r>
        <w:t xml:space="preserve"> </w:t>
      </w:r>
      <w:r>
        <w:t xml:space="preserve">prediction</w:t>
      </w:r>
      <w:r>
        <w:t xml:space="preserve"> </w:t>
      </w:r>
      <w:r>
        <w:t xml:space="preserve">of</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(R. D. Kent, Miolo, and Bloedel 19943)</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(R. 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 In contrast, spontaneous speech samples offer a more ecologically valid means for assessing intelligibility, as they resemble everyday informal speech more compared to read-aloud or imitated speech</w:t>
      </w:r>
      <w:r>
        <w:t xml:space="preserve"> </w:t>
      </w:r>
      <w:r>
        <w:t xml:space="preserve">(Boonen et al. 2021)</w:t>
      </w:r>
      <w:r>
        <w:t xml:space="preserve">. However, establishing a straightforward comparison between a predetermined word target and a listener’s identification of it using spontaneous speech is no longer possible, since such a target is non-existent. Therefore, the link between a word target and a listener’s identification of it can only be inferred indirectly</w:t>
      </w:r>
      <w:r>
        <w:t xml:space="preserve"> </w:t>
      </w:r>
      <w:r>
        <w:t xml:space="preserve">(Flipsen 2006; Lagerberg et al. 2014)</w:t>
      </w:r>
      <w:r>
        <w:t xml:space="preserve">.</w:t>
      </w:r>
    </w:p>
    <w:p>
      <w:pPr>
        <w:pStyle w:val="BodyText"/>
      </w:pPr>
      <w:r>
        <w:t xml:space="preserve">Yet, a metric of intelligibility can still be derived from transcriptions of spontaneous speech samples. In this approach, listeners transcribe orthographically multiple spontaneous speech samples produced by various speakers. 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2021; Faes, De Maeyer, and Gillis 2021)</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2021)</w:t>
      </w:r>
      <w:r>
        <w:t xml:space="preserve">.</w:t>
      </w:r>
    </w:p>
    <w:p>
      <w:pPr>
        <w:pStyle w:val="BodyText"/>
      </w:pPr>
      <w:r>
        <w:t xml:space="preserve">However, despite their potential as a fine-grained metric of intelligibility, as proposed by</w:t>
      </w:r>
      <w:r>
        <w:t xml:space="preserve"> </w:t>
      </w:r>
      <w:r>
        <w:t xml:space="preserve">Boonen et al. (2021)</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 Secondly, entropy scores are a manifestation of a speaker’s intelligibility, with this intelligibility being the primary factor influencing the observed scores. 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 Lastly, driven by the specific small set of speakers and speech samples under scrutiny, these scores often display a potential for the presence of outliers and heteroscedasticity. Outliers are observations that markedly deviate from other sample data points in which they occur,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2021)</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 [</w:t>
      </w:r>
      <w:r>
        <w:t xml:space="preserve">Ghosh (2019)</w:t>
      </w:r>
      <w:r>
        <w:t xml:space="preserve">; Kangmennaang_et_al_2023],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(2021)</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theories concerning speech intelligibility. To achieve this objective, the study will reexamine data originating from transcriptions of spontaneous speech samples, initially collected by</w:t>
      </w:r>
      <w:r>
        <w:t xml:space="preserve"> </w:t>
      </w:r>
      <w:r>
        <w:t xml:space="preserve">Boonen et al. (2021)</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 First, given the importance of accurate predictions in developing useful practical models and testing research theories</w:t>
      </w:r>
      <w:r>
        <w:t xml:space="preserve"> </w:t>
      </w:r>
      <w:r>
        <w:t xml:space="preserve">(Shmueli and Koppius 2011)</w:t>
      </w:r>
      <w:r>
        <w:t xml:space="preserve">,</w:t>
      </w:r>
      <w:r>
        <w:t xml:space="preserve"> </w:t>
      </w:r>
      <w:r>
        <w:rPr>
          <w:i/>
          <w:iCs/>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(R. D. Kent, Miolo, and Bloedel 19943)</w:t>
      </w:r>
      <w:r>
        <w:t xml:space="preserve">,</w:t>
      </w:r>
      <w:r>
        <w:t xml:space="preserve"> </w:t>
      </w:r>
      <w:r>
        <w:rPr>
          <w:i/>
          <w:iCs/>
        </w:rPr>
        <w:t xml:space="preserve">Research Question 2 (RQ2)</w:t>
      </w:r>
      <w:r>
        <w:t xml:space="preserve"> </w:t>
      </w:r>
      <w:r>
        <w:t xml:space="preserve">investigates how the proposed model can estimate speakers’ latent intelligibility from manifest entropy scores. Thirdly, recognizing that research involves developing and comparing theories,</w:t>
      </w:r>
      <w:r>
        <w:t xml:space="preserve"> </w:t>
      </w:r>
      <w:r>
        <w:rPr>
          <w:i/>
          <w:iCs/>
        </w:rPr>
        <w:t xml:space="preserve">Research Question 3 (RQ3)</w:t>
      </w:r>
      <w:r>
        <w:t xml:space="preserve"> </w:t>
      </w:r>
      <w:r>
        <w:t xml:space="preserve">illustrates how these research theories can be examined within the model’s framework. Specifically, RQ3 assesses the influence of speaker-related factors on the newly estimated latent intelligibility.</w:t>
      </w:r>
    </w:p>
    <w:p>
      <w:pPr>
        <w:pStyle w:val="BodyText"/>
      </w:pPr>
      <w:r>
        <w:t xml:space="preserve">The findings of this study will equip researchers investigating speech intelligibility using entropy scores, or those grappling with similar data challenges, with a statistical tool that improves upon existing research models. The tool will provide an assessment of the predictability of empirical phenomena, along with the capability to develop a quantitative measure for the latent variable of interest. The latter, in turn, will facilitate the appropriate comparison of existing theories related to the latent variable, and even the development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(2021)</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(2021)</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 These recordings were obtained as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recording, the children were allowed to skim over the booklet and examine pictures. Prior to the selection process, the recordings were orthographically transcribed using the CHAT format in the CLAN editor</w:t>
      </w:r>
      <w:r>
        <w:t xml:space="preserve"> </w:t>
      </w:r>
      <w:r>
        <w:t xml:space="preserve">(MacWhinney 2020)</w:t>
      </w:r>
      <w:r>
        <w:t xml:space="preserve">. These transcriptions were exclusively used in the curation of appropriate speech samples. 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The</w:t>
      </w:r>
      <w:r>
        <w:t xml:space="preserve"> </w:t>
      </w:r>
      <m:oMath>
        <m:r>
          <m:t>320</m:t>
        </m:r>
      </m:oMath>
      <w:r>
        <w:t xml:space="preserve"> </w:t>
      </w:r>
      <w:r>
        <w:t xml:space="preserve">speech samples and</w:t>
      </w:r>
      <w:r>
        <w:t xml:space="preserve"> </w:t>
      </w:r>
      <m:oMath>
        <m:r>
          <m:t>105</m:t>
        </m:r>
      </m:oMath>
      <w:r>
        <w:t xml:space="preserve"> </w:t>
      </w:r>
      <w:r>
        <w:t xml:space="preserve">listeners were randomly assigned to five blocks, with each block consisting of approximately</w:t>
      </w:r>
      <w:r>
        <w:t xml:space="preserve"> </w:t>
      </w:r>
      <m:oMath>
        <m:r>
          <m:t>21</m:t>
        </m:r>
      </m:oMath>
      <w:r>
        <w:t xml:space="preserve"> </w:t>
      </w:r>
      <w:r>
        <w:t xml:space="preserve">listeners who transcribed</w:t>
      </w:r>
      <w:r>
        <w:t xml:space="preserve"> </w:t>
      </w:r>
      <m:oMath>
        <m:r>
          <m:t>64</m:t>
        </m:r>
      </m:oMath>
      <w:r>
        <w:t xml:space="preserve"> </w:t>
      </w:r>
      <w:r>
        <w:t xml:space="preserve">sentences presented in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present in the speech samples. These orthographic transcriptions were automatically aligned with a python script</w:t>
      </w:r>
      <w:r>
        <w:t xml:space="preserve"> </w:t>
      </w:r>
      <w:r>
        <w:t xml:space="preserve">(Boonen et al. 2021)</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within each speaker and block, and the output was manually checked and adjusted (if needed) in order to appropriately align the words. For more details on the random assignment and alignment procedures refer to</w:t>
      </w:r>
      <w:r>
        <w:t xml:space="preserve"> </w:t>
      </w:r>
      <w:r>
        <w:t xml:space="preserve">Boonen et al. (2021)</w:t>
      </w:r>
      <w:r>
        <w:t xml:space="preserve">.</w:t>
      </w:r>
    </w:p>
    <w:p>
      <w:pPr>
        <w:pStyle w:val="BodyText"/>
      </w:pPr>
      <w:r>
        <w:t xml:space="preserve">Next, this study aggregated the aligned transcriptions by listener yielding</w:t>
      </w:r>
      <w:r>
        <w:t xml:space="preserve"> </w:t>
      </w:r>
      <m:oMath>
        <m:r>
          <m:t>2</m:t>
        </m:r>
        <m:r>
          <m:rPr>
            <m:sty m:val="p"/>
          </m:rPr>
          <m:t>,</m:t>
        </m:r>
        <m:r>
          <m:t>2634</m:t>
        </m:r>
      </m:oMath>
      <w:r>
        <w:t xml:space="preserve"> </w:t>
      </w:r>
      <w:r>
        <w:t xml:space="preserve">entropy scores, one score per word. 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 calculation example of entropy scores.</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2021; Faes, De Maeyer, and Gillis 2021)</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 Note: Extracted from Boonen et al.</w:t>
            </w:r>
            <w:r>
              <w:t xml:space="preserve"> </w:t>
            </w:r>
            <w:r>
              <w:t xml:space="preserve">(2021)</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Dutch with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jc w:val="left"/>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7"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p>
      <w:pPr>
        <w:pStyle w:val="BodyText"/>
      </w:pPr>
      <w:r>
        <w:t xml:space="preserve">The selection of the Bayesian approach was based on three key properties. Firstly, empirical evidence from prior research demonstrates that Bayesian methods outperform frequentist methods, particularly in handling complex and over-parameterized models</w:t>
      </w:r>
      <w:r>
        <w:t xml:space="preserve"> </w:t>
      </w:r>
      <w:r>
        <w:t xml:space="preserve">(Baker 1998; Kim and Cohen 1999)</w:t>
      </w:r>
      <w:r>
        <w:t xml:space="preserve">. This superiority is evident when dealing with complex models, like the proposed GLLAMM, that are challenging to program or are not viable under frequentist methods</w:t>
      </w:r>
      <w:r>
        <w:t xml:space="preserve"> </w:t>
      </w:r>
      <w:r>
        <w:t xml:space="preserve">(Depaoli 2014)</w:t>
      </w:r>
      <w:r>
        <w:t xml:space="preserve">. Secondly, the approach allows for the incorporation of prior information, ensuring that certain parameters are confined within specified boundaries. This helps mitigate non-convergence or improper parameter estimation issues commonly observed in complex models under frequentist methods</w:t>
      </w:r>
      <w:r>
        <w:t xml:space="preserve"> </w:t>
      </w:r>
      <w:r>
        <w:t xml:space="preserve">(Martin and McDonald 1975; Seaman and Stamey 2011)</w:t>
      </w:r>
      <w:r>
        <w:t xml:space="preserve">. In this study, for example, this property was leveraged to incorporate information about the variances of random effects and constrain them to be positive. Lastly, the Bayesian approach demonstrates proficiency in handling relatively small sample sizes</w:t>
      </w:r>
      <w:r>
        <w:t xml:space="preserve"> </w:t>
      </w:r>
      <w:r>
        <w:t xml:space="preserve">(Baldwin and Fellingham 2013; Lambert et al. 2006; Depaoli 2014)</w:t>
      </w:r>
      <w:r>
        <w:t xml:space="preserve">. In this case, despite the study dealing with 2,263 entropy scores, these were derived from a modest sample size of 32 speakers, from whom the inferences are drawn. Consequently, reliance on the asymptotic properties of frequentist methods may not be warranted in this context, underscoring the pertinence of this property to the current study.</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model’s</w:t>
      </w:r>
      <w:r>
        <w:t xml:space="preserve"> </w:t>
      </w:r>
      <w:r>
        <w:rPr>
          <w:i/>
          <w:iCs/>
        </w:rPr>
        <w:t xml:space="preserve">robustness</w:t>
      </w:r>
      <w:r>
        <w:t xml:space="preserve"> </w:t>
      </w:r>
      <w:r>
        <w:t xml:space="preserve">to mild or moderate data departures from the normal distribution assumption, such as in the presence of heteroscedasticity or outliers. 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characteristics. This is commonly known as a direct link function. Moreover,</w:t>
      </w:r>
      <w:r>
        <w:t xml:space="preserve"> </w:t>
      </w:r>
      <w:hyperlink w:anchor="eq-normal-LMM-linearpred">
        <w:r>
          <w:rPr>
            <w:rStyle w:val="Hyperlink"/>
          </w:rPr>
          <w:t xml:space="preserve">Equation 3</w:t>
        </w:r>
      </w:hyperlink>
      <w:r>
        <w:t xml:space="preserve"> </w:t>
      </w:r>
      <w:r>
        <w:t xml:space="preserve">indicates that chronological age is centered 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Lastly, the equation implies the model considers separate intercept and separate slope of age for each hearing status group, i.e., NH and HI/CI speakers,</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 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explicitly highlighting the inverse relationship between intelligibility and entropy. This feature also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required in latent variable models</w:t>
      </w:r>
      <w:r>
        <w:t xml:space="preserve"> </w:t>
      </w:r>
      <w:r>
        <w:t xml:space="preserve">(Depaoli 2021)</w:t>
      </w:r>
      <w:r>
        <w:t xml:space="preserve">. Furthermore, the equation implies the model also considers separate intercept and separate slope of age for each hearing status group, i.e., NH and HI/CI speakers (</w:t>
      </w:r>
      <m:oMath>
        <m:sSub>
          <m:e>
            <m:r>
              <m:t>α</m:t>
            </m:r>
          </m:e>
          <m:sub>
            <m:r>
              <m:t>H</m:t>
            </m:r>
            <m:r>
              <m:t>S</m:t>
            </m:r>
            <m:d>
              <m:dPr>
                <m:begChr m:val="["/>
                <m:endChr m:val="]"/>
                <m:sepChr m:val=""/>
                <m:grow/>
              </m:dPr>
              <m:e>
                <m:r>
                  <m:t>1</m:t>
                </m:r>
              </m:e>
            </m:d>
          </m:sub>
        </m:sSub>
      </m:oMath>
      <w:r>
        <w:t xml:space="preserve"> </w:t>
      </w:r>
      <w:r>
        <w:t xml:space="preserve">and</w:t>
      </w:r>
      <w:r>
        <w:t xml:space="preserve"> </w:t>
      </w:r>
      <m:oMath>
        <m:sSub>
          <m:e>
            <m:r>
              <m:t>α</m:t>
            </m:r>
          </m:e>
          <m:sub>
            <m:r>
              <m:t>H</m:t>
            </m:r>
            <m:r>
              <m:t>S</m:t>
            </m:r>
            <m:d>
              <m:dPr>
                <m:begChr m:val="["/>
                <m:endChr m:val="]"/>
                <m:sepChr m:val=""/>
                <m:grow/>
              </m:dPr>
              <m:e>
                <m:r>
                  <m:t>2</m:t>
                </m:r>
              </m:e>
            </m:d>
          </m:sub>
        </m:sSub>
      </m:oMath>
      <w:r>
        <w:t xml:space="preserve">, respectively). Additionally,</w:t>
      </w:r>
      <w:r>
        <w:t xml:space="preserve"> </w:t>
      </w:r>
      <w:hyperlink w:anchor="eq-beta-GLLAMM-structural">
        <w:r>
          <w:rPr>
            <w:rStyle w:val="Hyperlink"/>
          </w:rPr>
          <w:t xml:space="preserve">Equation 6</w:t>
        </w:r>
      </w:hyperlink>
      <w:r>
        <w:t xml:space="preserve"> </w:t>
      </w:r>
      <w:r>
        <w:t xml:space="preserve">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same equation assumes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 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2.2.7</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p>
          <w:tbl>
            <w:tblPr>
              <w:tblStyle w:val="Table"/>
              <w:tblW w:type="pct" w:w="4747"/>
              <w:jc w:val="left"/>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2.2.7</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by</w:t>
      </w:r>
      <w:r>
        <w:t xml:space="preserve"> </w:t>
      </w:r>
      <w:r>
        <w:t xml:space="preserve">Spiegelhalter et al. (2002)</w:t>
      </w:r>
      <w:r>
        <w:t xml:space="preserve">, the widely applicable information criterion (</w:t>
      </w:r>
      <w:r>
        <w:rPr>
          <w:rStyle w:val="VerbatimChar"/>
        </w:rPr>
        <w:t xml:space="preserve">WAIC</w:t>
      </w:r>
      <w:r>
        <w:t xml:space="preserve">) by</w:t>
      </w:r>
      <w:r>
        <w:t xml:space="preserve"> </w:t>
      </w:r>
      <w:r>
        <w:t xml:space="preserve">Watanabe (2013)</w:t>
      </w:r>
      <w:r>
        <w:t xml:space="preserve">, and the Pareto Smoothing Importance Sampling criterion (</w:t>
      </w:r>
      <w:r>
        <w:rPr>
          <w:rStyle w:val="VerbatimChar"/>
        </w:rPr>
        <w:t xml:space="preserve">PSIS</w:t>
      </w:r>
      <w:r>
        <w:t xml:space="preserve">) by</w:t>
      </w:r>
      <w:r>
        <w:t xml:space="preserve"> </w:t>
      </w:r>
      <w:r>
        <w:t xml:space="preserve">Vehtari, Gelman, and Gabry (2017)</w:t>
      </w:r>
      <w:r>
        <w:t xml:space="preserve">. These criteria score models in terms of deviations from perfect predictive accuracy, with smaller values indicating less deviation</w:t>
      </w:r>
      <w:r>
        <w:t xml:space="preserve"> </w:t>
      </w:r>
      <w:r>
        <w:t xml:space="preserve">(McElreath 2020)</w:t>
      </w:r>
      <w:r>
        <w:t xml:space="preserve">.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 Deviations from perfect predictive accuracy serve as the closest estimate for the Kullback-Leibler divergence</w:t>
      </w:r>
      <w:r>
        <w:t xml:space="preserve"> </w:t>
      </w:r>
      <w:r>
        <w:t xml:space="preserve">(Kullback and Leibler 1951)</w:t>
      </w:r>
      <w:r>
        <w:t xml:space="preserve">, which measures the degree to which a model accurately represents the true distribution of the data. Moreover,</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considered full Bayesian criteria as they incorporate all the information encompassed in the parameter’s posterior distribution. This effectively integrates and reports the inherent uncertainty in the predictive accuracy estimates. Predictive accuracy aside,</w:t>
      </w:r>
      <w:r>
        <w:t xml:space="preserve"> </w:t>
      </w:r>
      <w:r>
        <w:rPr>
          <w:rStyle w:val="VerbatimChar"/>
        </w:rPr>
        <w:t xml:space="preserve">PSIS</w:t>
      </w:r>
      <w:r>
        <w:t xml:space="preserve"> </w:t>
      </w:r>
      <w:r>
        <w:t xml:space="preserve">offers an additional advantage in identifying highly influential data points. To achieve this, the criterion uses a built-in warning system that flags observations that make out-of-sample predictions unreliable. The key intuition is that observations that are relatively unlikely, according to the model, exert more influence and render predictions more unreliable than those relatively expected</w:t>
      </w:r>
      <w:r>
        <w:t xml:space="preserve"> </w:t>
      </w:r>
      <w:r>
        <w:t xml:space="preserve">(McElreath 2020)</w:t>
      </w:r>
      <w:r>
        <w:t xml:space="preserve">.</w:t>
      </w:r>
    </w:p>
    <w:bookmarkEnd w:id="44"/>
    <w:bookmarkStart w:id="46" w:name="sec-M-SM-OS"/>
    <w:p>
      <w:pPr>
        <w:pStyle w:val="Heading3"/>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 The digital walk-through is available at the following URL:</w:t>
      </w:r>
      <w:r>
        <w:t xml:space="preserve"> </w:t>
      </w:r>
      <w:hyperlink r:id="rId45">
        <w:r>
          <w:rPr>
            <w:rStyle w:val="Hyperlink"/>
          </w:rPr>
          <w:t xml:space="preserve">https://jriveraespejo.github.io/paper1_manuscript/</w:t>
        </w:r>
      </w:hyperlink>
    </w:p>
    <w:bookmarkEnd w:id="46"/>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hyperlink w:anchor="fig-rq1-waic-psis">
        <w:r>
          <w:rPr>
            <w:rStyle w:val="Hyperlink"/>
          </w:rPr>
          <w:t xml:space="preserve">Figure 1</w:t>
        </w:r>
      </w:hyperlink>
      <w:r>
        <w:t xml:space="preserve"> </w:t>
      </w:r>
      <w:r>
        <w:t xml:space="preserve">displays values for the</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They also include the components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highlighting the differences in out-of-sample deviations from the best-fitting model and its associated uncertainty. The associated</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indicating the penalization received by the models for their complexity (roughly associated with their number of parameters). Lastly, the tables show the</w:t>
      </w:r>
      <w:r>
        <w:t xml:space="preserve"> </w:t>
      </w:r>
      <w:r>
        <w:rPr>
          <w:rStyle w:val="VerbatimChar"/>
        </w:rPr>
        <w:t xml:space="preserve">weight</w:t>
      </w:r>
      <w:r>
        <w:t xml:space="preserve"> </w:t>
      </w:r>
      <w:r>
        <w:t xml:space="preserve">of evidence, which summarizes the relative support for each model.</w:t>
      </w:r>
    </w:p>
    <w:p>
      <w:pPr>
        <w:pStyle w:val="BodyText"/>
      </w:pP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 Additionally,</w:t>
      </w:r>
      <w:r>
        <w:t xml:space="preserve"> </w:t>
      </w:r>
      <w:hyperlink w:anchor="fig-rq1-waic-psis">
        <w:r>
          <w:rPr>
            <w:rStyle w:val="Hyperlink"/>
          </w:rPr>
          <w:t xml:space="preserve">Figure 1</w:t>
        </w:r>
      </w:hyperlink>
      <w:r>
        <w:t xml:space="preserve"> </w:t>
      </w:r>
      <w:r>
        <w:t xml:space="preserve">visually demonstrates the non-overlapping uncertainty (horizontal blue lines)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 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jc w:val="left"/>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WAIC and PSIS model comparison plot.</w:t>
            </w:r>
            <w:r>
              <w:t xml:space="preserve"> </w:t>
            </w:r>
            <w:r>
              <w:rPr>
                <w:i/>
                <w:iCs/>
              </w:rPr>
              <w:t xml:space="preserve">Note:</w:t>
            </w:r>
            <w:r>
              <w:t xml:space="preserve"> </w:t>
            </w:r>
            <w:r>
              <w:t xml:space="preserve">Black and blue points describe point estimates, and continuous horizontal lines indicate the associated uncertainty.</w:t>
            </w:r>
          </w:p>
          <w:bookmarkEnd w:id="52"/>
        </w:tc>
      </w:tr>
    </w:tbl>
    <w:bookmarkEnd w:id="53"/>
    <w:p>
      <w:pPr>
        <w:pStyle w:val="BodyText"/>
      </w:pPr>
      <w:r>
        <w:t xml:space="preserve">Upon closer examination, the reasons behind the observed disparities in the models become more apparent. Specifically,</w:t>
      </w:r>
      <w:r>
        <w:t xml:space="preserve"> </w:t>
      </w:r>
      <w:hyperlink w:anchor="fig-rq1-pred-speaker">
        <w:r>
          <w:rPr>
            <w:rStyle w:val="Hyperlink"/>
          </w:rPr>
          <w:t xml:space="preserve">Figure 2</w:t>
        </w:r>
      </w:hyperlink>
      <w:r>
        <w:t xml:space="preserve"> </w:t>
      </w:r>
      <w:r>
        <w:t xml:space="preserve">highlights that the Normal LMM, as outlined in Model</w:t>
      </w:r>
      <w:r>
        <w:t xml:space="preserve"> </w:t>
      </w:r>
      <m:oMath>
        <m:r>
          <m:t>4</m:t>
        </m:r>
      </m:oMath>
      <w:r>
        <w:t xml:space="preserve">, fails to capture the underlying data patterns, resulting in predictions that are physically inconsistent, falling outside the outcome’s range between zero and one. Further insight into this issue is provided by</w:t>
      </w:r>
      <w:r>
        <w:t xml:space="preserve"> </w:t>
      </w:r>
      <w:hyperlink w:anchor="fig-rq1-pred-speaker_model04">
        <w:r>
          <w:rPr>
            <w:rStyle w:val="Hyperlink"/>
          </w:rPr>
          <w:t xml:space="preserve">Figure 9</w:t>
        </w:r>
      </w:hyperlink>
      <w:r>
        <w:t xml:space="preserve"> </w:t>
      </w:r>
      <w:r>
        <w:t xml:space="preserve">and</w:t>
      </w:r>
      <w:r>
        <w:t xml:space="preserve"> </w:t>
      </w:r>
      <w:hyperlink w:anchor="fig-rq1-model-outliers">
        <w:r>
          <w:rPr>
            <w:rStyle w:val="Hyperlink"/>
          </w:rPr>
          <w:t xml:space="preserve">Figure 11</w:t>
        </w:r>
      </w:hyperlink>
      <w:r>
        <w:t xml:space="preserve">.</w:t>
      </w:r>
      <w:r>
        <w:t xml:space="preserve"> </w:t>
      </w:r>
      <w:hyperlink w:anchor="fig-rq1-pred-speaker_model04">
        <w:r>
          <w:rPr>
            <w:rStyle w:val="Hyperlink"/>
          </w:rPr>
          <w:t xml:space="preserve">Figure 9</w:t>
        </w:r>
      </w:hyperlink>
      <w:r>
        <w:t xml:space="preserve"> </w:t>
      </w:r>
      <w:r>
        <w:t xml:space="preserve">displays Model</w:t>
      </w:r>
      <w:r>
        <w:t xml:space="preserve"> </w:t>
      </w:r>
      <m:oMath>
        <m:r>
          <m:t>4</m:t>
        </m:r>
      </m:oMath>
      <w:r>
        <w:t xml:space="preserve">’s score prediction densities which bear no resemblance to the actual data densities. 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jc w:val="left"/>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i/>
                <w:iCs/>
              </w:rPr>
              <w:t xml:space="preserve">Note:</w:t>
            </w:r>
            <w:r>
              <w:t xml:space="preserve"> </w:t>
            </w:r>
            <w:r>
              <w:t xml:space="preserve">Black dots show manifest entropy scores, orange dots and vertical lines show the point estimates and 95% highest probability density interval (HPDI) derived from Model 4, blue dots and vertical lines show similar information for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jc w:val="left"/>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i/>
                <w:iCs/>
              </w:rPr>
              <w:t xml:space="preserve">Note:</w:t>
            </w:r>
            <w:r>
              <w:t xml:space="preserve"> </w:t>
            </w:r>
            <w:r>
              <w:t xml:space="preserve">Black dots and vertical lines show mean point estimates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point estimates of the latent potential intelligibility. These estimates are accompanied by their associated</w:t>
      </w:r>
      <w:r>
        <w:t xml:space="preserve"> </w:t>
      </w:r>
      <m:oMath>
        <m:r>
          <m:t>95</m:t>
        </m:r>
        <m:r>
          <m:rPr>
            <m:sty m:val="p"/>
          </m:rPr>
          <m:t>%</m:t>
        </m:r>
      </m:oMath>
      <w:r>
        <w:t xml:space="preserve"> </w:t>
      </w:r>
      <w:r>
        <w:t xml:space="preserve">highest probability density intervals (HPDI). The figure clearly indicates that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 Conversely,</w:t>
      </w:r>
      <w:r>
        <w:t xml:space="preserve"> </w:t>
      </w:r>
      <w:hyperlink w:anchor="fig-si_contr_model10">
        <w:r>
          <w:rPr>
            <w:rStyle w:val="Hyperlink"/>
          </w:rPr>
          <w:t xml:space="preserve">Figure 4</w:t>
        </w:r>
      </w:hyperlink>
      <w:r>
        <w:t xml:space="preserve"> </w:t>
      </w:r>
      <w:r>
        <w:t xml:space="preserve">shows the full posterior distribution for the comparison of potential intelligibility among selected speakers. 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2.2.7</w:t>
        </w:r>
      </w:hyperlink>
      <w:r>
        <w:t xml:space="preserve"> </w:t>
      </w:r>
      <w:r>
        <w:t xml:space="preserve">Open Science Statement).</w:t>
      </w:r>
    </w:p>
    <w:bookmarkStart w:id="70" w:name="cell-fig-si_contr_model10"/>
    <w:tbl>
      <w:tblPr>
        <w:tblStyle w:val="Table"/>
        <w:tblW w:type="pct" w:w="5000"/>
        <w:jc w:val="left"/>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i/>
                <w:iCs/>
              </w:rPr>
              <w:t xml:space="preserve">Note:</w:t>
            </w:r>
            <w:r>
              <w:t xml:space="preserve"> </w:t>
            </w:r>
            <w:r>
              <w:t xml:space="preserve">Shaded area describes the 95% highest probability density interval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theories on intelligibility can be examined within the model’s framework. 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jc w:val="left"/>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WAIC and PSIS model comparison plot. Note: Black and blue points describe point estimates, and continuous horizontal lines indicate the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 Model 10,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jc w:val="left"/>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jc w:val="left"/>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 Model 11,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jc w:val="left"/>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i/>
                <w:iCs/>
              </w:rPr>
              <w:t xml:space="preserve">Note:</w:t>
            </w:r>
            <w:r>
              <w:t xml:space="preserve"> </w:t>
            </w:r>
            <w:r>
              <w:t xml:space="preserve">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jc w:val="left"/>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 Model 12, parameter estimates and 95% highest probability density intervals (HPDI)</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jc w:val="left"/>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 Note: Colored dots denote mean point estimates, vertical lines describe the 95% highest probability density intervals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theories related to speech intelligibility using entropy scores. 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 The results suggested that multiple models were plausible for the observed entropy scores, indicating that different speaker-related factor theories were viable for the data, with some presenting contradictory conclusions about the influence of those factors on intelligibility. However, even when unequivocal support for one theory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 These tools not only assessed the predictability of empirical phenomena but also quantitatively measured the latent trait of interest, namely potential intelligibility, facilitating the comparison of research theories related to this trait. 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2.2.7</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 Boonen and colleagues</w:t>
      </w:r>
      <w:r>
        <w:t xml:space="preserve"> </w:t>
      </w:r>
      <w:r>
        <w:t xml:space="preserve">(2021)</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 Consequently, future research should consider conducting power analyses for the proposed models. This entails assessing the impact of expanding the speakers’ pool on testing research theories, or increasing the number of speech samples, transcriptions, and listeners to enhance the precision of potential intelligibility estimates. With these insights, future investigations should contemplate increasing the speaker sample with a group that adequately represents the population of interest. 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theories within the model’s framework. 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w:t>
      </w:r>
      <w:r>
        <w:t xml:space="preserve">; Pollitt_2012b,</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 Additionally, the proposed model facilitates the exploration of research theories concerning the influence of speaker-related factors on potential intelligibility. The study indicates that integrating and comparing these theories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 Nevertheless, the study suggests several promising avenues for future research, including power analysis, causal hypothesis formulation, and exploration and integration of novel evaluation methods for assessing intelligibility. The insights derived from this study hold implications for both researchers and data analysts interested in quantitatively measuring and testing theories related to nuanced, unobservable constructs, while also considering the appropriate prediction of the empirical phenomena.</w:t>
      </w:r>
    </w:p>
    <w:bookmarkEnd w:id="100"/>
    <w:bookmarkStart w:id="143" w:name="sec-appendix"/>
    <w:p>
      <w:pPr>
        <w:pStyle w:val="Heading1"/>
      </w:pPr>
      <w:r>
        <w:t xml:space="preserve">Appendix</w:t>
      </w:r>
    </w:p>
    <w:bookmarkStart w:id="101" w:name="sec-appA"/>
    <w:p>
      <w:pPr>
        <w:pStyle w:val="Heading2"/>
      </w:pPr>
      <w:r>
        <w:t xml:space="preserve">Entropy scores calculation</w:t>
      </w:r>
    </w:p>
    <w:p>
      <w:pPr>
        <w:pStyle w:val="FirstParagraph"/>
      </w:pPr>
      <w:r>
        <w:t xml:space="preserve">This section exemplifies the entropy calculation procedure. For that purpose, the words in position two,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the word</w:t>
      </w:r>
      <w:r>
        <w:t xml:space="preserve"> </w:t>
      </w:r>
      <m:oMath>
        <m:r>
          <m:t>2</m:t>
        </m:r>
      </m:oMath>
      <w:r>
        <w:t xml:space="preserve">,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r>
          <m:rPr>
            <m:sty m:val="p"/>
          </m:rPr>
          <m:t>=</m:t>
        </m:r>
        <m:r>
          <m:rPr>
            <m:sty m:val="p"/>
          </m:rPr>
          <m:t>{</m:t>
        </m:r>
        <m:r>
          <m:t>4</m:t>
        </m:r>
        <m:r>
          <m:rPr>
            <m:sty m:val="p"/>
          </m:rPr>
          <m:t>/</m:t>
        </m:r>
        <m:r>
          <m:t>5</m:t>
        </m:r>
        <m:r>
          <m:rPr>
            <m:sty m:val="p"/>
          </m:rPr>
          <m:t>,</m:t>
        </m:r>
        <m:r>
          <m:t>1</m:t>
        </m:r>
        <m:r>
          <m:rPr>
            <m:sty m:val="p"/>
          </m:rPr>
          <m:t>/</m:t>
        </m:r>
        <m:r>
          <m:t>5</m:t>
        </m:r>
        <m:r>
          <m:rPr>
            <m:sty m:val="p"/>
          </m:rPr>
          <m:t>}</m:t>
        </m:r>
        <m:r>
          <m:rPr>
            <m:sty m:val="p"/>
          </m:rPr>
          <m:t>=</m:t>
        </m:r>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word</w:t>
      </w:r>
      <w:r>
        <w:t xml:space="preserve"> </w:t>
      </w:r>
      <m:oMath>
        <m:r>
          <m:t>4</m:t>
        </m:r>
      </m:oMath>
      <w:r>
        <w:t xml:space="preserve">,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 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r>
          <m:rPr>
            <m:sty m:val="p"/>
          </m:rPr>
          <m:t>=</m:t>
        </m:r>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rPr>
            <m:sty m:val="p"/>
          </m:rPr>
          <m:t>=</m:t>
        </m:r>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Lastly, for word</w:t>
      </w:r>
      <w:r>
        <w:t xml:space="preserve"> </w:t>
      </w:r>
      <m:oMath>
        <m:r>
          <m:t>5</m:t>
        </m:r>
      </m:oMath>
      <w:r>
        <w:t xml:space="preserve">, each listener transcribed a different word. 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r>
          <m:rPr>
            <m:sty m:val="p"/>
          </m:rPr>
          <m:t>=</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rPr>
            <m:sty m:val="p"/>
          </m:rPr>
          <m:t>=</m:t>
        </m:r>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t>5</m:t>
              </m:r>
              <m:r>
                <m:rPr>
                  <m:sty m:val="p"/>
                </m:rPr>
                <m:t>⋅</m:t>
              </m:r>
              <m:r>
                <m:t>0.2</m:t>
              </m:r>
              <m:r>
                <m:rPr>
                  <m:sty m:val="p"/>
                </m:rPr>
                <m:t>⋅</m:t>
              </m:r>
              <m:r>
                <m:t>l</m:t>
              </m:r>
              <m:r>
                <m:t>o</m:t>
              </m:r>
              <m:sSub>
                <m:e>
                  <m:r>
                    <m:t>g</m:t>
                  </m:r>
                </m:e>
                <m:sub>
                  <m:r>
                    <m:t>2</m:t>
                  </m:r>
                </m:sub>
              </m:sSub>
              <m:d>
                <m:dPr>
                  <m:begChr m:val="("/>
                  <m:endChr m:val=")"/>
                  <m:sepChr m:val=""/>
                  <m:grow/>
                </m:dPr>
                <m:e>
                  <m:r>
                    <m:t>0.2</m:t>
                  </m:r>
                </m:e>
              </m:d>
            </m:num>
            <m:den>
              <m:r>
                <m:t>l</m:t>
              </m:r>
              <m:r>
                <m:t>o</m:t>
              </m:r>
              <m:sSub>
                <m:e>
                  <m:r>
                    <m:t>g</m:t>
                  </m:r>
                </m:e>
                <m:sub>
                  <m:r>
                    <m:t>2</m:t>
                  </m:r>
                </m:sub>
              </m:sSub>
              <m:d>
                <m:dPr>
                  <m:begChr m:val="("/>
                  <m:endChr m:val=")"/>
                  <m:sepChr m:val=""/>
                  <m:grow/>
                </m:dPr>
                <m:e>
                  <m:r>
                    <m:t>5</m:t>
                  </m:r>
                </m:e>
              </m:d>
            </m:den>
          </m:f>
          <m:r>
            <m:rPr>
              <m:sty m:val="p"/>
            </m:rPr>
            <m:t>=</m:t>
          </m:r>
          <m:r>
            <m:t>1</m:t>
          </m:r>
        </m:oMath>
      </m:oMathPara>
    </w:p>
    <w:bookmarkEnd w:id="101"/>
    <w:bookmarkStart w:id="106" w:name="sec-appB"/>
    <w:p>
      <w:pPr>
        <w:pStyle w:val="Heading2"/>
      </w:pPr>
      <w:r>
        <w:t xml:space="preserve">Tables</w:t>
      </w:r>
    </w:p>
    <w:tbl>
      <w:tblPr>
        <w:tblStyle w:val="Table"/>
        <w:tblW w:type="pct" w:w="5000"/>
        <w:jc w:val="left"/>
        <w:tblLayout w:type="fixed"/>
        <w:tblLook w:firstRow="0" w:lastRow="0" w:firstColumn="0" w:lastColumn="0" w:noHBand="0" w:noVBand="0" w:val="0000"/>
      </w:tblPr>
      <w:tblGrid>
        <w:gridCol w:w="7920"/>
      </w:tblGrid>
      <w:tr>
        <w:tc>
          <w:tcPr/>
          <w:bookmarkStart w:id="102" w:name="tbl-rq1-waic"/>
          <w:p>
            <w:pPr>
              <w:jc w:val="center"/>
            </w:pPr>
            <w:pPr>
              <w:jc w:val="start"/>
              <w:spacing w:before="200"/>
              <w:pStyle w:val="ImageCaption"/>
            </w:pPr>
            <w:r>
              <w:t xml:space="preserve">Table 6: WAIC comparison for selected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pP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2"/>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3" w:name="tbl-rq1-psis"/>
          <w:p>
            <w:pPr>
              <w:jc w:val="center"/>
            </w:pPr>
            <w:pPr>
              <w:jc w:val="start"/>
              <w:spacing w:before="200"/>
              <w:pStyle w:val="ImageCaption"/>
            </w:pPr>
            <w:r>
              <w:t xml:space="preserve">Table 7: PSIS comparison for selected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pP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4" w:name="tbl-rq3-waic"/>
          <w:p>
            <w:pPr>
              <w:jc w:val="center"/>
            </w:pPr>
            <w:pPr>
              <w:jc w:val="start"/>
              <w:spacing w:before="200"/>
              <w:pStyle w:val="ImageCaption"/>
            </w:pPr>
            <w:r>
              <w:t xml:space="preserve">Table 8: WAIC comparison for all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pP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4"/>
          <w:p/>
        </w:tc>
      </w:tr>
    </w:tbl>
    <w:p>
      <w:pPr>
        <w:pStyle w:val="BodyText"/>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05" w:name="tbl-rq3-psis"/>
          <w:p>
            <w:pPr>
              <w:jc w:val="center"/>
            </w:pPr>
            <w:pPr>
              <w:jc w:val="start"/>
              <w:spacing w:before="200"/>
              <w:pStyle w:val="ImageCaption"/>
            </w:pPr>
            <w:r>
              <w:t xml:space="preserve">Table 9: PSIS comparison for all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pP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5"/>
          <w:p/>
        </w:tc>
      </w:tr>
    </w:tbl>
    <w:bookmarkEnd w:id="106"/>
    <w:bookmarkStart w:id="142" w:name="sec-appC"/>
    <w:p>
      <w:pPr>
        <w:pStyle w:val="Heading2"/>
      </w:pPr>
      <w:r>
        <w:t xml:space="preserve">Figures</w:t>
      </w:r>
    </w:p>
    <w:bookmarkStart w:id="111" w:name="cell-fig-rq1-pred-speaker_model04"/>
    <w:tbl>
      <w:tblPr>
        <w:tblStyle w:val="Table"/>
        <w:tblW w:type="pct" w:w="5000"/>
        <w:jc w:val="left"/>
        <w:tblLayout w:type="fixed"/>
        <w:tblLook w:firstRow="0" w:lastRow="0" w:firstColumn="0" w:lastColumn="0" w:noHBand="0" w:noVBand="0" w:val="0000"/>
      </w:tblPr>
      <w:tblGrid>
        <w:gridCol w:w="7920"/>
      </w:tblGrid>
      <w:tr>
        <w:tc>
          <w:tcPr/>
          <w:bookmarkStart w:id="110" w:name="fig-rq1-pred-speaker_model04"/>
          <w:p>
            <w:pPr>
              <w:pStyle w:val="Compact"/>
              <w:jc w:val="center"/>
            </w:pPr>
            <w:r>
              <w:drawing>
                <wp:inline>
                  <wp:extent cx="5334000" cy="3733800"/>
                  <wp:effectExtent b="0" l="0" r="0" t="0"/>
                  <wp:docPr descr="" title="" id="108" name="Picture"/>
                  <a:graphic>
                    <a:graphicData uri="http://schemas.openxmlformats.org/drawingml/2006/picture">
                      <pic:pic>
                        <pic:nvPicPr>
                          <pic:cNvPr descr="index_files/figure-docx/fig-rq1-pred-speaker_model04-1.png" id="109" name="Picture"/>
                          <pic:cNvPicPr>
                            <a:picLocks noChangeArrowheads="1" noChangeAspect="1"/>
                          </pic:cNvPicPr>
                        </pic:nvPicPr>
                        <pic:blipFill>
                          <a:blip r:embed="rId10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i/>
                <w:iCs/>
              </w:rPr>
              <w:t xml:space="preserve">Note:</w:t>
            </w:r>
            <w:r>
              <w:t xml:space="preserve"> </w:t>
            </w:r>
            <w:r>
              <w:t xml:space="preserve">Black bars denote the true data density, orange bars describe the predicted data density</w:t>
            </w:r>
          </w:p>
          <w:bookmarkEnd w:id="110"/>
        </w:tc>
      </w:tr>
    </w:tbl>
    <w:bookmarkEnd w:id="111"/>
    <w:bookmarkStart w:id="116" w:name="cell-fig-rq1-pred-speaker_model10"/>
    <w:tbl>
      <w:tblPr>
        <w:tblStyle w:val="Table"/>
        <w:tblW w:type="pct" w:w="5000"/>
        <w:jc w:val="left"/>
        <w:tblLayout w:type="fixed"/>
        <w:tblLook w:firstRow="0" w:lastRow="0" w:firstColumn="0" w:lastColumn="0" w:noHBand="0" w:noVBand="0" w:val="0000"/>
      </w:tblPr>
      <w:tblGrid>
        <w:gridCol w:w="7920"/>
      </w:tblGrid>
      <w:tr>
        <w:tc>
          <w:tcPr/>
          <w:bookmarkStart w:id="115" w:name="fig-rq1-pred-speaker_model10"/>
          <w:p>
            <w:pPr>
              <w:pStyle w:val="Compact"/>
              <w:jc w:val="center"/>
            </w:pPr>
            <w:r>
              <w:drawing>
                <wp:inline>
                  <wp:extent cx="5334000" cy="3733800"/>
                  <wp:effectExtent b="0" l="0" r="0" t="0"/>
                  <wp:docPr descr="" title="" id="113" name="Picture"/>
                  <a:graphic>
                    <a:graphicData uri="http://schemas.openxmlformats.org/drawingml/2006/picture">
                      <pic:pic>
                        <pic:nvPicPr>
                          <pic:cNvPr descr="index_files/figure-docx/fig-rq1-pred-speaker_model10-1.png" id="114" name="Picture"/>
                          <pic:cNvPicPr>
                            <a:picLocks noChangeArrowheads="1" noChangeAspect="1"/>
                          </pic:cNvPicPr>
                        </pic:nvPicPr>
                        <pic:blipFill>
                          <a:blip r:embed="rId112"/>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i/>
                <w:iCs/>
              </w:rPr>
              <w:t xml:space="preserve">Note:</w:t>
            </w:r>
            <w:r>
              <w:t xml:space="preserve"> </w:t>
            </w:r>
            <w:r>
              <w:t xml:space="preserve">Black bars denote the true data density, blue bars describe the predicted data density</w:t>
            </w:r>
          </w:p>
          <w:bookmarkEnd w:id="115"/>
        </w:tc>
      </w:tr>
    </w:tbl>
    <w:bookmarkEnd w:id="116"/>
    <w:bookmarkStart w:id="121" w:name="cell-fig-rq1-model-outliers"/>
    <w:tbl>
      <w:tblPr>
        <w:tblStyle w:val="Table"/>
        <w:tblW w:type="pct" w:w="5000"/>
        <w:jc w:val="left"/>
        <w:tblLayout w:type="fixed"/>
        <w:tblLook w:firstRow="0" w:lastRow="0" w:firstColumn="0" w:lastColumn="0" w:noHBand="0" w:noVBand="0" w:val="0000"/>
      </w:tblPr>
      <w:tblGrid>
        <w:gridCol w:w="7920"/>
      </w:tblGrid>
      <w:tr>
        <w:tc>
          <w:tcPr/>
          <w:bookmarkStart w:id="120" w:name="fig-rq1-model-outliers"/>
          <w:p>
            <w:pPr>
              <w:pStyle w:val="Compact"/>
              <w:jc w:val="center"/>
            </w:pPr>
            <w:r>
              <w:drawing>
                <wp:inline>
                  <wp:extent cx="5334000" cy="3733800"/>
                  <wp:effectExtent b="0" l="0" r="0" t="0"/>
                  <wp:docPr descr="" title="" id="118" name="Picture"/>
                  <a:graphic>
                    <a:graphicData uri="http://schemas.openxmlformats.org/drawingml/2006/picture">
                      <pic:pic>
                        <pic:nvPicPr>
                          <pic:cNvPr descr="index_files/figure-docx/fig-rq1-model-outliers-1.png" id="119" name="Picture"/>
                          <pic:cNvPicPr>
                            <a:picLocks noChangeArrowheads="1" noChangeAspect="1"/>
                          </pic:cNvPicPr>
                        </pic:nvPicPr>
                        <pic:blipFill>
                          <a:blip r:embed="rId11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 Note: Thin and thick vertical discontinuous line indicate threshold of 0.5 and 0.7, respectively. Number pair texts indicate the observation pair of speaker and sentence index.</w:t>
            </w:r>
          </w:p>
          <w:bookmarkEnd w:id="120"/>
        </w:tc>
      </w:tr>
    </w:tbl>
    <w:bookmarkEnd w:id="121"/>
    <w:bookmarkStart w:id="126" w:name="cell-fig-rq3-pred-speaker"/>
    <w:tbl>
      <w:tblPr>
        <w:tblStyle w:val="Table"/>
        <w:tblW w:type="pct" w:w="5000"/>
        <w:jc w:val="left"/>
        <w:tblLayout w:type="fixed"/>
        <w:tblLook w:firstRow="0" w:lastRow="0" w:firstColumn="0" w:lastColumn="0" w:noHBand="0" w:noVBand="0" w:val="0000"/>
      </w:tblPr>
      <w:tblGrid>
        <w:gridCol w:w="7920"/>
      </w:tblGrid>
      <w:tr>
        <w:tc>
          <w:tcPr/>
          <w:bookmarkStart w:id="125" w:name="fig-rq3-pred-speaker"/>
          <w:p>
            <w:pPr>
              <w:pStyle w:val="Compact"/>
              <w:jc w:val="center"/>
            </w:pPr>
            <w:r>
              <w:drawing>
                <wp:inline>
                  <wp:extent cx="5334000" cy="3200400"/>
                  <wp:effectExtent b="0" l="0" r="0" t="0"/>
                  <wp:docPr descr="" title="" id="123" name="Picture"/>
                  <a:graphic>
                    <a:graphicData uri="http://schemas.openxmlformats.org/drawingml/2006/picture">
                      <pic:pic>
                        <pic:nvPicPr>
                          <pic:cNvPr descr="index_files/figure-docx/fig-rq3-pred-speaker-1.png" id="124" name="Picture"/>
                          <pic:cNvPicPr>
                            <a:picLocks noChangeArrowheads="1" noChangeAspect="1"/>
                          </pic:cNvPicPr>
                        </pic:nvPicPr>
                        <pic:blipFill>
                          <a:blip r:embed="rId12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 Note: Black dots show manifest entropy scores, orange dots and vertical lines show the point estimates and 95% highest probability density intervals (HPDI) derived from model 6, blue dots and vertical lines show similar information for model 12.</w:t>
            </w:r>
          </w:p>
          <w:bookmarkEnd w:id="125"/>
        </w:tc>
      </w:tr>
    </w:tbl>
    <w:bookmarkEnd w:id="126"/>
    <w:bookmarkStart w:id="131" w:name="cell-fig-rq3-pred-speaker_model06"/>
    <w:tbl>
      <w:tblPr>
        <w:tblStyle w:val="Table"/>
        <w:tblW w:type="pct" w:w="5000"/>
        <w:jc w:val="left"/>
        <w:tblLayout w:type="fixed"/>
        <w:tblLook w:firstRow="0" w:lastRow="0" w:firstColumn="0" w:lastColumn="0" w:noHBand="0" w:noVBand="0" w:val="0000"/>
      </w:tblPr>
      <w:tblGrid>
        <w:gridCol w:w="7920"/>
      </w:tblGrid>
      <w:tr>
        <w:tc>
          <w:tcPr/>
          <w:bookmarkStart w:id="130" w:name="fig-rq3-pred-speaker_model06"/>
          <w:p>
            <w:pPr>
              <w:pStyle w:val="Compact"/>
              <w:jc w:val="center"/>
            </w:pPr>
            <w:r>
              <w:drawing>
                <wp:inline>
                  <wp:extent cx="5334000" cy="3733800"/>
                  <wp:effectExtent b="0" l="0" r="0" t="0"/>
                  <wp:docPr descr="" title="" id="128" name="Picture"/>
                  <a:graphic>
                    <a:graphicData uri="http://schemas.openxmlformats.org/drawingml/2006/picture">
                      <pic:pic>
                        <pic:nvPicPr>
                          <pic:cNvPr descr="index_files/figure-docx/fig-rq3-pred-speaker_model06-1.png" id="129" name="Picture"/>
                          <pic:cNvPicPr>
                            <a:picLocks noChangeArrowheads="1" noChangeAspect="1"/>
                          </pic:cNvPicPr>
                        </pic:nvPicPr>
                        <pic:blipFill>
                          <a:blip r:embed="rId12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 Note: Black bars denote the true data density, orange bars describe the predicted data density</w:t>
            </w:r>
          </w:p>
          <w:bookmarkEnd w:id="130"/>
        </w:tc>
      </w:tr>
    </w:tbl>
    <w:bookmarkEnd w:id="131"/>
    <w:bookmarkStart w:id="136" w:name="cell-fig-rq3-pred-speaker_model12"/>
    <w:tbl>
      <w:tblPr>
        <w:tblStyle w:val="Table"/>
        <w:tblW w:type="pct" w:w="5000"/>
        <w:jc w:val="left"/>
        <w:tblLayout w:type="fixed"/>
        <w:tblLook w:firstRow="0" w:lastRow="0" w:firstColumn="0" w:lastColumn="0" w:noHBand="0" w:noVBand="0" w:val="0000"/>
      </w:tblPr>
      <w:tblGrid>
        <w:gridCol w:w="7920"/>
      </w:tblGrid>
      <w:tr>
        <w:tc>
          <w:tcPr/>
          <w:bookmarkStart w:id="135" w:name="fig-rq3-pred-speaker_model12"/>
          <w:p>
            <w:pPr>
              <w:pStyle w:val="Compact"/>
              <w:jc w:val="center"/>
            </w:pPr>
            <w:r>
              <w:drawing>
                <wp:inline>
                  <wp:extent cx="5334000" cy="3733800"/>
                  <wp:effectExtent b="0" l="0" r="0" t="0"/>
                  <wp:docPr descr="" title="" id="133" name="Picture"/>
                  <a:graphic>
                    <a:graphicData uri="http://schemas.openxmlformats.org/drawingml/2006/picture">
                      <pic:pic>
                        <pic:nvPicPr>
                          <pic:cNvPr descr="index_files/figure-docx/fig-rq3-pred-speaker_model12-1.png" id="134" name="Picture"/>
                          <pic:cNvPicPr>
                            <a:picLocks noChangeArrowheads="1" noChangeAspect="1"/>
                          </pic:cNvPicPr>
                        </pic:nvPicPr>
                        <pic:blipFill>
                          <a:blip r:embed="rId132"/>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 Note: Black bars denote the true data density, blue bars describe the predicted data density</w:t>
            </w:r>
          </w:p>
          <w:bookmarkEnd w:id="135"/>
        </w:tc>
      </w:tr>
    </w:tbl>
    <w:bookmarkEnd w:id="136"/>
    <w:bookmarkStart w:id="141" w:name="cell-fig-rq3-model-outliers"/>
    <w:tbl>
      <w:tblPr>
        <w:tblStyle w:val="Table"/>
        <w:tblW w:type="pct" w:w="5000"/>
        <w:jc w:val="left"/>
        <w:tblLayout w:type="fixed"/>
        <w:tblLook w:firstRow="0" w:lastRow="0" w:firstColumn="0" w:lastColumn="0" w:noHBand="0" w:noVBand="0" w:val="0000"/>
      </w:tblPr>
      <w:tblGrid>
        <w:gridCol w:w="7920"/>
      </w:tblGrid>
      <w:tr>
        <w:tc>
          <w:tcPr/>
          <w:bookmarkStart w:id="140" w:name="fig-rq3-model-outliers"/>
          <w:p>
            <w:pPr>
              <w:pStyle w:val="Compact"/>
              <w:jc w:val="center"/>
            </w:pPr>
            <w:r>
              <w:drawing>
                <wp:inline>
                  <wp:extent cx="5334000" cy="3733800"/>
                  <wp:effectExtent b="0" l="0" r="0" t="0"/>
                  <wp:docPr descr="" title="" id="138" name="Picture"/>
                  <a:graphic>
                    <a:graphicData uri="http://schemas.openxmlformats.org/drawingml/2006/picture">
                      <pic:pic>
                        <pic:nvPicPr>
                          <pic:cNvPr descr="index_files/figure-docx/fig-rq3-model-outliers-1.png" id="139" name="Picture"/>
                          <pic:cNvPicPr>
                            <a:picLocks noChangeArrowheads="1" noChangeAspect="1"/>
                          </pic:cNvPicPr>
                        </pic:nvPicPr>
                        <pic:blipFill>
                          <a:blip r:embed="rId137"/>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 Note: Thin and thick vertical discontinuous line indicate threshold of 0.5 and 0.7, respectively. Number pair texts indicate the observation pair of speaker and sentence index.</w:t>
            </w:r>
          </w:p>
          <w:bookmarkEnd w:id="140"/>
        </w:tc>
      </w:tr>
    </w:tbl>
    <w:bookmarkEnd w:id="141"/>
    <w:p>
      <w:r>
        <w:br w:type="page"/>
      </w:r>
    </w:p>
    <w:bookmarkEnd w:id="142"/>
    <w:bookmarkEnd w:id="143"/>
    <w:bookmarkStart w:id="145"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 while the user-defined functions are available in the</w:t>
      </w:r>
      <w:r>
        <w:t xml:space="preserve"> </w:t>
      </w:r>
      <w:r>
        <w:rPr>
          <w:rStyle w:val="VerbatimChar"/>
        </w:rPr>
        <w:t xml:space="preserve">code</w:t>
      </w:r>
      <w:r>
        <w:t xml:space="preserve"> </w:t>
      </w:r>
      <w:r>
        <w:t xml:space="preserve">folder from this walk-through located at:</w:t>
      </w:r>
      <w:r>
        <w:t xml:space="preserve"> </w:t>
      </w:r>
      <w:hyperlink r:id="rId144">
        <w:r>
          <w:rPr>
            <w:rStyle w:val="Hyperlink"/>
          </w:rPr>
          <w:t xml:space="preserve">https://github.com/jriveraespejo/paper1_manuscript</w:t>
        </w:r>
      </w:hyperlink>
    </w:p>
    <w:p>
      <w:pPr>
        <w:pStyle w:val="BodyText"/>
      </w:pPr>
      <w:r>
        <w:rPr>
          <w:b/>
          <w:bCs/>
        </w:rPr>
        <w:t xml:space="preserve">Code availability:</w:t>
      </w:r>
      <w:r>
        <w:t xml:space="preserve"> </w:t>
      </w:r>
      <w:r>
        <w:t xml:space="preserve">The code is available in the different notebooks of this document located at:</w:t>
      </w:r>
      <w:r>
        <w:t xml:space="preserve"> </w:t>
      </w:r>
      <w:hyperlink r:id="rId45">
        <w:r>
          <w:rPr>
            <w:rStyle w:val="Hyperlink"/>
          </w:rPr>
          <w:t xml:space="preserve">https://jriveraespejo.github.io/paper1_manuscript/</w:t>
        </w:r>
      </w:hyperlink>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145"/>
    <w:bookmarkStart w:id="303" w:name="references"/>
    <w:p>
      <w:pPr>
        <w:pStyle w:val="Heading1"/>
      </w:pPr>
      <w:r>
        <w:t xml:space="preserve">References</w:t>
      </w:r>
    </w:p>
    <w:bookmarkStart w:id="302" w:name="refs"/>
    <w:bookmarkStart w:id="147"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6">
        <w:r>
          <w:rPr>
            <w:rStyle w:val="Hyperlink"/>
          </w:rPr>
          <w:t xml:space="preserve">https://doi.org/10.1177/01466216980222005</w:t>
        </w:r>
      </w:hyperlink>
      <w:r>
        <w:t xml:space="preserve">.</w:t>
      </w:r>
    </w:p>
    <w:bookmarkEnd w:id="147"/>
    <w:bookmarkStart w:id="149"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8">
        <w:r>
          <w:rPr>
            <w:rStyle w:val="Hyperlink"/>
          </w:rPr>
          <w:t xml:space="preserve">https://doi.org/10.1037/a0030642</w:t>
        </w:r>
      </w:hyperlink>
      <w:r>
        <w:t xml:space="preserve">.</w:t>
      </w:r>
    </w:p>
    <w:bookmarkEnd w:id="149"/>
    <w:bookmarkStart w:id="151"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50">
        <w:r>
          <w:rPr>
            <w:rStyle w:val="Hyperlink"/>
          </w:rPr>
          <w:t xml:space="preserve">https://doi.org/10.1214/12-ba728</w:t>
        </w:r>
      </w:hyperlink>
      <w:r>
        <w:t xml:space="preserve">.</w:t>
      </w:r>
    </w:p>
    <w:bookmarkEnd w:id="151"/>
    <w:bookmarkStart w:id="153" w:name="ref-Boonen_et_al_2021"/>
    <w:p>
      <w:pPr>
        <w:pStyle w:val="Bibliography"/>
      </w:pPr>
      <w:r>
        <w:t xml:space="preserve">Boonen, N., H. Kloots, P. Nurzia, and S. Gillis. 2021.</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1–26.</w:t>
      </w:r>
      <w:r>
        <w:t xml:space="preserve"> </w:t>
      </w:r>
      <w:hyperlink r:id="rId152">
        <w:r>
          <w:rPr>
            <w:rStyle w:val="Hyperlink"/>
          </w:rPr>
          <w:t xml:space="preserve">https://doi.org/10.1017/S0305000921000714</w:t>
        </w:r>
      </w:hyperlink>
      <w:r>
        <w:t xml:space="preserve">.</w:t>
      </w:r>
    </w:p>
    <w:bookmarkEnd w:id="153"/>
    <w:bookmarkStart w:id="155"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4">
        <w:r>
          <w:rPr>
            <w:rStyle w:val="Hyperlink"/>
          </w:rPr>
          <w:t xml:space="preserve">https://doi.org/10.1097/AUD.0b013e3182503e47</w:t>
        </w:r>
      </w:hyperlink>
      <w:r>
        <w:t xml:space="preserve">.</w:t>
      </w:r>
    </w:p>
    <w:bookmarkEnd w:id="155"/>
    <w:bookmarkStart w:id="157"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6">
        <w:r>
          <w:rPr>
            <w:rStyle w:val="Hyperlink"/>
          </w:rPr>
          <w:t xml:space="preserve">\url{https://arxiv.org/abs/1212.0870}</w:t>
        </w:r>
      </w:hyperlink>
      <w:r>
        <w:t xml:space="preserve">.</w:t>
      </w:r>
    </w:p>
    <w:bookmarkEnd w:id="157"/>
    <w:bookmarkStart w:id="159"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8">
        <w:r>
          <w:rPr>
            <w:rStyle w:val="Hyperlink"/>
          </w:rPr>
          <w:t xml:space="preserve">https://doi.org/10.1179/1754762813Y.0000000043</w:t>
        </w:r>
      </w:hyperlink>
      <w:r>
        <w:t xml:space="preserve">.</w:t>
      </w:r>
    </w:p>
    <w:bookmarkEnd w:id="159"/>
    <w:bookmarkStart w:id="161"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60">
        <w:r>
          <w:rPr>
            <w:rStyle w:val="Hyperlink"/>
          </w:rPr>
          <w:t xml:space="preserve">https://doi.org/10.1016/j.jcomdis.2012.05.003</w:t>
        </w:r>
      </w:hyperlink>
      <w:r>
        <w:t xml:space="preserve">.</w:t>
      </w:r>
    </w:p>
    <w:bookmarkEnd w:id="161"/>
    <w:bookmarkStart w:id="163"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2">
        <w:r>
          <w:rPr>
            <w:rStyle w:val="Hyperlink"/>
          </w:rPr>
          <w:t xml:space="preserve">https://doi.org/10.3109/02699206.2014.926997</w:t>
        </w:r>
      </w:hyperlink>
      <w:r>
        <w:t xml:space="preserve">.</w:t>
      </w:r>
    </w:p>
    <w:bookmarkEnd w:id="163"/>
    <w:bookmarkStart w:id="165"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4">
        <w:r>
          <w:rPr>
            <w:rStyle w:val="Hyperlink"/>
          </w:rPr>
          <w:t xml:space="preserve">https://doi.org/10.1007/s12564-023-09907-4</w:t>
        </w:r>
      </w:hyperlink>
      <w:r>
        <w:t xml:space="preserve">.</w:t>
      </w:r>
    </w:p>
    <w:bookmarkEnd w:id="165"/>
    <w:bookmarkStart w:id="167"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 https://doi.org/</w:t>
      </w:r>
      <w:hyperlink r:id="rId166">
        <w:r>
          <w:rPr>
            <w:rStyle w:val="Hyperlink"/>
          </w:rPr>
          <w:t xml:space="preserve">http://dx.doi.org/10.2139/ssrn.3689437</w:t>
        </w:r>
      </w:hyperlink>
      <w:r>
        <w:t xml:space="preserve">.</w:t>
      </w:r>
    </w:p>
    <w:bookmarkEnd w:id="167"/>
    <w:bookmarkStart w:id="169"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8">
        <w:r>
          <w:rPr>
            <w:rStyle w:val="Hyperlink"/>
          </w:rPr>
          <w:t xml:space="preserve">https://doi.org/10.1044/jshr.3202.347</w:t>
        </w:r>
      </w:hyperlink>
      <w:r>
        <w:t xml:space="preserve">.</w:t>
      </w:r>
    </w:p>
    <w:bookmarkEnd w:id="169"/>
    <w:bookmarkStart w:id="171"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70">
        <w:r>
          <w:rPr>
            <w:rStyle w:val="Hyperlink"/>
          </w:rPr>
          <w:t xml:space="preserve">https://doi.org/10.1037/h0040957</w:t>
        </w:r>
      </w:hyperlink>
      <w:r>
        <w:t xml:space="preserve">.</w:t>
      </w:r>
    </w:p>
    <w:bookmarkEnd w:id="171"/>
    <w:bookmarkStart w:id="173"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2">
        <w:r>
          <w:rPr>
            <w:rStyle w:val="Hyperlink"/>
          </w:rPr>
          <w:t xml:space="preserve">https://doi.org/10.1371/journal.pone.0254103</w:t>
        </w:r>
      </w:hyperlink>
      <w:r>
        <w:t xml:space="preserve">.</w:t>
      </w:r>
    </w:p>
    <w:bookmarkEnd w:id="173"/>
    <w:bookmarkStart w:id="175"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4">
        <w:r>
          <w:rPr>
            <w:rStyle w:val="Hyperlink"/>
          </w:rPr>
          <w:t xml:space="preserve">https://doi.org/10.1177/25152459221106366</w:t>
        </w:r>
      </w:hyperlink>
      <w:r>
        <w:t xml:space="preserve">.</w:t>
      </w:r>
    </w:p>
    <w:bookmarkEnd w:id="175"/>
    <w:bookmarkStart w:id="177"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6">
        <w:r>
          <w:rPr>
            <w:rStyle w:val="Hyperlink"/>
          </w:rPr>
          <w:t xml:space="preserve">https://doi.org/10.1080/10705511.2014.882686</w:t>
        </w:r>
      </w:hyperlink>
      <w:r>
        <w:t xml:space="preserve">.</w:t>
      </w:r>
    </w:p>
    <w:bookmarkEnd w:id="177"/>
    <w:bookmarkStart w:id="179" w:name="ref-Depaoli_2021"/>
    <w:p>
      <w:pPr>
        <w:pStyle w:val="Bibliography"/>
      </w:pPr>
      <w:r>
        <w:t xml:space="preserve">———. 2021.</w:t>
      </w:r>
      <w:r>
        <w:t xml:space="preserve"> </w:t>
      </w:r>
      <w:hyperlink r:id="rId178">
        <w:r>
          <w:rPr>
            <w:rStyle w:val="Hyperlink"/>
            <w:i/>
            <w:iCs/>
          </w:rPr>
          <w:t xml:space="preserve">Bayesian Structural Equation Modeling</w:t>
        </w:r>
      </w:hyperlink>
      <w:r>
        <w:t xml:space="preserve">. Methodology in the Social Sciences. The Guilford Press.</w:t>
      </w:r>
    </w:p>
    <w:bookmarkEnd w:id="179"/>
    <w:bookmarkStart w:id="181"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80">
        <w:r>
          <w:rPr>
            <w:rStyle w:val="Hyperlink"/>
          </w:rPr>
          <w:t xml:space="preserve">https://doi.org/10.1037/met0000065</w:t>
        </w:r>
      </w:hyperlink>
      <w:r>
        <w:t xml:space="preserve">.</w:t>
      </w:r>
    </w:p>
    <w:bookmarkEnd w:id="181"/>
    <w:bookmarkStart w:id="183"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2">
        <w:r>
          <w:rPr>
            <w:rStyle w:val="Hyperlink"/>
          </w:rPr>
          <w:t xml:space="preserve">https://doi.org/10.1007/s10198-022-01554-7</w:t>
        </w:r>
      </w:hyperlink>
      <w:r>
        <w:t xml:space="preserve">.</w:t>
      </w:r>
    </w:p>
    <w:bookmarkEnd w:id="183"/>
    <w:bookmarkStart w:id="185"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4">
        <w:r>
          <w:rPr>
            <w:rStyle w:val="Hyperlink"/>
          </w:rPr>
          <w:t xml:space="preserve">https://doi.org/10.1044/0161-1461(2010/09-0081)</w:t>
        </w:r>
      </w:hyperlink>
      <w:r>
        <w:t xml:space="preserve">.</w:t>
      </w:r>
    </w:p>
    <w:bookmarkEnd w:id="185"/>
    <w:bookmarkStart w:id="186" w:name="ref-Everitt_et_al_2010"/>
    <w:p>
      <w:pPr>
        <w:pStyle w:val="Bibliography"/>
      </w:pPr>
      <w:r>
        <w:t xml:space="preserve">Everitt, B., and A. Skrondal. 2010.</w:t>
      </w:r>
      <w:r>
        <w:t xml:space="preserve"> </w:t>
      </w:r>
      <w:hyperlink r:id="rId178">
        <w:r>
          <w:rPr>
            <w:rStyle w:val="Hyperlink"/>
            <w:i/>
            <w:iCs/>
          </w:rPr>
          <w:t xml:space="preserve">The Cambridge Dictionary of Statistics</w:t>
        </w:r>
      </w:hyperlink>
      <w:r>
        <w:t xml:space="preserve">. Cambridge University Press.</w:t>
      </w:r>
    </w:p>
    <w:bookmarkEnd w:id="186"/>
    <w:bookmarkStart w:id="187" w:name="ref-Faes_et_al_2021"/>
    <w:p>
      <w:pPr>
        <w:pStyle w:val="Bibliography"/>
      </w:pPr>
      <w:r>
        <w:t xml:space="preserve">Faes, J., S. De Maeyer, and S. Gillis. 2021.</w:t>
      </w:r>
      <w:r>
        <w:t xml:space="preserve"> </w:t>
      </w:r>
      <w:r>
        <w:t xml:space="preserve">“</w:t>
      </w:r>
      <w:hyperlink r:id="rId178">
        <w:r>
          <w:rPr>
            <w:rStyle w:val="Hyperlink"/>
          </w:rPr>
          <w:t xml:space="preserve">Speech Intelligibility of Children with an Auditory Brainstem Implant: A Triple-Case Study</w:t>
        </w:r>
      </w:hyperlink>
      <w:r>
        <w:t xml:space="preserve">,”</w:t>
      </w:r>
      <w:r>
        <w:t xml:space="preserve"> </w:t>
      </w:r>
      <w:r>
        <w:t xml:space="preserve">1–50.</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8">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7">
        <w:r>
          <w:rPr>
            <w:rStyle w:val="Hyperlink"/>
          </w:rPr>
          <w:t xml:space="preserve">https://doi.org/10.1201/9781351062268</w:t>
        </w:r>
      </w:hyperlink>
      <w:r>
        <w:t xml:space="preserve">.</w:t>
      </w:r>
    </w:p>
    <w:bookmarkEnd w:id="208"/>
    <w:bookmarkStart w:id="209" w:name="ref-Jeffreys_1998"/>
    <w:p>
      <w:pPr>
        <w:pStyle w:val="Bibliography"/>
      </w:pPr>
      <w:r>
        <w:t xml:space="preserve">Jeffreys, H. 1998.</w:t>
      </w:r>
      <w:r>
        <w:t xml:space="preserve"> </w:t>
      </w:r>
      <w:hyperlink r:id="rId178">
        <w:r>
          <w:rPr>
            <w:rStyle w:val="Hyperlink"/>
            <w:i/>
            <w:iCs/>
          </w:rPr>
          <w:t xml:space="preserve">Theory of Probability</w:t>
        </w:r>
      </w:hyperlink>
      <w:r>
        <w:t xml:space="preserve">. Oxford University Press.</w:t>
      </w:r>
    </w:p>
    <w:bookmarkEnd w:id="209"/>
    <w:bookmarkStart w:id="211"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0">
        <w:r>
          <w:rPr>
            <w:rStyle w:val="Hyperlink"/>
          </w:rPr>
          <w:t xml:space="preserve">https://doi.org/10.1016/S0147-1767(00)00011-0</w:t>
        </w:r>
      </w:hyperlink>
      <w:r>
        <w:t xml:space="preserve">.</w:t>
      </w:r>
    </w:p>
    <w:bookmarkEnd w:id="211"/>
    <w:bookmarkStart w:id="213"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2">
        <w:r>
          <w:rPr>
            <w:rStyle w:val="Hyperlink"/>
          </w:rPr>
          <w:t xml:space="preserve">https://doi.org/10.1007/s40615-023-01809-w</w:t>
        </w:r>
      </w:hyperlink>
      <w:r>
        <w:t xml:space="preserve">.</w:t>
      </w:r>
    </w:p>
    <w:bookmarkEnd w:id="213"/>
    <w:bookmarkStart w:id="215" w:name="ref-Kent_et_al_1994"/>
    <w:p>
      <w:pPr>
        <w:pStyle w:val="Bibliography"/>
      </w:pPr>
      <w:r>
        <w:t xml:space="preserve">Kent, R. D., G. Miolo, and S. Bloedel. 19943.</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4">
        <w:r>
          <w:rPr>
            <w:rStyle w:val="Hyperlink"/>
          </w:rPr>
          <w:t xml:space="preserve">https://doi.org/10.1044/1058-0360.0302.81</w:t>
        </w:r>
      </w:hyperlink>
      <w:r>
        <w:t xml:space="preserve">.</w:t>
      </w:r>
    </w:p>
    <w:bookmarkEnd w:id="215"/>
    <w:bookmarkStart w:id="217"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6">
        <w:r>
          <w:rPr>
            <w:rStyle w:val="Hyperlink"/>
          </w:rPr>
          <w:t xml:space="preserve">https://doi.org/10.1044/jshd.5404.482</w:t>
        </w:r>
      </w:hyperlink>
      <w:r>
        <w:t xml:space="preserve">.</w:t>
      </w:r>
    </w:p>
    <w:bookmarkEnd w:id="217"/>
    <w:bookmarkStart w:id="219"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18">
        <w:r>
          <w:rPr>
            <w:rStyle w:val="Hyperlink"/>
          </w:rPr>
          <w:t xml:space="preserve">https://doi.org/10.3109/02699206.2010.490003</w:t>
        </w:r>
      </w:hyperlink>
      <w:r>
        <w:t xml:space="preserve">.</w:t>
      </w:r>
    </w:p>
    <w:bookmarkEnd w:id="219"/>
    <w:bookmarkStart w:id="221"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r>
        <w:t xml:space="preserve">In</w:t>
      </w:r>
      <w:r>
        <w:t xml:space="preserve"> </w:t>
      </w:r>
      <w:r>
        <w:rPr>
          <w:i/>
          <w:iCs/>
        </w:rPr>
        <w:t xml:space="preserve">Annual Meeting of the American Educational Research Association</w:t>
      </w:r>
      <w:r>
        <w:t xml:space="preserve">. American Educational Research Association.</w:t>
      </w:r>
      <w:r>
        <w:t xml:space="preserve"> </w:t>
      </w:r>
      <w:hyperlink r:id="rId220">
        <w:r>
          <w:rPr>
            <w:rStyle w:val="Hyperlink"/>
          </w:rPr>
          <w:t xml:space="preserve">\url{https://eric.ed.gov/?id=ED430012}</w:t>
        </w:r>
      </w:hyperlink>
      <w:r>
        <w:t xml:space="preserve">.</w:t>
      </w:r>
    </w:p>
    <w:bookmarkEnd w:id="221"/>
    <w:bookmarkStart w:id="223"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2">
        <w:r>
          <w:rPr>
            <w:rStyle w:val="Hyperlink"/>
          </w:rPr>
          <w:t xml:space="preserve">\url{http://www.jstor.org/stable/2236703}</w:t>
        </w:r>
      </w:hyperlink>
      <w:r>
        <w:t xml:space="preserve">.</w:t>
      </w:r>
    </w:p>
    <w:bookmarkEnd w:id="223"/>
    <w:bookmarkStart w:id="225"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4">
        <w:r>
          <w:rPr>
            <w:rStyle w:val="Hyperlink"/>
          </w:rPr>
          <w:t xml:space="preserve">https://doi.org/10.1111/1460-6984.12067</w:t>
        </w:r>
      </w:hyperlink>
      <w:r>
        <w:t xml:space="preserve">.</w:t>
      </w:r>
    </w:p>
    <w:bookmarkEnd w:id="225"/>
    <w:bookmarkStart w:id="227"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6">
        <w:r>
          <w:rPr>
            <w:rStyle w:val="Hyperlink"/>
          </w:rPr>
          <w:t xml:space="preserve">https://doi.org/10.1002/sim.2112</w:t>
        </w:r>
      </w:hyperlink>
      <w:r>
        <w:t xml:space="preserve">.</w:t>
      </w:r>
    </w:p>
    <w:bookmarkEnd w:id="227"/>
    <w:bookmarkStart w:id="229"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28">
        <w:r>
          <w:rPr>
            <w:rStyle w:val="Hyperlink"/>
          </w:rPr>
          <w:t xml:space="preserve">\url{https://www.jirka.org/ra/html/frontmatter-1.html}</w:t>
        </w:r>
      </w:hyperlink>
      <w:r>
        <w:t xml:space="preserve">.</w:t>
      </w:r>
    </w:p>
    <w:bookmarkEnd w:id="229"/>
    <w:bookmarkStart w:id="23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0"/>
    <w:bookmarkStart w:id="232"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1">
        <w:r>
          <w:rPr>
            <w:rStyle w:val="Hyperlink"/>
          </w:rPr>
          <w:t xml:space="preserve">https://doi.org/10.1007/s12671-023-02165-w</w:t>
        </w:r>
      </w:hyperlink>
      <w:r>
        <w:t xml:space="preserve">.</w:t>
      </w:r>
    </w:p>
    <w:bookmarkEnd w:id="232"/>
    <w:bookmarkStart w:id="234"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3">
        <w:r>
          <w:rPr>
            <w:rStyle w:val="Hyperlink"/>
          </w:rPr>
          <w:t xml:space="preserve">https://doi.org/10.21415/3mhn-0z89</w:t>
        </w:r>
      </w:hyperlink>
      <w:r>
        <w:t xml:space="preserve">.</w:t>
      </w:r>
    </w:p>
    <w:bookmarkEnd w:id="234"/>
    <w:bookmarkStart w:id="236"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5">
        <w:r>
          <w:rPr>
            <w:rStyle w:val="Hyperlink"/>
          </w:rPr>
          <w:t xml:space="preserve">https://doi.org/10.1007/BF02291552</w:t>
        </w:r>
      </w:hyperlink>
      <w:r>
        <w:t xml:space="preserve">.</w:t>
      </w:r>
    </w:p>
    <w:bookmarkEnd w:id="236"/>
    <w:bookmarkStart w:id="238"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7">
        <w:r>
          <w:rPr>
            <w:rStyle w:val="Hyperlink"/>
          </w:rPr>
          <w:t xml:space="preserve">\url{https://books.google.be/books?id=Asi5KQAACAAJ}</w:t>
        </w:r>
      </w:hyperlink>
      <w:r>
        <w:t xml:space="preserve">.</w:t>
      </w:r>
    </w:p>
    <w:bookmarkEnd w:id="238"/>
    <w:bookmarkStart w:id="239" w:name="ref-McElreath_2020"/>
    <w:p>
      <w:pPr>
        <w:pStyle w:val="Bibliography"/>
      </w:pPr>
      <w:r>
        <w:t xml:space="preserve">McElreath, R. 2020.</w:t>
      </w:r>
      <w:r>
        <w:t xml:space="preserve"> </w:t>
      </w:r>
      <w:hyperlink r:id="rId178">
        <w:r>
          <w:rPr>
            <w:rStyle w:val="Hyperlink"/>
            <w:i/>
            <w:iCs/>
          </w:rPr>
          <w:t xml:space="preserve">Statistical Rethinking: A Bayesian Course with Examples in r and STAN</w:t>
        </w:r>
      </w:hyperlink>
      <w:r>
        <w:t xml:space="preserve">. Chapman; Hall/CRC.</w:t>
      </w:r>
    </w:p>
    <w:bookmarkEnd w:id="239"/>
    <w:bookmarkStart w:id="241"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0">
        <w:r>
          <w:rPr>
            <w:rStyle w:val="Hyperlink"/>
          </w:rPr>
          <w:t xml:space="preserve">https://doi.org/10.1044/2014\_JSLHR-H-14-0190</w:t>
        </w:r>
      </w:hyperlink>
      <w:r>
        <w:t xml:space="preserve">.</w:t>
      </w:r>
    </w:p>
    <w:bookmarkEnd w:id="241"/>
    <w:bookmarkStart w:id="243"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2">
        <w:r>
          <w:rPr>
            <w:rStyle w:val="Hyperlink"/>
          </w:rPr>
          <w:t xml:space="preserve">https://doi.org/10.1017/S0272263198002022</w:t>
        </w:r>
      </w:hyperlink>
      <w:r>
        <w:t xml:space="preserve">.</w:t>
      </w:r>
    </w:p>
    <w:bookmarkEnd w:id="243"/>
    <w:bookmarkStart w:id="245"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4">
        <w:r>
          <w:rPr>
            <w:rStyle w:val="Hyperlink"/>
          </w:rPr>
          <w:t xml:space="preserve">https://doi.org/10.1111/1467-9922.00038</w:t>
        </w:r>
      </w:hyperlink>
      <w:r>
        <w:t xml:space="preserve">.</w:t>
      </w:r>
    </w:p>
    <w:bookmarkEnd w:id="245"/>
    <w:bookmarkStart w:id="247"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6">
        <w:r>
          <w:rPr>
            <w:rStyle w:val="Hyperlink"/>
          </w:rPr>
          <w:t xml:space="preserve">https://doi.org/10.1037/10409-010</w:t>
        </w:r>
      </w:hyperlink>
      <w:r>
        <w:t xml:space="preserve">.</w:t>
      </w:r>
    </w:p>
    <w:bookmarkEnd w:id="247"/>
    <w:bookmarkStart w:id="249"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48">
        <w:r>
          <w:rPr>
            <w:rStyle w:val="Hyperlink"/>
          </w:rPr>
          <w:t xml:space="preserve">https://doi.org/10.1001/jama.2010.451</w:t>
        </w:r>
      </w:hyperlink>
      <w:r>
        <w:t xml:space="preserve">.</w:t>
      </w:r>
    </w:p>
    <w:bookmarkEnd w:id="249"/>
    <w:bookmarkStart w:id="251"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0">
        <w:r>
          <w:rPr>
            <w:rStyle w:val="Hyperlink"/>
          </w:rPr>
          <w:t xml:space="preserve">https://doi.org/0.1080/10904018.2015.1056877</w:t>
        </w:r>
      </w:hyperlink>
      <w:r>
        <w:t xml:space="preserve">.</w:t>
      </w:r>
    </w:p>
    <w:bookmarkEnd w:id="251"/>
    <w:bookmarkStart w:id="253"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2">
        <w:r>
          <w:rPr>
            <w:rStyle w:val="Hyperlink"/>
          </w:rPr>
          <w:t xml:space="preserve">https://doi.org/10.1111/rssa.12551</w:t>
        </w:r>
      </w:hyperlink>
      <w:r>
        <w:t xml:space="preserve">.</w:t>
      </w:r>
    </w:p>
    <w:bookmarkEnd w:id="253"/>
    <w:bookmarkStart w:id="255" w:name="ref-Pollitt_2012a"/>
    <w:p>
      <w:pPr>
        <w:pStyle w:val="Bibliography"/>
      </w:pPr>
      <w:r>
        <w:t xml:space="preserve">Pollitt, A. 2012.</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4">
        <w:r>
          <w:rPr>
            <w:rStyle w:val="Hyperlink"/>
          </w:rPr>
          <w:t xml:space="preserve">https://doi.org/10.1007/s10798-011-9189-x</w:t>
        </w:r>
      </w:hyperlink>
      <w:r>
        <w:t xml:space="preserve">.</w:t>
      </w:r>
    </w:p>
    <w:bookmarkEnd w:id="255"/>
    <w:bookmarkStart w:id="257"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56">
        <w:r>
          <w:rPr>
            <w:rStyle w:val="Hyperlink"/>
          </w:rPr>
          <w:t xml:space="preserve">\url{http://www.R-project.org/}</w:t>
        </w:r>
      </w:hyperlink>
      <w:r>
        <w:t xml:space="preserve">.</w:t>
      </w:r>
    </w:p>
    <w:bookmarkEnd w:id="257"/>
    <w:bookmarkStart w:id="259"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58">
        <w:r>
          <w:rPr>
            <w:rStyle w:val="Hyperlink"/>
          </w:rPr>
          <w:t xml:space="preserve">https://www.doi.org/10.1007/BF02295939</w:t>
        </w:r>
      </w:hyperlink>
      <w:r>
        <w:t xml:space="preserve">.</w:t>
      </w:r>
    </w:p>
    <w:bookmarkEnd w:id="259"/>
    <w:bookmarkStart w:id="261"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0">
        <w:r>
          <w:rPr>
            <w:rStyle w:val="Hyperlink"/>
          </w:rPr>
          <w:t xml:space="preserve">\url{http://www.biostat.jhsph.edu/~fdominic/teaching/bio656/software-gllamm.manual.pdf}</w:t>
        </w:r>
      </w:hyperlink>
      <w:r>
        <w:t xml:space="preserve">.</w:t>
      </w:r>
    </w:p>
    <w:bookmarkEnd w:id="261"/>
    <w:bookmarkStart w:id="263"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2">
        <w:r>
          <w:rPr>
            <w:rStyle w:val="Hyperlink"/>
          </w:rPr>
          <w:t xml:space="preserve">https://www.doi.org/10.1016/j.jeconom.2004.08.017</w:t>
        </w:r>
      </w:hyperlink>
      <w:r>
        <w:t xml:space="preserve">.</w:t>
      </w:r>
    </w:p>
    <w:bookmarkEnd w:id="263"/>
    <w:bookmarkStart w:id="265" w:name="ref-Seaman_et_al_2011"/>
    <w:p>
      <w:pPr>
        <w:pStyle w:val="Bibliography"/>
      </w:pPr>
      <w:r>
        <w:t xml:space="preserve">Seaman, Seaman jr., J.,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4">
        <w:r>
          <w:rPr>
            <w:rStyle w:val="Hyperlink"/>
          </w:rPr>
          <w:t xml:space="preserve">https://doi.org/10.1080/00031305.2012.695938</w:t>
        </w:r>
      </w:hyperlink>
      <w:r>
        <w:t xml:space="preserve">.</w:t>
      </w:r>
    </w:p>
    <w:bookmarkEnd w:id="265"/>
    <w:bookmarkStart w:id="267"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66">
        <w:r>
          <w:rPr>
            <w:rStyle w:val="Hyperlink"/>
          </w:rPr>
          <w:t xml:space="preserve">https://doi.org/10.1002/j.1538-7305.1948.tb01338.x</w:t>
        </w:r>
      </w:hyperlink>
      <w:r>
        <w:t xml:space="preserve">.</w:t>
      </w:r>
    </w:p>
    <w:bookmarkEnd w:id="267"/>
    <w:bookmarkStart w:id="269"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68">
        <w:r>
          <w:rPr>
            <w:rStyle w:val="Hyperlink"/>
          </w:rPr>
          <w:t xml:space="preserve">https://doi.org/10.2307/23042796</w:t>
        </w:r>
      </w:hyperlink>
      <w:r>
        <w:t xml:space="preserve">.</w:t>
      </w:r>
    </w:p>
    <w:bookmarkEnd w:id="269"/>
    <w:bookmarkStart w:id="271"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0">
        <w:r>
          <w:rPr>
            <w:rStyle w:val="Hyperlink"/>
          </w:rPr>
          <w:t xml:space="preserve">https://doi.org/10.1016/j.csda.2009.08.017</w:t>
        </w:r>
      </w:hyperlink>
      <w:r>
        <w:t xml:space="preserve">.</w:t>
      </w:r>
    </w:p>
    <w:bookmarkEnd w:id="271"/>
    <w:bookmarkStart w:id="272" w:name="ref-Skrondal_et_al_2004a"/>
    <w:p>
      <w:pPr>
        <w:pStyle w:val="Bibliography"/>
      </w:pPr>
      <w:r>
        <w:t xml:space="preserve">Skrondal, A., and S. Rabe-Hesketh. 2004.</w:t>
      </w:r>
      <w:r>
        <w:t xml:space="preserve"> </w:t>
      </w:r>
      <w:hyperlink r:id="rId178">
        <w:r>
          <w:rPr>
            <w:rStyle w:val="Hyperlink"/>
            <w:i/>
            <w:iCs/>
          </w:rPr>
          <w:t xml:space="preserve">Generalized Latent Variable Modeling: Multilevel, Longitudinal, and Structural Equation Models</w:t>
        </w:r>
      </w:hyperlink>
      <w:r>
        <w:t xml:space="preserve">. Interdisciplinary Statistics. Chapman &amp; Hall/CRC Press.</w:t>
      </w:r>
    </w:p>
    <w:bookmarkEnd w:id="272"/>
    <w:bookmarkStart w:id="274"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3">
        <w:r>
          <w:rPr>
            <w:rStyle w:val="Hyperlink"/>
          </w:rPr>
          <w:t xml:space="preserve">https://doi.org/10.1111/1467-9868.00353</w:t>
        </w:r>
      </w:hyperlink>
      <w:r>
        <w:t xml:space="preserve">.</w:t>
      </w:r>
    </w:p>
    <w:bookmarkEnd w:id="274"/>
    <w:bookmarkStart w:id="276"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5">
        <w:r>
          <w:rPr>
            <w:rStyle w:val="Hyperlink"/>
          </w:rPr>
          <w:t xml:space="preserve">\url{https://mc-stan.org}</w:t>
        </w:r>
      </w:hyperlink>
      <w:r>
        <w:t xml:space="preserve">.</w:t>
      </w:r>
    </w:p>
    <w:bookmarkEnd w:id="276"/>
    <w:bookmarkStart w:id="278"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77">
        <w:r>
          <w:rPr>
            <w:rStyle w:val="Hyperlink"/>
          </w:rPr>
          <w:t xml:space="preserve">https://doi.org/10.1186/s13063-022-06967-6</w:t>
        </w:r>
      </w:hyperlink>
      <w:r>
        <w:t xml:space="preserve">.</w:t>
      </w:r>
    </w:p>
    <w:bookmarkEnd w:id="278"/>
    <w:bookmarkStart w:id="28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79">
        <w:r>
          <w:rPr>
            <w:rStyle w:val="Hyperlink"/>
          </w:rPr>
          <w:t xml:space="preserve">https://doi.org/10.1037/h0070288</w:t>
        </w:r>
      </w:hyperlink>
      <w:r>
        <w:t xml:space="preserve">.</w:t>
      </w:r>
    </w:p>
    <w:bookmarkEnd w:id="280"/>
    <w:bookmarkStart w:id="282"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1">
        <w:r>
          <w:rPr>
            <w:rStyle w:val="Hyperlink"/>
          </w:rPr>
          <w:t xml:space="preserve">https://doi.org/10.30931/jetas.321165</w:t>
        </w:r>
      </w:hyperlink>
      <w:r>
        <w:t xml:space="preserve">.</w:t>
      </w:r>
    </w:p>
    <w:bookmarkEnd w:id="282"/>
    <w:bookmarkStart w:id="28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3"/>
    <w:bookmarkStart w:id="285"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4">
        <w:r>
          <w:rPr>
            <w:rStyle w:val="Hyperlink"/>
          </w:rPr>
          <w:t xml:space="preserve">https://doi.org/10.3366/E1753854809000305</w:t>
        </w:r>
      </w:hyperlink>
      <w:r>
        <w:t xml:space="preserve">.</w:t>
      </w:r>
    </w:p>
    <w:bookmarkEnd w:id="285"/>
    <w:bookmarkStart w:id="287"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86">
        <w:r>
          <w:rPr>
            <w:rStyle w:val="Hyperlink"/>
          </w:rPr>
          <w:t xml:space="preserve">https://doi.org/10.1093/applin/6.1.71</w:t>
        </w:r>
      </w:hyperlink>
      <w:r>
        <w:t xml:space="preserve">.</w:t>
      </w:r>
    </w:p>
    <w:bookmarkEnd w:id="287"/>
    <w:bookmarkStart w:id="289"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88">
        <w:r>
          <w:rPr>
            <w:rStyle w:val="Hyperlink"/>
          </w:rPr>
          <w:t xml:space="preserve">https://doi.org/10.1007/s11222-016-9696-4</w:t>
        </w:r>
      </w:hyperlink>
      <w:r>
        <w:t xml:space="preserve">.</w:t>
      </w:r>
    </w:p>
    <w:bookmarkEnd w:id="289"/>
    <w:bookmarkStart w:id="291"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0">
        <w:r>
          <w:rPr>
            <w:rStyle w:val="Hyperlink"/>
          </w:rPr>
          <w:t xml:space="preserve">https://doi.org/10.1214/20-BA1221</w:t>
        </w:r>
      </w:hyperlink>
      <w:r>
        <w:t xml:space="preserve">.</w:t>
      </w:r>
    </w:p>
    <w:bookmarkEnd w:id="291"/>
    <w:bookmarkStart w:id="29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2">
        <w:r>
          <w:rPr>
            <w:rStyle w:val="Hyperlink"/>
          </w:rPr>
          <w:t xml:space="preserve">https://doi.org/10.1080/0969594X.2019.1602027</w:t>
        </w:r>
      </w:hyperlink>
      <w:r>
        <w:t xml:space="preserve">.</w:t>
      </w:r>
    </w:p>
    <w:bookmarkEnd w:id="293"/>
    <w:bookmarkStart w:id="295"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4">
        <w:r>
          <w:rPr>
            <w:rStyle w:val="Hyperlink"/>
          </w:rPr>
          <w:t xml:space="preserve">https://doi.org/10.3102/1076998610396895</w:t>
        </w:r>
      </w:hyperlink>
      <w:r>
        <w:t xml:space="preserve">.</w:t>
      </w:r>
    </w:p>
    <w:bookmarkEnd w:id="295"/>
    <w:bookmarkStart w:id="297"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296">
        <w:r>
          <w:rPr>
            <w:rStyle w:val="Hyperlink"/>
          </w:rPr>
          <w:t xml:space="preserve">\url{https://www.jmlr.org/papers/volume14/watanabe13a/watanabe13a.pdf}</w:t>
        </w:r>
      </w:hyperlink>
      <w:r>
        <w:t xml:space="preserve">.</w:t>
      </w:r>
    </w:p>
    <w:bookmarkEnd w:id="297"/>
    <w:bookmarkStart w:id="299"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298">
        <w:r>
          <w:rPr>
            <w:rStyle w:val="Hyperlink"/>
          </w:rPr>
          <w:t xml:space="preserve">https://doi.org/10.1080/02699200410001663344</w:t>
        </w:r>
      </w:hyperlink>
      <w:r>
        <w:t xml:space="preserve">.</w:t>
      </w:r>
    </w:p>
    <w:bookmarkEnd w:id="299"/>
    <w:bookmarkStart w:id="301"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0">
        <w:r>
          <w:rPr>
            <w:rStyle w:val="Hyperlink"/>
          </w:rPr>
          <w:t xml:space="preserve">https://doi.org/10.1038/s41440-023-01322-x</w:t>
        </w:r>
      </w:hyperlink>
      <w:r>
        <w:t xml:space="preserve">.</w:t>
      </w:r>
    </w:p>
    <w:bookmarkEnd w:id="301"/>
    <w:bookmarkEnd w:id="302"/>
    <w:bookmarkEnd w:id="3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7" Target="media/rId117.png"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7" Target="media/rId137.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image" Id="rId132" Target="media/rId132.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8" Target="" TargetMode="External" /><Relationship Type="http://schemas.openxmlformats.org/officeDocument/2006/relationships/hyperlink" Id="rId256" Target="\url{http://www.R-project.org/}" TargetMode="External" /><Relationship Type="http://schemas.openxmlformats.org/officeDocument/2006/relationships/hyperlink" Id="rId260" Target="\url{http://www.biostat.jhsph.edu/~fdominic/teaching/bio656/software-gllamm.manual.pdf}" TargetMode="External" /><Relationship Type="http://schemas.openxmlformats.org/officeDocument/2006/relationships/hyperlink" Id="rId222" Target="\url{http://www.jstor.org/stable/2236703}" TargetMode="External" /><Relationship Type="http://schemas.openxmlformats.org/officeDocument/2006/relationships/hyperlink" Id="rId156" Target="\url{https://arxiv.org/abs/1212.0870}" TargetMode="External" /><Relationship Type="http://schemas.openxmlformats.org/officeDocument/2006/relationships/hyperlink" Id="rId237" Target="\url{https://books.google.be/books?id=Asi5KQAACAAJ}" TargetMode="External" /><Relationship Type="http://schemas.openxmlformats.org/officeDocument/2006/relationships/hyperlink" Id="rId220" Target="\url{https://eric.ed.gov/?id=ED430012}" TargetMode="External" /><Relationship Type="http://schemas.openxmlformats.org/officeDocument/2006/relationships/hyperlink" Id="rId275" Target="\url{https://mc-stan.org}" TargetMode="External" /><Relationship Type="http://schemas.openxmlformats.org/officeDocument/2006/relationships/hyperlink" Id="rId228" Target="\url{https://www.jirka.org/ra/html/frontmatter-1.html}" TargetMode="External" /><Relationship Type="http://schemas.openxmlformats.org/officeDocument/2006/relationships/hyperlink" Id="rId296" Target="\url{https://www.jmlr.org/papers/volume14/watanabe13a/watanabe13a.pdf}" TargetMode="External" /><Relationship Type="http://schemas.openxmlformats.org/officeDocument/2006/relationships/hyperlink" Id="rId166" Target="http://dx.doi.org/10.2139/ssrn.3689437" TargetMode="External" /><Relationship Type="http://schemas.openxmlformats.org/officeDocument/2006/relationships/hyperlink" Id="rId250" Target="https://doi.org/0.1080/10904018.2015.1056877" TargetMode="External" /><Relationship Type="http://schemas.openxmlformats.org/officeDocument/2006/relationships/hyperlink" Id="rId248" Target="https://doi.org/10.1001/jama.2010.451" TargetMode="External" /><Relationship Type="http://schemas.openxmlformats.org/officeDocument/2006/relationships/hyperlink" Id="rId266" Target="https://doi.org/10.1002/j.1538-7305.1948.tb01338.x" TargetMode="External" /><Relationship Type="http://schemas.openxmlformats.org/officeDocument/2006/relationships/hyperlink" Id="rId226" Target="https://doi.org/10.1002/sim.2112" TargetMode="External" /><Relationship Type="http://schemas.openxmlformats.org/officeDocument/2006/relationships/hyperlink" Id="rId235"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2" Target="https://doi.org/10.1007/s10198-022-01554-7" TargetMode="External" /><Relationship Type="http://schemas.openxmlformats.org/officeDocument/2006/relationships/hyperlink" Id="rId254" Target="https://doi.org/10.1007/s10798-011-9189-x" TargetMode="External" /><Relationship Type="http://schemas.openxmlformats.org/officeDocument/2006/relationships/hyperlink" Id="rId288" Target="https://doi.org/10.1007/s11222-016-9696-4" TargetMode="External" /><Relationship Type="http://schemas.openxmlformats.org/officeDocument/2006/relationships/hyperlink" Id="rId164" Target="https://doi.org/10.1007/s12564-023-09907-4" TargetMode="External" /><Relationship Type="http://schemas.openxmlformats.org/officeDocument/2006/relationships/hyperlink" Id="rId231" Target="https://doi.org/10.1007/s12671-023-02165-w" TargetMode="External" /><Relationship Type="http://schemas.openxmlformats.org/officeDocument/2006/relationships/hyperlink" Id="rId212" Target="https://doi.org/10.1007/s40615-023-01809-w" TargetMode="External" /><Relationship Type="http://schemas.openxmlformats.org/officeDocument/2006/relationships/hyperlink" Id="rId210" Target="https://doi.org/10.1016/S0147-1767(00)00011-0" TargetMode="External" /><Relationship Type="http://schemas.openxmlformats.org/officeDocument/2006/relationships/hyperlink" Id="rId270"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60" Target="https://doi.org/10.1016/j.jcomdis.2012.05.003" TargetMode="External" /><Relationship Type="http://schemas.openxmlformats.org/officeDocument/2006/relationships/hyperlink" Id="rId242" Target="https://doi.org/10.1017/S0272263198002022" TargetMode="External" /><Relationship Type="http://schemas.openxmlformats.org/officeDocument/2006/relationships/hyperlink" Id="rId152" Target="https://doi.org/10.1017/S0305000921000714" TargetMode="External" /><Relationship Type="http://schemas.openxmlformats.org/officeDocument/2006/relationships/hyperlink" Id="rId246" Target="https://doi.org/10.1037/10409-010" TargetMode="External" /><Relationship Type="http://schemas.openxmlformats.org/officeDocument/2006/relationships/hyperlink" Id="rId148" Target="https://doi.org/10.1037/a0030642" TargetMode="External" /><Relationship Type="http://schemas.openxmlformats.org/officeDocument/2006/relationships/hyperlink" Id="rId170" Target="https://doi.org/10.1037/h0040957" TargetMode="External" /><Relationship Type="http://schemas.openxmlformats.org/officeDocument/2006/relationships/hyperlink" Id="rId279" Target="https://doi.org/10.1037/h0070288" TargetMode="External" /><Relationship Type="http://schemas.openxmlformats.org/officeDocument/2006/relationships/hyperlink" Id="rId180" Target="https://doi.org/10.1037/met0000065" TargetMode="External" /><Relationship Type="http://schemas.openxmlformats.org/officeDocument/2006/relationships/hyperlink" Id="rId300" Target="https://doi.org/10.1038/s41440-023-01322-x" TargetMode="External" /><Relationship Type="http://schemas.openxmlformats.org/officeDocument/2006/relationships/hyperlink" Id="rId184" Target="https://doi.org/10.1044/0161-1461(2010/09-0081)" TargetMode="External" /><Relationship Type="http://schemas.openxmlformats.org/officeDocument/2006/relationships/hyperlink" Id="rId214" Target="https://doi.org/10.1044/1058-0360.0302.81" TargetMode="External" /><Relationship Type="http://schemas.openxmlformats.org/officeDocument/2006/relationships/hyperlink" Id="rId240" Target="https://doi.org/10.1044/2014\_JSLHR-H-14-0190" TargetMode="External" /><Relationship Type="http://schemas.openxmlformats.org/officeDocument/2006/relationships/hyperlink" Id="rId216" Target="https://doi.org/10.1044/jshd.5404.482" TargetMode="External" /><Relationship Type="http://schemas.openxmlformats.org/officeDocument/2006/relationships/hyperlink" Id="rId168" Target="https://doi.org/10.1044/jshr.3202.347" TargetMode="External" /><Relationship Type="http://schemas.openxmlformats.org/officeDocument/2006/relationships/hyperlink" Id="rId264" Target="https://doi.org/10.1080/00031305.2012.695938"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298" Target="https://doi.org/10.1080/02699200410001663344" TargetMode="External" /><Relationship Type="http://schemas.openxmlformats.org/officeDocument/2006/relationships/hyperlink" Id="rId292" Target="https://doi.org/10.1080/0969594X.2019.1602027" TargetMode="External" /><Relationship Type="http://schemas.openxmlformats.org/officeDocument/2006/relationships/hyperlink" Id="rId176" Target="https://doi.org/10.1080/10705511.2014.882686" TargetMode="External" /><Relationship Type="http://schemas.openxmlformats.org/officeDocument/2006/relationships/hyperlink" Id="rId286"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4" Target="https://doi.org/10.1097/AUD.0b013e3182503e47" TargetMode="External" /><Relationship Type="http://schemas.openxmlformats.org/officeDocument/2006/relationships/hyperlink" Id="rId224" Target="https://doi.org/10.1111/1460-6984.12067" TargetMode="External" /><Relationship Type="http://schemas.openxmlformats.org/officeDocument/2006/relationships/hyperlink" Id="rId273" Target="https://doi.org/10.1111/1467-9868.00353" TargetMode="External" /><Relationship Type="http://schemas.openxmlformats.org/officeDocument/2006/relationships/hyperlink" Id="rId244" Target="https://doi.org/10.1111/1467-9922.00038" TargetMode="External" /><Relationship Type="http://schemas.openxmlformats.org/officeDocument/2006/relationships/hyperlink" Id="rId252" Target="https://doi.org/10.1111/rssa.12551" TargetMode="External" /><Relationship Type="http://schemas.openxmlformats.org/officeDocument/2006/relationships/hyperlink" Id="rId146"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4" Target="https://doi.org/10.1177/25152459221106366" TargetMode="External" /><Relationship Type="http://schemas.openxmlformats.org/officeDocument/2006/relationships/hyperlink" Id="rId158" Target="https://doi.org/10.1179/1754762813Y.0000000043" TargetMode="External" /><Relationship Type="http://schemas.openxmlformats.org/officeDocument/2006/relationships/hyperlink" Id="rId277" Target="https://doi.org/10.1186/s13063-022-06967-6" TargetMode="External" /><Relationship Type="http://schemas.openxmlformats.org/officeDocument/2006/relationships/hyperlink" Id="rId207" Target="https://doi.org/10.1201/9781351062268" TargetMode="External" /><Relationship Type="http://schemas.openxmlformats.org/officeDocument/2006/relationships/hyperlink" Id="rId150"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0" Target="https://doi.org/10.1214/20-BA1221" TargetMode="External" /><Relationship Type="http://schemas.openxmlformats.org/officeDocument/2006/relationships/hyperlink" Id="rId172"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233" Target="https://doi.org/10.21415/3mhn-0z89" TargetMode="External" /><Relationship Type="http://schemas.openxmlformats.org/officeDocument/2006/relationships/hyperlink" Id="rId268" Target="https://doi.org/10.2307/23042796" TargetMode="External" /><Relationship Type="http://schemas.openxmlformats.org/officeDocument/2006/relationships/hyperlink" Id="rId281" Target="https://doi.org/10.30931/jetas.321165" TargetMode="External" /><Relationship Type="http://schemas.openxmlformats.org/officeDocument/2006/relationships/hyperlink" Id="rId294" Target="https://doi.org/10.3102/1076998610396895" TargetMode="External" /><Relationship Type="http://schemas.openxmlformats.org/officeDocument/2006/relationships/hyperlink" Id="rId218" Target="https://doi.org/10.3109/02699206.2010.490003" TargetMode="External" /><Relationship Type="http://schemas.openxmlformats.org/officeDocument/2006/relationships/hyperlink" Id="rId162" Target="https://doi.org/10.3109/02699206.2014.926997" TargetMode="External" /><Relationship Type="http://schemas.openxmlformats.org/officeDocument/2006/relationships/hyperlink" Id="rId284" Target="https://doi.org/10.3366/E1753854809000305" TargetMode="External" /><Relationship Type="http://schemas.openxmlformats.org/officeDocument/2006/relationships/hyperlink" Id="rId144" Target="https://github.com/jriveraespejo/paper1_manuscript" TargetMode="External" /><Relationship Type="http://schemas.openxmlformats.org/officeDocument/2006/relationships/hyperlink" Id="rId45" Target="https://jriveraespejo.github.io/paper1_manuscript/" TargetMode="External" /><Relationship Type="http://schemas.openxmlformats.org/officeDocument/2006/relationships/hyperlink" Id="rId258" Target="https://www.doi.org/10.1007/BF02295939" TargetMode="External" /><Relationship Type="http://schemas.openxmlformats.org/officeDocument/2006/relationships/hyperlink" Id="rId262" Target="https://www.doi.org/10.1016/j.jeconom.2004.08.017" TargetMode="External" /></Relationships>
</file>

<file path=word/_rels/footnotes.xml.rels><?xml version="1.0" encoding="UTF-8"?><Relationships xmlns="http://schemas.openxmlformats.org/package/2006/relationships"><Relationship Type="http://schemas.openxmlformats.org/officeDocument/2006/relationships/hyperlink" Id="rId178" Target="" TargetMode="External" /><Relationship Type="http://schemas.openxmlformats.org/officeDocument/2006/relationships/hyperlink" Id="rId256" Target="\url{http://www.R-project.org/}" TargetMode="External" /><Relationship Type="http://schemas.openxmlformats.org/officeDocument/2006/relationships/hyperlink" Id="rId260" Target="\url{http://www.biostat.jhsph.edu/~fdominic/teaching/bio656/software-gllamm.manual.pdf}" TargetMode="External" /><Relationship Type="http://schemas.openxmlformats.org/officeDocument/2006/relationships/hyperlink" Id="rId222" Target="\url{http://www.jstor.org/stable/2236703}" TargetMode="External" /><Relationship Type="http://schemas.openxmlformats.org/officeDocument/2006/relationships/hyperlink" Id="rId156" Target="\url{https://arxiv.org/abs/1212.0870}" TargetMode="External" /><Relationship Type="http://schemas.openxmlformats.org/officeDocument/2006/relationships/hyperlink" Id="rId237" Target="\url{https://books.google.be/books?id=Asi5KQAACAAJ}" TargetMode="External" /><Relationship Type="http://schemas.openxmlformats.org/officeDocument/2006/relationships/hyperlink" Id="rId220" Target="\url{https://eric.ed.gov/?id=ED430012}" TargetMode="External" /><Relationship Type="http://schemas.openxmlformats.org/officeDocument/2006/relationships/hyperlink" Id="rId275" Target="\url{https://mc-stan.org}" TargetMode="External" /><Relationship Type="http://schemas.openxmlformats.org/officeDocument/2006/relationships/hyperlink" Id="rId228" Target="\url{https://www.jirka.org/ra/html/frontmatter-1.html}" TargetMode="External" /><Relationship Type="http://schemas.openxmlformats.org/officeDocument/2006/relationships/hyperlink" Id="rId296" Target="\url{https://www.jmlr.org/papers/volume14/watanabe13a/watanabe13a.pdf}" TargetMode="External" /><Relationship Type="http://schemas.openxmlformats.org/officeDocument/2006/relationships/hyperlink" Id="rId166" Target="http://dx.doi.org/10.2139/ssrn.3689437" TargetMode="External" /><Relationship Type="http://schemas.openxmlformats.org/officeDocument/2006/relationships/hyperlink" Id="rId250" Target="https://doi.org/0.1080/10904018.2015.1056877" TargetMode="External" /><Relationship Type="http://schemas.openxmlformats.org/officeDocument/2006/relationships/hyperlink" Id="rId248" Target="https://doi.org/10.1001/jama.2010.451" TargetMode="External" /><Relationship Type="http://schemas.openxmlformats.org/officeDocument/2006/relationships/hyperlink" Id="rId266" Target="https://doi.org/10.1002/j.1538-7305.1948.tb01338.x" TargetMode="External" /><Relationship Type="http://schemas.openxmlformats.org/officeDocument/2006/relationships/hyperlink" Id="rId226" Target="https://doi.org/10.1002/sim.2112" TargetMode="External" /><Relationship Type="http://schemas.openxmlformats.org/officeDocument/2006/relationships/hyperlink" Id="rId235"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2" Target="https://doi.org/10.1007/s10198-022-01554-7" TargetMode="External" /><Relationship Type="http://schemas.openxmlformats.org/officeDocument/2006/relationships/hyperlink" Id="rId254" Target="https://doi.org/10.1007/s10798-011-9189-x" TargetMode="External" /><Relationship Type="http://schemas.openxmlformats.org/officeDocument/2006/relationships/hyperlink" Id="rId288" Target="https://doi.org/10.1007/s11222-016-9696-4" TargetMode="External" /><Relationship Type="http://schemas.openxmlformats.org/officeDocument/2006/relationships/hyperlink" Id="rId164" Target="https://doi.org/10.1007/s12564-023-09907-4" TargetMode="External" /><Relationship Type="http://schemas.openxmlformats.org/officeDocument/2006/relationships/hyperlink" Id="rId231" Target="https://doi.org/10.1007/s12671-023-02165-w" TargetMode="External" /><Relationship Type="http://schemas.openxmlformats.org/officeDocument/2006/relationships/hyperlink" Id="rId212" Target="https://doi.org/10.1007/s40615-023-01809-w" TargetMode="External" /><Relationship Type="http://schemas.openxmlformats.org/officeDocument/2006/relationships/hyperlink" Id="rId210" Target="https://doi.org/10.1016/S0147-1767(00)00011-0" TargetMode="External" /><Relationship Type="http://schemas.openxmlformats.org/officeDocument/2006/relationships/hyperlink" Id="rId270"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60" Target="https://doi.org/10.1016/j.jcomdis.2012.05.003" TargetMode="External" /><Relationship Type="http://schemas.openxmlformats.org/officeDocument/2006/relationships/hyperlink" Id="rId242" Target="https://doi.org/10.1017/S0272263198002022" TargetMode="External" /><Relationship Type="http://schemas.openxmlformats.org/officeDocument/2006/relationships/hyperlink" Id="rId152" Target="https://doi.org/10.1017/S0305000921000714" TargetMode="External" /><Relationship Type="http://schemas.openxmlformats.org/officeDocument/2006/relationships/hyperlink" Id="rId246" Target="https://doi.org/10.1037/10409-010" TargetMode="External" /><Relationship Type="http://schemas.openxmlformats.org/officeDocument/2006/relationships/hyperlink" Id="rId148" Target="https://doi.org/10.1037/a0030642" TargetMode="External" /><Relationship Type="http://schemas.openxmlformats.org/officeDocument/2006/relationships/hyperlink" Id="rId170" Target="https://doi.org/10.1037/h0040957" TargetMode="External" /><Relationship Type="http://schemas.openxmlformats.org/officeDocument/2006/relationships/hyperlink" Id="rId279" Target="https://doi.org/10.1037/h0070288" TargetMode="External" /><Relationship Type="http://schemas.openxmlformats.org/officeDocument/2006/relationships/hyperlink" Id="rId180" Target="https://doi.org/10.1037/met0000065" TargetMode="External" /><Relationship Type="http://schemas.openxmlformats.org/officeDocument/2006/relationships/hyperlink" Id="rId300" Target="https://doi.org/10.1038/s41440-023-01322-x" TargetMode="External" /><Relationship Type="http://schemas.openxmlformats.org/officeDocument/2006/relationships/hyperlink" Id="rId184" Target="https://doi.org/10.1044/0161-1461(2010/09-0081)" TargetMode="External" /><Relationship Type="http://schemas.openxmlformats.org/officeDocument/2006/relationships/hyperlink" Id="rId214" Target="https://doi.org/10.1044/1058-0360.0302.81" TargetMode="External" /><Relationship Type="http://schemas.openxmlformats.org/officeDocument/2006/relationships/hyperlink" Id="rId240" Target="https://doi.org/10.1044/2014\_JSLHR-H-14-0190" TargetMode="External" /><Relationship Type="http://schemas.openxmlformats.org/officeDocument/2006/relationships/hyperlink" Id="rId216" Target="https://doi.org/10.1044/jshd.5404.482" TargetMode="External" /><Relationship Type="http://schemas.openxmlformats.org/officeDocument/2006/relationships/hyperlink" Id="rId168" Target="https://doi.org/10.1044/jshr.3202.347" TargetMode="External" /><Relationship Type="http://schemas.openxmlformats.org/officeDocument/2006/relationships/hyperlink" Id="rId264" Target="https://doi.org/10.1080/00031305.2012.695938"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298" Target="https://doi.org/10.1080/02699200410001663344" TargetMode="External" /><Relationship Type="http://schemas.openxmlformats.org/officeDocument/2006/relationships/hyperlink" Id="rId292" Target="https://doi.org/10.1080/0969594X.2019.1602027" TargetMode="External" /><Relationship Type="http://schemas.openxmlformats.org/officeDocument/2006/relationships/hyperlink" Id="rId176" Target="https://doi.org/10.1080/10705511.2014.882686" TargetMode="External" /><Relationship Type="http://schemas.openxmlformats.org/officeDocument/2006/relationships/hyperlink" Id="rId286"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4" Target="https://doi.org/10.1097/AUD.0b013e3182503e47" TargetMode="External" /><Relationship Type="http://schemas.openxmlformats.org/officeDocument/2006/relationships/hyperlink" Id="rId224" Target="https://doi.org/10.1111/1460-6984.12067" TargetMode="External" /><Relationship Type="http://schemas.openxmlformats.org/officeDocument/2006/relationships/hyperlink" Id="rId273" Target="https://doi.org/10.1111/1467-9868.00353" TargetMode="External" /><Relationship Type="http://schemas.openxmlformats.org/officeDocument/2006/relationships/hyperlink" Id="rId244" Target="https://doi.org/10.1111/1467-9922.00038" TargetMode="External" /><Relationship Type="http://schemas.openxmlformats.org/officeDocument/2006/relationships/hyperlink" Id="rId252" Target="https://doi.org/10.1111/rssa.12551" TargetMode="External" /><Relationship Type="http://schemas.openxmlformats.org/officeDocument/2006/relationships/hyperlink" Id="rId146"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4" Target="https://doi.org/10.1177/25152459221106366" TargetMode="External" /><Relationship Type="http://schemas.openxmlformats.org/officeDocument/2006/relationships/hyperlink" Id="rId158" Target="https://doi.org/10.1179/1754762813Y.0000000043" TargetMode="External" /><Relationship Type="http://schemas.openxmlformats.org/officeDocument/2006/relationships/hyperlink" Id="rId277" Target="https://doi.org/10.1186/s13063-022-06967-6" TargetMode="External" /><Relationship Type="http://schemas.openxmlformats.org/officeDocument/2006/relationships/hyperlink" Id="rId207" Target="https://doi.org/10.1201/9781351062268" TargetMode="External" /><Relationship Type="http://schemas.openxmlformats.org/officeDocument/2006/relationships/hyperlink" Id="rId150"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0" Target="https://doi.org/10.1214/20-BA1221" TargetMode="External" /><Relationship Type="http://schemas.openxmlformats.org/officeDocument/2006/relationships/hyperlink" Id="rId172"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233" Target="https://doi.org/10.21415/3mhn-0z89" TargetMode="External" /><Relationship Type="http://schemas.openxmlformats.org/officeDocument/2006/relationships/hyperlink" Id="rId268" Target="https://doi.org/10.2307/23042796" TargetMode="External" /><Relationship Type="http://schemas.openxmlformats.org/officeDocument/2006/relationships/hyperlink" Id="rId281" Target="https://doi.org/10.30931/jetas.321165" TargetMode="External" /><Relationship Type="http://schemas.openxmlformats.org/officeDocument/2006/relationships/hyperlink" Id="rId294" Target="https://doi.org/10.3102/1076998610396895" TargetMode="External" /><Relationship Type="http://schemas.openxmlformats.org/officeDocument/2006/relationships/hyperlink" Id="rId218" Target="https://doi.org/10.3109/02699206.2010.490003" TargetMode="External" /><Relationship Type="http://schemas.openxmlformats.org/officeDocument/2006/relationships/hyperlink" Id="rId162" Target="https://doi.org/10.3109/02699206.2014.926997" TargetMode="External" /><Relationship Type="http://schemas.openxmlformats.org/officeDocument/2006/relationships/hyperlink" Id="rId284" Target="https://doi.org/10.3366/E1753854809000305" TargetMode="External" /><Relationship Type="http://schemas.openxmlformats.org/officeDocument/2006/relationships/hyperlink" Id="rId144" Target="https://github.com/jriveraespejo/paper1_manuscript" TargetMode="External" /><Relationship Type="http://schemas.openxmlformats.org/officeDocument/2006/relationships/hyperlink" Id="rId45" Target="https://jriveraespejo.github.io/paper1_manuscript/" TargetMode="External" /><Relationship Type="http://schemas.openxmlformats.org/officeDocument/2006/relationships/hyperlink" Id="rId258" Target="https://www.doi.org/10.1007/BF02295939" TargetMode="External" /><Relationship Type="http://schemas.openxmlformats.org/officeDocument/2006/relationships/hyperlink" Id="rId262" Target="https://www.doi.org/10.1016/j.jeconom.2004.08.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2024-04-05T16:30:36Z</dcterms:created>
  <dcterms:modified xsi:type="dcterms:W3CDTF">2024-04-05T16:30:36Z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Considering the imperative need to comprehensively address all data features when investigating unobservable and complex traits, this research aims to showcase the effectiveness of the Generalized Linear Latent and Mixed Model (GLLAMM) (Rabe-Hesketh, Skrondal, and Pickles 2004a, 2004c, 2004b; Skrondal and Rabe-Hesketh 2004) in handling entropy scores for investigating speech intelligibility theories. Utilizing transcriptions from spontaneous speech data originally collected by Boonen et al. (2021), the Bayesian Beta-proportion GLLAMM was employed to model the resulting entropy scores. The study compared the model’s prediction accuracy with the Normal Linear Mixed Model (LMM) (Holmes, Bolin, and Kelley 2019) and investigated its capacity to estimate a latent intelligibility from manifest entropy scores. Additionally, it illustrated how the model can explore research theories concerning the impact of speaker-related factors on intelligibility. Results demonstrate the consistent superiority of the Beta-proportion GLLAMM over the Normal LMM in predicting the empirical phenomena. Furthermore, the model effectively quantified the latent potential intelligibility, enabling the ranking and comparison of individuals while accommodating for uncertainties. Lastly, it facilitated exploration of theories related to speaker-related factors and intelligibility. Despite these advantages, the introduction of these innovative statistical tools poses challenges for researchers seeking implementation. Nevertheless, the study suggests interesting future research directions, including power analysis, causal hypothesis formulation, and exploration of novel methods for intelligibility assessment. This study has implications for researchers and data analysts interested in quantitatively measuring and testing theories related to intricate, unobservable constructs, while emphasizing the accurate prediction of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