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2024-04-18</w:t>
      </w:r>
    </w:p>
    <w:p>
      <w:pPr>
        <w:pStyle w:val="AbstractTitle"/>
      </w:pPr>
      <w:r>
        <w:t xml:space="preserve">Abstract</w:t>
      </w:r>
    </w:p>
    <w:p>
      <w:pPr>
        <w:pStyle w:val="Abstract"/>
      </w:pPr>
      <w:r>
        <w:t xml:space="preserve">This</w:t>
      </w:r>
      <w:r>
        <w:t xml:space="preserve"> </w:t>
      </w:r>
      <w:r>
        <w:t xml:space="preserve">research</w:t>
      </w:r>
      <w:r>
        <w:t xml:space="preserve"> </w:t>
      </w:r>
      <w:r>
        <w:t xml:space="preserve">aims</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analyzing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hypotheses.</w:t>
      </w:r>
      <w:r>
        <w:t xml:space="preserve"> </w:t>
      </w:r>
      <w:r>
        <w:t xml:space="preserve">Using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(2021)</w:t>
      </w:r>
      <w:r>
        <w:t xml:space="preserve">,</w:t>
      </w:r>
      <w:r>
        <w:t xml:space="preserve"> </w:t>
      </w:r>
      <w:r>
        <w:t xml:space="preserve">the</w:t>
      </w:r>
      <w:r>
        <w:t xml:space="preserve"> </w:t>
      </w:r>
      <w:r>
        <w:t xml:space="preserve">study</w:t>
      </w:r>
      <w:r>
        <w:t xml:space="preserve"> </w:t>
      </w:r>
      <w:r>
        <w:t xml:space="preserve">employs</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these</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illustrates</w:t>
      </w:r>
      <w:r>
        <w:t xml:space="preserve"> </w:t>
      </w:r>
      <w:r>
        <w:t xml:space="preserve">how</w:t>
      </w:r>
      <w:r>
        <w:t xml:space="preserve"> </w:t>
      </w:r>
      <w:r>
        <w:t xml:space="preserve">researcher</w:t>
      </w:r>
      <w:r>
        <w:t xml:space="preserve"> </w:t>
      </w:r>
      <w:r>
        <w:t xml:space="preserve">can</w:t>
      </w:r>
      <w:r>
        <w:t xml:space="preserve"> </w:t>
      </w:r>
      <w:r>
        <w:t xml:space="preserve">explore</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show</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model</w:t>
      </w:r>
      <w:r>
        <w:t xml:space="preserve"> </w:t>
      </w:r>
      <w:r>
        <w:t xml:space="preserve">facilitates</w:t>
      </w:r>
      <w:r>
        <w:t xml:space="preserve"> </w:t>
      </w:r>
      <w:r>
        <w:t xml:space="preserve">hypothesis</w:t>
      </w:r>
      <w:r>
        <w:t xml:space="preserve"> </w:t>
      </w:r>
      <w:r>
        <w:t xml:space="preserve">exploration</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However,</w:t>
      </w:r>
      <w:r>
        <w:t xml:space="preserve"> </w:t>
      </w:r>
      <w:r>
        <w:t xml:space="preserve">implementing</w:t>
      </w:r>
      <w:r>
        <w:t xml:space="preserve"> </w:t>
      </w:r>
      <w:r>
        <w:t xml:space="preserve">these</w:t>
      </w:r>
      <w:r>
        <w:t xml:space="preserve"> </w:t>
      </w:r>
      <w:r>
        <w:t xml:space="preserve">statistical</w:t>
      </w:r>
      <w:r>
        <w:t xml:space="preserve"> </w:t>
      </w:r>
      <w:r>
        <w:t xml:space="preserve">tools</w:t>
      </w:r>
      <w:r>
        <w:t xml:space="preserve"> </w:t>
      </w:r>
      <w:r>
        <w:t xml:space="preserve">require</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the</w:t>
      </w:r>
      <w:r>
        <w:t xml:space="preserve"> </w:t>
      </w:r>
      <w:r>
        <w:t xml:space="preserve">core</w:t>
      </w:r>
      <w:r>
        <w:t xml:space="preserve"> </w:t>
      </w:r>
      <w:r>
        <w:t xml:space="preserve">of</w:t>
      </w:r>
      <w:r>
        <w:t xml:space="preserve"> </w:t>
      </w:r>
      <w:r>
        <w:t xml:space="preserve">Bayesian</w:t>
      </w:r>
      <w:r>
        <w:t xml:space="preserve"> </w:t>
      </w:r>
      <w:r>
        <w:t xml:space="preserve">methods.</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and</w:t>
      </w:r>
      <w:r>
        <w:t xml:space="preserve"> </w:t>
      </w:r>
      <w:r>
        <w:t xml:space="preserve">accurately</w:t>
      </w:r>
      <w:r>
        <w:t xml:space="preserve"> </w:t>
      </w:r>
      <w:r>
        <w:t xml:space="preserve">predicting</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 Intelligibility refers to the extent to which a listener can accurately recover the elements in a speaker’s acoustic signal, such as phonemes or words</w:t>
      </w:r>
      <w:r>
        <w:t xml:space="preserve"> </w:t>
      </w:r>
      <w:r>
        <w:t xml:space="preserve">(Freeman et al. 2017; van Heuven 2008; Whitehill and Chau 2004)</w:t>
      </w:r>
      <w:r>
        <w:t xml:space="preserve">. Furthermore, achieving intelligible spoken language requires all core components of speech perception, cognitive processing, linguistic knowledge, and articulation to be mastered</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its determinants, which encompass attributes of the communicative environment, such as background noise</w:t>
      </w:r>
      <w:r>
        <w:t xml:space="preserve"> </w:t>
      </w:r>
      <w:r>
        <w:t xml:space="preserve">(Munro 1998)</w:t>
      </w:r>
      <w:r>
        <w:t xml:space="preserve">, speaker features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listener characteristics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2021)</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2021)</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2021)</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2021; Faes, De Maeyer, and Gillis 2022)</w:t>
      </w:r>
      <w:r>
        <w:t xml:space="preserve">. Notably, the aggregation procedure assumes that speech samples are considered</w:t>
      </w:r>
      <w:r>
        <w:t xml:space="preserve"> </w:t>
      </w:r>
      <w:r>
        <w:t xml:space="preserve">‘</w:t>
      </w:r>
      <w:r>
        <w:t xml:space="preserve">intelligible</w:t>
      </w:r>
      <w:r>
        <w:t xml:space="preserve">’</w:t>
      </w:r>
      <w:r>
        <w:t xml:space="preserve"> </w:t>
      </w:r>
      <w:r>
        <w:t xml:space="preserve">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2021)</w:t>
      </w:r>
      <w:r>
        <w:t xml:space="preserve">.</w:t>
      </w:r>
    </w:p>
    <w:p>
      <w:pPr>
        <w:pStyle w:val="BodyText"/>
      </w:pPr>
      <w:r>
        <w:t xml:space="preserve">However, despite their potential as a fine-grained metric of intelligibility, as proposed by</w:t>
      </w:r>
      <w:r>
        <w:t xml:space="preserve"> </w:t>
      </w:r>
      <w:r>
        <w:t xml:space="preserve">Boonen et al. (2021)</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 Underfitting occurs when statistical models fail to capture the underlying data patterns, potentially causing the generation of predictions outside the data range, thus hindering the model’s ability to generalize when confronted with new data. Conversely, misspecification,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p>
    <w:p>
      <w:pPr>
        <w:pStyle w:val="BodyText"/>
      </w:pPr>
      <w:r>
        <w:t xml:space="preserve">In the realm of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with all of the aforementioned data features.</w:t>
      </w:r>
    </w:p>
    <w:p>
      <w:pPr>
        <w:pStyle w:val="BodyText"/>
      </w:pPr>
      <w:r>
        <w:t xml:space="preserve">All of these models have found moderate adoption in various fields, including speech communication</w:t>
      </w:r>
      <w:r>
        <w:t xml:space="preserve"> </w:t>
      </w:r>
      <w:r>
        <w:t xml:space="preserve">(Boonen et al. 2021)</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(2021)</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The study employed Bayesian procedures for three main reasons. Firstly, prior research consistently demonstrates the superiority of Bayesian methods over frequentist methods, especially with complex and over-parameterized models</w:t>
      </w:r>
      <w:r>
        <w:t xml:space="preserve"> </w:t>
      </w:r>
      <w:r>
        <w:t xml:space="preserve">(Baker 1998; Kim and Cohen 1999)</w:t>
      </w:r>
      <w:r>
        <w:t xml:space="preserve">. This is particularly relevant for the proposed GLLAMM, given the model’s implementation challenges under frequentist methods</w:t>
      </w:r>
      <w:r>
        <w:t xml:space="preserve"> </w:t>
      </w:r>
      <w:r>
        <w:t xml:space="preserve">(Depaoli 2014)</w:t>
      </w:r>
      <w:r>
        <w:t xml:space="preserve">. Secondly, the Bayesian approach enables the incorporation of prior information, thereby constraining certain parameters within specified bounds. This feature addresses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exhibit proficiency in drawing inferences from small sample sizes</w:t>
      </w:r>
      <w:r>
        <w:t xml:space="preserve"> </w:t>
      </w:r>
      <w:r>
        <w:t xml:space="preserve">(Baldwin and Fellingham 2013; Lambert et al. 2006; Depaoli 2014)</w:t>
      </w:r>
      <w:r>
        <w:t xml:space="preserve">. This property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data features when investigating unobservable and complex traits, this investigation aims to demonstrate the efficacy of the Generalized Linear Latent and Mixed Model (GLLAMM) in handling entropy scores features when exploring research hypotheses concerning speech intelligibility.</w:t>
      </w:r>
      <w:r>
        <w:t xml:space="preserve"> </w:t>
      </w:r>
      <w:r>
        <w:t xml:space="preserve">To achieve this objective, the study will reexamine data originating from transcriptions of spontaneous speech samples, initially collected by</w:t>
      </w:r>
      <w:r>
        <w:t xml:space="preserve"> </w:t>
      </w:r>
      <w:r>
        <w:t xml:space="preserve">Boonen et al. (2021)</w:t>
      </w:r>
      <w:r>
        <w:t xml:space="preserve">. Subsequently, this data will be aggregated into entropy scores and subjected to modeling through the Bayesian Beta-proportion GLLAMM.</w:t>
      </w:r>
    </w:p>
    <w:p>
      <w:pPr>
        <w:pStyle w:val="BodyText"/>
      </w:pPr>
      <w:r>
        <w:t xml:space="preserve">To address the primary objective, the study poses three key research questions.</w:t>
      </w:r>
      <w:r>
        <w:t xml:space="preserve"> </w:t>
      </w:r>
      <w:r>
        <w:t xml:space="preserve">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evaluates whether the Beta-proportion GLLAMM yields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investigates how the proposed model can estimate speakers’ latent intelligibility from manifest entropy scores.</w:t>
      </w:r>
      <w:r>
        <w:t xml:space="preserve"> </w:t>
      </w:r>
      <w:r>
        <w:t xml:space="preserve">Thirdly, recognizing that research involves developing and comparing hypotheses,</w:t>
      </w:r>
      <w:r>
        <w:t xml:space="preserve"> </w:t>
      </w:r>
      <w:r>
        <w:rPr>
          <w:i/>
          <w:iCs/>
        </w:rPr>
        <w:t xml:space="preserve">Research Question 3 (RQ3)</w:t>
      </w:r>
      <w:r>
        <w:t xml:space="preserve"> </w:t>
      </w:r>
      <w:r>
        <w:t xml:space="preserve">illustrates how these research hypotheses can be examined within the model’s framework.</w:t>
      </w:r>
      <w:r>
        <w:t xml:space="preserve"> </w:t>
      </w:r>
      <w:r>
        <w:t xml:space="preserve">Specifically, RQ3 assesses the influence of speaker-related factors on the newly estimated latent intelligibility.</w:t>
      </w:r>
    </w:p>
    <w:p>
      <w:pPr>
        <w:pStyle w:val="BodyText"/>
      </w:pPr>
      <w:r>
        <w:t xml:space="preserve">Ultimately, this study offers a statistical tool that improves upon current research models for researchers studying speech intelligibility through entropy scores and those in similar or different fields facing analogous data challenges.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(2021)</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(2021)</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(2021)</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2021)</w:t>
      </w:r>
      <w:r>
        <w:t xml:space="preserve">, at the sentence level in a column-like grid structure like the one presented in</w:t>
      </w:r>
      <w:r>
        <w:t xml:space="preserve"> </w:t>
      </w:r>
      <w:hyperlink w:anchor="tbl-alignment">
        <w:r>
          <w:rPr>
            <w:rStyle w:val="Hyperlink"/>
          </w:rPr>
          <w:t xml:space="preserve">Table 1</w:t>
        </w:r>
      </w:hyperlink>
      <w:r>
        <w:t xml:space="preserve">.</w:t>
      </w:r>
      <w:r>
        <w:t xml:space="preserve"> </w:t>
      </w:r>
      <w:r>
        <w:t xml:space="preserve">This alignment process was repeated for each sentence within each speaker and block, and the output was manually checked and adjusted (if needed) in order to appropriately align the words.</w:t>
      </w:r>
      <w:r>
        <w:t xml:space="preserve"> </w:t>
      </w:r>
      <w:r>
        <w:t xml:space="preserve">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within each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Moreover,</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Refer to</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2021; Faes, De Maeyer, and Gillis 2022)</w:t>
      </w:r>
      <w:r>
        <w:t xml:space="preserve">. Furthermore, no score is excluded from the modeling process using univariate procedures, rather, the identification of highly influential observations is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(2021)</w:t>
            </w:r>
            <w:r>
              <w:t xml:space="preserve">, and slightly modified for illustrative purposes. Entropy scores are calculated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 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no transformation is applied to the relationship between the average entropy and the linear combination of speakers’ characteristics. This is commonly known as a direct link function. Moreover,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Additionally,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Finally,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this over-parameterized model facilitated: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response model posits the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among sentences within each speaker, with</w:t>
      </w:r>
      <w:r>
        <w:t xml:space="preserve"> </w:t>
      </w:r>
      <m:oMath>
        <m:r>
          <m:t>S</m:t>
        </m:r>
      </m:oMath>
      <w:r>
        <w:t xml:space="preserve"> </w:t>
      </w:r>
      <w:r>
        <w:t xml:space="preserve">denoting the total number of sentences per speaker.</w:t>
      </w:r>
    </w:p>
    <w:p>
      <w:pPr>
        <w:pStyle w:val="BodyText"/>
      </w:pPr>
      <w:r>
        <w:t xml:space="preserve">Several features are evident in this probabilistic representation.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speakers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Additionally,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w:t>
      </w:r>
      <w:r>
        <w:t xml:space="preserve"> </w:t>
      </w:r>
      <m:oMath>
        <m:sSub>
          <m:e>
            <m:r>
              <m:t>e</m:t>
            </m:r>
          </m:e>
          <m:sub>
            <m:r>
              <m:t>i</m:t>
            </m:r>
          </m:sub>
        </m:sSub>
      </m:oMath>
      <w:r>
        <w:t xml:space="preserve"> </w:t>
      </w:r>
      <w:r>
        <w:t xml:space="preserve">and</w:t>
      </w:r>
      <w:r>
        <w:t xml:space="preserve"> </w:t>
      </w:r>
      <m:oMath>
        <m:sSub>
          <m:e>
            <m:r>
              <m:t>u</m:t>
            </m:r>
          </m:e>
          <m:sub>
            <m:r>
              <m:t>i</m:t>
            </m:r>
          </m:sub>
        </m:sSub>
      </m:oMath>
      <w:r>
        <w:t xml:space="preserve">.</w:t>
      </w:r>
      <w:r>
        <w:t xml:space="preserve"> </w:t>
      </w:r>
      <w:r>
        <w:t xml:space="preserve">The former represents inherent differences in potential intelligibility among different speakers, while the latter 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establishes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This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are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are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are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are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evaluates the comparative predictive capabilities of both the Normal LMM and the Beta-proportion GLLAMM (RQ1) while simultaneously examining various formulations regarding how speaker-related factors influence intelligibility (RQ3). In this context, the predictive capabilities of the models are intricately connected to these formulations. As a result, the study requires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incorporates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are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(refer to</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The study compares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behind this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the study utilizes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For this purpose, the study also presents the associated uncertainty for both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 the models’ complexity penalization, as well as their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evaluates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are specifically chosen for this comparison because their assumptions exclusively address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is a Normal LMM that solely addresses data clustering. Building upon this, Model</w:t>
      </w:r>
      <w:r>
        <w:t xml:space="preserve"> </w:t>
      </w:r>
      <m:oMath>
        <m:r>
          <m:t>4</m:t>
        </m:r>
      </m:oMath>
      <w:r>
        <w:t xml:space="preserve"> </w:t>
      </w:r>
      <w:r>
        <w:t xml:space="preserve">introduces a robust feature. Conversely, Model</w:t>
      </w:r>
      <w:r>
        <w:t xml:space="preserve"> </w:t>
      </w:r>
      <m:oMath>
        <m:r>
          <m:t>7</m:t>
        </m:r>
      </m:oMath>
      <w:r>
        <w:t xml:space="preserve"> </w:t>
      </w:r>
      <w:r>
        <w:t xml:space="preserve">is a Beta-proportion GLLAMM that deals with boundedness, measurement error and data clustering, and Model</w:t>
      </w:r>
      <w:r>
        <w:t xml:space="preserve"> </w:t>
      </w:r>
      <m:oMath>
        <m:r>
          <m:t>10</m:t>
        </m:r>
      </m:oMath>
      <w:r>
        <w:t xml:space="preserve"> </w:t>
      </w:r>
      <w:r>
        <w:t xml:space="preserve">extends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deviates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Table 7</w:t>
        </w:r>
      </w:hyperlink>
      <w:r>
        <w:t xml:space="preserve"> </w:t>
      </w:r>
      <w:r>
        <w:t xml:space="preserve">underscores that</w:t>
      </w:r>
      <w:r>
        <w:t xml:space="preserve"> </w:t>
      </w:r>
      <m:oMath>
        <m:r>
          <m:t>100</m:t>
        </m:r>
        <m:r>
          <m:rPr>
            <m:sty m:val="p"/>
          </m:rPr>
          <m:t>%</m:t>
        </m:r>
      </m:oMath>
      <w:r>
        <w:t xml:space="preserve"> </w:t>
      </w:r>
      <w:r>
        <w:t xml:space="preserve">of the evidence aligns with and supports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fails to adequately capture the data’s underlying patterns, resulting in predictions that are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bear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causes the model to be</w:t>
      </w:r>
      <w:r>
        <w:t xml:space="preserve"> </w:t>
      </w:r>
      <w:r>
        <w:rPr>
          <w:i/>
          <w:iCs/>
        </w:rPr>
        <w:t xml:space="preserve">more surprised</w:t>
      </w:r>
      <w:r>
        <w:t xml:space="preserve"> </w:t>
      </w:r>
      <w:r>
        <w:t xml:space="preserve">by</w:t>
      </w:r>
      <w:r>
        <w:t xml:space="preserve"> </w:t>
      </w:r>
      <w:r>
        <w:t xml:space="preserve">‘</w:t>
      </w:r>
      <w:r>
        <w:t xml:space="preserve">extreme</w:t>
      </w:r>
      <w:r>
        <w:t xml:space="preserve">’</w:t>
      </w:r>
      <w:r>
        <w:t xml:space="preserve"> </w:t>
      </w:r>
      <w:r>
        <w:t xml:space="preserve">entropy scores, leading to their identification as highly unlikely and influential observations. Consequently, the model is rendered unreliable due to the potential biases present in the parameter estimates. In contrast, the Beta-proportion GLLAMM appears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Figure 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 prediction densities that bear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is</w:t>
      </w:r>
      <w:r>
        <w:t xml:space="preserve"> </w:t>
      </w:r>
      <w:r>
        <w:rPr>
          <w:i/>
          <w:iCs/>
        </w:rPr>
        <w:t xml:space="preserve">less surprised</w:t>
      </w:r>
      <w:r>
        <w:t xml:space="preserve"> </w:t>
      </w:r>
      <w:r>
        <w:t xml:space="preserve">by</w:t>
      </w:r>
      <w:r>
        <w:t xml:space="preserve"> </w:t>
      </w:r>
      <w:r>
        <w:t xml:space="preserve">‘</w:t>
      </w:r>
      <w:r>
        <w:t xml:space="preserve">extreme</w:t>
      </w:r>
      <w:r>
        <w:t xml:space="preserve">’</w:t>
      </w:r>
      <w:r>
        <w:t xml:space="preserve"> </w:t>
      </w:r>
      <w:r>
        <w:t xml:space="preserve">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provides the complete posterior distribution of the speakers’ potential intelligibility scores. This provision, in turn, (1) enables the calculation of summaries, facilitating the ranking of individuals, and (2) supports the assessment of differences among selected speakers. In both cases, the model considers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w:t>
      </w:r>
      <w:r>
        <w:t xml:space="preserve"> </w:t>
      </w:r>
      <w:r>
        <w:t xml:space="preserve">The figure clearly indicate that speaker</w:t>
      </w:r>
      <w:r>
        <w:t xml:space="preserve"> </w:t>
      </w:r>
      <m:oMath>
        <m:r>
          <m:t>6</m:t>
        </m:r>
      </m:oMath>
      <w:r>
        <w:t xml:space="preserve"> </w:t>
      </w:r>
      <w:r>
        <w:t xml:space="preserve">stands out as the least intelligible in the sample, followed farther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 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(refer to</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illustrates how hypotheses on intelligibility can be examined within the model’s framework.</w:t>
      </w:r>
      <w:r>
        <w:t xml:space="preserve"> </w:t>
      </w:r>
      <w:r>
        <w:t xml:space="preserve">Specifically, the focus centers on assessing the influence of speaker-related factors on intelligibility, such as chronological age and hearing status. Notably, despite RQ1 indicating the suitability of Beta-proportion GLLAMM models for entropy scores, existing statistical literature suggests that, in certain scenarios, models incorporating covariate adjustment exhibit robustness to misspecification in the functional form linking an outcome and covariates, commonly referred to as covariate-outcome relationship</w:t>
      </w:r>
      <w:r>
        <w:t xml:space="preserve"> </w:t>
      </w:r>
      <w:r>
        <w:t xml:space="preserve">(Tackney et al. 2023)</w:t>
      </w:r>
      <w:r>
        <w:t xml:space="preserve">. Consequently, this study compares all models detailed in</w:t>
      </w:r>
      <w:r>
        <w:t xml:space="preserve"> </w:t>
      </w:r>
      <w:hyperlink w:anchor="tbl-fitted">
        <w:r>
          <w:rPr>
            <w:rStyle w:val="Hyperlink"/>
          </w:rPr>
          <w:t xml:space="preserve">Table 2</w:t>
        </w:r>
      </w:hyperlink>
      <w:r>
        <w:t xml:space="preserve">. These models are characterized by different covariate adjustments on entropy scores or the latent potential intelligibility of speakers, namely chronological age and hearing status, while potentially exhibiting misspecification in the covariate-outcome relationship, as observed in the case of the Normal LMM.</w:t>
      </w:r>
    </w:p>
    <w:p>
      <w:pPr>
        <w:pStyle w:val="BodyText"/>
      </w:pPr>
      <w:r>
        <w:t xml:space="preserve">Similar to RQ1, all criteria consistently identify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Moreover,</w:t>
      </w:r>
      <w:r>
        <w:t xml:space="preserve"> </w:t>
      </w:r>
      <w:hyperlink w:anchor="fig-rq3-waic-psis">
        <w:r>
          <w:rPr>
            <w:rStyle w:val="Hyperlink"/>
          </w:rPr>
          <w:t xml:space="preserve">Figure 5</w:t>
        </w:r>
      </w:hyperlink>
      <w:r>
        <w:t xml:space="preserve"> </w:t>
      </w:r>
      <w:r>
        <w:t xml:space="preserve">depicts with horizontal blue lines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This reveals that, when compared to Model</w:t>
      </w:r>
      <w:r>
        <w:t xml:space="preserve"> </w:t>
      </w:r>
      <m:oMath>
        <m:r>
          <m:t>11</m:t>
        </m:r>
      </m:oMath>
      <w:r>
        <w:t xml:space="preserve">, most models exhibit significantly distinct predictive capabilities. Models</w:t>
      </w:r>
      <w:r>
        <w:t xml:space="preserve"> </w:t>
      </w:r>
      <m:oMath>
        <m:r>
          <m:t>12</m:t>
        </m:r>
      </m:oMath>
      <w:r>
        <w:t xml:space="preserve"> </w:t>
      </w:r>
      <w:r>
        <w:t xml:space="preserve">and</w:t>
      </w:r>
      <w:r>
        <w:t xml:space="preserve"> </w:t>
      </w:r>
      <m:oMath>
        <m:r>
          <m:t>10</m:t>
        </m:r>
      </m:oMath>
      <w:r>
        <w:t xml:space="preserve">, however, stand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Table 9</w:t>
        </w:r>
      </w:hyperlink>
      <w:r>
        <w:t xml:space="preserve">, underscores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 the reasons behind the largest observed disparities. The Normal LMM, as outlined in Model</w:t>
      </w:r>
      <w:r>
        <w:t xml:space="preserve"> </w:t>
      </w:r>
      <m:oMath>
        <m:r>
          <m:t>6</m:t>
        </m:r>
      </m:oMath>
      <w:r>
        <w:t xml:space="preserve">, continues to face challenges in capturing underlying data patterns, resulting in predictions that are physically inconsistent, falling outside the outcome’s range. Additionally, the model persists in identifying highly unlikely and influential observations, making it inherently unreliable. In contrast, the Beta-proportion GLLAMM described by Model</w:t>
      </w:r>
      <w:r>
        <w:t xml:space="preserve"> </w:t>
      </w:r>
      <m:oMath>
        <m:r>
          <m:t>12</m:t>
        </m:r>
      </m:oMath>
      <w:r>
        <w:t xml:space="preserve"> </w:t>
      </w:r>
      <w:r>
        <w:t xml:space="preserve">appears to be less susceptible to</w:t>
      </w:r>
      <w:r>
        <w:t xml:space="preserve"> </w:t>
      </w:r>
      <w:r>
        <w:t xml:space="preserve">‘</w:t>
      </w:r>
      <w:r>
        <w:t xml:space="preserve">extreme</w:t>
      </w:r>
      <w:r>
        <w:t xml:space="preserve">’</w:t>
      </w:r>
      <w:r>
        <w:t xml:space="preserve"> </w:t>
      </w:r>
      <w:r>
        <w:t xml:space="preserve">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Figure 13</w:t>
        </w:r>
      </w:hyperlink>
      <w:r>
        <w:t xml:space="preserve">,</w:t>
      </w:r>
      <w:r>
        <w:t xml:space="preserve"> </w:t>
      </w:r>
      <w:hyperlink w:anchor="fig-rq3-pred-speaker_model12">
        <w:r>
          <w:rPr>
            <w:rStyle w:val="Hyperlink"/>
          </w:rPr>
          <w:t xml:space="preserve">Figure 14</w:t>
        </w:r>
      </w:hyperlink>
      <w:r>
        <w:t xml:space="preserve">, and</w:t>
      </w:r>
      <w:r>
        <w:t xml:space="preserve"> </w:t>
      </w:r>
      <w:hyperlink w:anchor="fig-rq3-model-outliers">
        <w:r>
          <w:rPr>
            <w:rStyle w:val="Hyperlink"/>
          </w:rPr>
          <w:t xml:space="preserve">Figure 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estimates a single intercept</w:t>
      </w:r>
      <w:r>
        <w:t xml:space="preserve"> </w:t>
      </w:r>
      <m:oMath>
        <m:r>
          <m:t>α</m:t>
        </m:r>
      </m:oMath>
      <w:r>
        <w:t xml:space="preserve"> </w:t>
      </w:r>
      <w:r>
        <w:t xml:space="preserve">and no slope to explain the potential intelligibility of speakers (refer to</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estimates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estimates one intercept and slope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 conflicting conclusions regarding the influence of chronological age and hearing status on intelligibility. Model</w:t>
      </w:r>
      <w:r>
        <w:t xml:space="preserve"> </w:t>
      </w:r>
      <m:oMath>
        <m:r>
          <m:t>10</m:t>
        </m:r>
      </m:oMath>
      <w:r>
        <w:t xml:space="preserve"> </w:t>
      </w:r>
      <w:r>
        <w:t xml:space="preserve">implies no influence of chronological age and hearing status on the potential intelligibility of speakers. A visual inspection of</w:t>
      </w:r>
      <w:r>
        <w:t xml:space="preserve"> </w:t>
      </w:r>
      <w:hyperlink w:anchor="fig-rq3-intelligibility-model10">
        <w:r>
          <w:rPr>
            <w:rStyle w:val="Hyperlink"/>
          </w:rPr>
          <w:t xml:space="preserve">Figure 6</w:t>
        </w:r>
      </w:hyperlink>
      <w:r>
        <w:t xml:space="preserve">, however, reveals the reason for the model’s low support. Model</w:t>
      </w:r>
      <w:r>
        <w:t xml:space="preserve"> </w:t>
      </w:r>
      <m:oMath>
        <m:r>
          <m:t>10</m:t>
        </m:r>
      </m:oMath>
      <w:r>
        <w:t xml:space="preserve"> </w:t>
      </w:r>
      <w:r>
        <w:t xml:space="preserve">fails to capture the prevalent increasing age pattern observed in potential intelligibility estimates. In contrast, Model</w:t>
      </w:r>
      <w:r>
        <w:t xml:space="preserve"> </w:t>
      </w:r>
      <m:oMath>
        <m:r>
          <m:t>11</m:t>
        </m:r>
      </m:oMath>
      <w:r>
        <w:t xml:space="preserve"> </w:t>
      </w:r>
      <w:r>
        <w:t xml:space="preserve">identifies significant differences in potential intelligibility between NH and HI/CI speakers. The model further suggests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indicates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reveals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w:t>
      </w:r>
      <w:r>
        <w:t xml:space="preserve"> </w:t>
      </w:r>
      <w:r>
        <w:t xml:space="preserve">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w:t>
      </w:r>
      <w:r>
        <w:t xml:space="preserve"> </w:t>
      </w:r>
      <w:r>
        <w:t xml:space="preserve">The results suggested that multiple models were plausible for the observed entropy scores, indicating that different speaker-related factor hypotheses were viable for the data, with some presenting contradictory conclusions about the influence of those factors on intelligibility.</w:t>
      </w:r>
      <w:r>
        <w:t xml:space="preserve"> </w:t>
      </w:r>
      <w:r>
        <w:t xml:space="preserve">However, even when unequivocal support for one hypothesis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w:t>
      </w:r>
      <w:r>
        <w:t xml:space="preserve"> </w:t>
      </w:r>
      <w:r>
        <w:t xml:space="preserve">These tools not only assessed the predictability of empirical phenomena but also quantitatively measured the latent trait of interest, namely potential intelligibility, facilitating the comparison of research hypotheses related to this trait.</w:t>
      </w:r>
      <w:r>
        <w:t xml:space="preserve"> </w:t>
      </w:r>
      <w:r>
        <w:t xml:space="preserve">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(refer to</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w:t>
      </w:r>
      <w:r>
        <w:t xml:space="preserve"> </w:t>
      </w:r>
      <w:r>
        <w:t xml:space="preserve">Boonen et al. (2021)</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w:t>
      </w:r>
      <w:r>
        <w:t xml:space="preserve"> </w:t>
      </w:r>
      <w:r>
        <w:t xml:space="preserve">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w:t>
      </w:r>
      <w:r>
        <w:t xml:space="preserve"> </w:t>
      </w:r>
      <w:r>
        <w:t xml:space="preserve">Additionally, the proposed model facilitates the exploration of research hypotheses concerning the influence of speaker-related factors on potential intelligibility. The study indicates that integrating and comparing these hypotheses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w:t>
      </w:r>
      <w:r>
        <w:t xml:space="preserve"> </w:t>
      </w:r>
      <w:r>
        <w:t xml:space="preserve">Nevertheless, the study suggests several promising avenues for future research, including causal hypothesis formulation, and exploration and integration of novel evaluation methods for assessing intelligibility. The insights derived from this study hold implications for both researchers and data analysts interested in quantitatively measuring intricate, unobservable constructs and accurately predicting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2021)</w:t>
      </w:r>
      <w:r>
        <w:t xml:space="preserve">. In contrast, the percentage of (un)intelligible words mostly discards some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7" w:name="references"/>
    <w:p>
      <w:pPr>
        <w:pStyle w:val="Heading1"/>
      </w:pPr>
      <w:r>
        <w:t xml:space="preserve">References</w:t>
      </w:r>
    </w:p>
    <w:bookmarkStart w:id="306"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1"/>
    <w:p>
      <w:pPr>
        <w:pStyle w:val="Bibliography"/>
      </w:pPr>
      <w:r>
        <w:t xml:space="preserve">Boonen, N., H. Kloots, P. Nurzia, and S. Gillis. 2021.</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1–26.</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7">
        <w:r>
          <w:rPr>
            <w:rStyle w:val="Hyperlink"/>
          </w:rPr>
          <w:t xml:space="preserve">https://doi.org/10.1080/00401706.1969.10490657</w:t>
        </w:r>
      </w:hyperlink>
      <w:r>
        <w:t xml:space="preserve">.</w:t>
      </w:r>
    </w:p>
    <w:bookmarkEnd w:id="208"/>
    <w:bookmarkStart w:id="210"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9">
        <w:r>
          <w:rPr>
            <w:rStyle w:val="Hyperlink"/>
          </w:rPr>
          <w:t xml:space="preserve">https://doi.org/10.1201/9781351062268</w:t>
        </w:r>
      </w:hyperlink>
      <w:r>
        <w:t xml:space="preserve">.</w:t>
      </w:r>
    </w:p>
    <w:bookmarkEnd w:id="210"/>
    <w:bookmarkStart w:id="211"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11"/>
    <w:bookmarkStart w:id="213"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2">
        <w:r>
          <w:rPr>
            <w:rStyle w:val="Hyperlink"/>
          </w:rPr>
          <w:t xml:space="preserve">https://doi.org/10.1016/S0147-1767(00)00011-0</w:t>
        </w:r>
      </w:hyperlink>
      <w:r>
        <w:t xml:space="preserve">.</w:t>
      </w:r>
    </w:p>
    <w:bookmarkEnd w:id="213"/>
    <w:bookmarkStart w:id="215"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4">
        <w:r>
          <w:rPr>
            <w:rStyle w:val="Hyperlink"/>
          </w:rPr>
          <w:t xml:space="preserve">https://doi.org/10.1007/s40615-023-01809-w</w:t>
        </w:r>
      </w:hyperlink>
      <w:r>
        <w:t xml:space="preserve">.</w:t>
      </w:r>
    </w:p>
    <w:bookmarkEnd w:id="215"/>
    <w:bookmarkStart w:id="217"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6">
        <w:r>
          <w:rPr>
            <w:rStyle w:val="Hyperlink"/>
          </w:rPr>
          <w:t xml:space="preserve">https://doi.org/10.1044/1058-0360.0302.81</w:t>
        </w:r>
      </w:hyperlink>
      <w:r>
        <w:t xml:space="preserve">.</w:t>
      </w:r>
    </w:p>
    <w:bookmarkEnd w:id="217"/>
    <w:bookmarkStart w:id="219"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8">
        <w:r>
          <w:rPr>
            <w:rStyle w:val="Hyperlink"/>
          </w:rPr>
          <w:t xml:space="preserve">https://doi.org/10.1044/jshd.5404.482</w:t>
        </w:r>
      </w:hyperlink>
      <w:r>
        <w:t xml:space="preserve">.</w:t>
      </w:r>
    </w:p>
    <w:bookmarkEnd w:id="219"/>
    <w:bookmarkStart w:id="221"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0">
        <w:r>
          <w:rPr>
            <w:rStyle w:val="Hyperlink"/>
          </w:rPr>
          <w:t xml:space="preserve">https://doi.org/10.3109/02699206.2010.490003</w:t>
        </w:r>
      </w:hyperlink>
      <w:r>
        <w:t xml:space="preserve">.</w:t>
      </w:r>
    </w:p>
    <w:bookmarkEnd w:id="221"/>
    <w:bookmarkStart w:id="223"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2">
        <w:r>
          <w:rPr>
            <w:rStyle w:val="Hyperlink"/>
          </w:rPr>
          <w:t xml:space="preserve">https://eric.ed.gov/?id=ED430012</w:t>
        </w:r>
      </w:hyperlink>
      <w:r>
        <w:t xml:space="preserve">.</w:t>
      </w:r>
    </w:p>
    <w:bookmarkEnd w:id="223"/>
    <w:bookmarkStart w:id="225"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4">
        <w:r>
          <w:rPr>
            <w:rStyle w:val="Hyperlink"/>
          </w:rPr>
          <w:t xml:space="preserve">http://www.jstor.org/stable/2236703</w:t>
        </w:r>
      </w:hyperlink>
      <w:r>
        <w:t xml:space="preserve">.</w:t>
      </w:r>
    </w:p>
    <w:bookmarkEnd w:id="225"/>
    <w:bookmarkStart w:id="227"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6">
        <w:r>
          <w:rPr>
            <w:rStyle w:val="Hyperlink"/>
          </w:rPr>
          <w:t xml:space="preserve">https://doi.org/10.1111/1460-6984.12067</w:t>
        </w:r>
      </w:hyperlink>
      <w:r>
        <w:t xml:space="preserve">.</w:t>
      </w:r>
    </w:p>
    <w:bookmarkEnd w:id="227"/>
    <w:bookmarkStart w:id="229"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8">
        <w:r>
          <w:rPr>
            <w:rStyle w:val="Hyperlink"/>
          </w:rPr>
          <w:t xml:space="preserve">https://doi.org/10.1002/sim.2112</w:t>
        </w:r>
      </w:hyperlink>
      <w:r>
        <w:t xml:space="preserve">.</w:t>
      </w:r>
    </w:p>
    <w:bookmarkEnd w:id="229"/>
    <w:bookmarkStart w:id="231"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0">
        <w:r>
          <w:rPr>
            <w:rStyle w:val="Hyperlink"/>
          </w:rPr>
          <w:t xml:space="preserve">https://www.jirka.org/ra/html/frontmatter-1.html</w:t>
        </w:r>
      </w:hyperlink>
      <w:r>
        <w:t xml:space="preserve">.</w:t>
      </w:r>
    </w:p>
    <w:bookmarkEnd w:id="231"/>
    <w:bookmarkStart w:id="23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2"/>
    <w:bookmarkStart w:id="234"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3">
        <w:r>
          <w:rPr>
            <w:rStyle w:val="Hyperlink"/>
          </w:rPr>
          <w:t xml:space="preserve">https://doi.org/10.1007/s12671-023-02165-w</w:t>
        </w:r>
      </w:hyperlink>
      <w:r>
        <w:t xml:space="preserve">.</w:t>
      </w:r>
    </w:p>
    <w:bookmarkEnd w:id="234"/>
    <w:bookmarkStart w:id="236"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5">
        <w:r>
          <w:rPr>
            <w:rStyle w:val="Hyperlink"/>
          </w:rPr>
          <w:t xml:space="preserve">https://doi.org/10.21415/3mhn-0z89</w:t>
        </w:r>
      </w:hyperlink>
      <w:r>
        <w:t xml:space="preserve">.</w:t>
      </w:r>
    </w:p>
    <w:bookmarkEnd w:id="236"/>
    <w:bookmarkStart w:id="238"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7">
        <w:r>
          <w:rPr>
            <w:rStyle w:val="Hyperlink"/>
          </w:rPr>
          <w:t xml:space="preserve">https://doi.org/10.1007/BF02291552</w:t>
        </w:r>
      </w:hyperlink>
      <w:r>
        <w:t xml:space="preserve">.</w:t>
      </w:r>
    </w:p>
    <w:bookmarkEnd w:id="238"/>
    <w:bookmarkStart w:id="240"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9">
        <w:r>
          <w:rPr>
            <w:rStyle w:val="Hyperlink"/>
          </w:rPr>
          <w:t xml:space="preserve">https://books.google.be/books?id=Asi5KQAACAAJ</w:t>
        </w:r>
      </w:hyperlink>
      <w:r>
        <w:t xml:space="preserve">.</w:t>
      </w:r>
    </w:p>
    <w:bookmarkEnd w:id="240"/>
    <w:bookmarkStart w:id="241"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41"/>
    <w:bookmarkStart w:id="243"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2">
        <w:r>
          <w:rPr>
            <w:rStyle w:val="Hyperlink"/>
          </w:rPr>
          <w:t xml:space="preserve">https://doi.org/10.1044/2014\_JSLHR-H-14-0190</w:t>
        </w:r>
      </w:hyperlink>
      <w:r>
        <w:t xml:space="preserve">.</w:t>
      </w:r>
    </w:p>
    <w:bookmarkEnd w:id="243"/>
    <w:bookmarkStart w:id="245"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4">
        <w:r>
          <w:rPr>
            <w:rStyle w:val="Hyperlink"/>
          </w:rPr>
          <w:t xml:space="preserve">https://doi.org/10.1017/S0272263198002022</w:t>
        </w:r>
      </w:hyperlink>
      <w:r>
        <w:t xml:space="preserve">.</w:t>
      </w:r>
    </w:p>
    <w:bookmarkEnd w:id="245"/>
    <w:bookmarkStart w:id="247"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6">
        <w:r>
          <w:rPr>
            <w:rStyle w:val="Hyperlink"/>
          </w:rPr>
          <w:t xml:space="preserve">https://doi.org/10.1111/1467-9922.00038</w:t>
        </w:r>
      </w:hyperlink>
      <w:r>
        <w:t xml:space="preserve">.</w:t>
      </w:r>
    </w:p>
    <w:bookmarkEnd w:id="247"/>
    <w:bookmarkStart w:id="249"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8">
        <w:r>
          <w:rPr>
            <w:rStyle w:val="Hyperlink"/>
          </w:rPr>
          <w:t xml:space="preserve">https://doi.org/10.1037/10409-010</w:t>
        </w:r>
      </w:hyperlink>
      <w:r>
        <w:t xml:space="preserve">.</w:t>
      </w:r>
    </w:p>
    <w:bookmarkEnd w:id="249"/>
    <w:bookmarkStart w:id="251"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0">
        <w:r>
          <w:rPr>
            <w:rStyle w:val="Hyperlink"/>
          </w:rPr>
          <w:t xml:space="preserve">https://doi.org/10.1001/jama.2010.451</w:t>
        </w:r>
      </w:hyperlink>
      <w:r>
        <w:t xml:space="preserve">.</w:t>
      </w:r>
    </w:p>
    <w:bookmarkEnd w:id="251"/>
    <w:bookmarkStart w:id="253"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2">
        <w:r>
          <w:rPr>
            <w:rStyle w:val="Hyperlink"/>
          </w:rPr>
          <w:t xml:space="preserve">https://doi.org/0.1080/10904018.2015.1056877</w:t>
        </w:r>
      </w:hyperlink>
      <w:r>
        <w:t xml:space="preserve">.</w:t>
      </w:r>
    </w:p>
    <w:bookmarkEnd w:id="253"/>
    <w:bookmarkStart w:id="255"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4">
        <w:r>
          <w:rPr>
            <w:rStyle w:val="Hyperlink"/>
          </w:rPr>
          <w:t xml:space="preserve">https://doi.org/10.1111/rssa.12551</w:t>
        </w:r>
      </w:hyperlink>
      <w:r>
        <w:t xml:space="preserve">.</w:t>
      </w:r>
    </w:p>
    <w:bookmarkEnd w:id="255"/>
    <w:bookmarkStart w:id="257"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6">
        <w:r>
          <w:rPr>
            <w:rStyle w:val="Hyperlink"/>
          </w:rPr>
          <w:t xml:space="preserve">https://doi.org/10.1007/s10798-011-9189-x</w:t>
        </w:r>
      </w:hyperlink>
      <w:r>
        <w:t xml:space="preserve">.</w:t>
      </w:r>
    </w:p>
    <w:bookmarkEnd w:id="257"/>
    <w:bookmarkStart w:id="25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8">
        <w:r>
          <w:rPr>
            <w:rStyle w:val="Hyperlink"/>
          </w:rPr>
          <w:t xml:space="preserve">https://doi.org/10.1080/0969594X.2012.665354</w:t>
        </w:r>
      </w:hyperlink>
      <w:r>
        <w:t xml:space="preserve">.</w:t>
      </w:r>
    </w:p>
    <w:bookmarkEnd w:id="259"/>
    <w:bookmarkStart w:id="261"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0">
        <w:r>
          <w:rPr>
            <w:rStyle w:val="Hyperlink"/>
          </w:rPr>
          <w:t xml:space="preserve">http://www.R-project.org/</w:t>
        </w:r>
      </w:hyperlink>
      <w:r>
        <w:t xml:space="preserve">.</w:t>
      </w:r>
    </w:p>
    <w:bookmarkEnd w:id="261"/>
    <w:bookmarkStart w:id="263"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2">
        <w:r>
          <w:rPr>
            <w:rStyle w:val="Hyperlink"/>
          </w:rPr>
          <w:t xml:space="preserve">https://www.doi.org/10.1007/BF02295939</w:t>
        </w:r>
      </w:hyperlink>
      <w:r>
        <w:t xml:space="preserve">.</w:t>
      </w:r>
    </w:p>
    <w:bookmarkEnd w:id="263"/>
    <w:bookmarkStart w:id="265"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4">
        <w:r>
          <w:rPr>
            <w:rStyle w:val="Hyperlink"/>
          </w:rPr>
          <w:t xml:space="preserve">http://www.biostat.jhsph.edu/~fdominic/teaching/bio656/software-gllamm.manual.pdf</w:t>
        </w:r>
      </w:hyperlink>
      <w:r>
        <w:t xml:space="preserve">.</w:t>
      </w:r>
    </w:p>
    <w:bookmarkEnd w:id="265"/>
    <w:bookmarkStart w:id="267"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6">
        <w:r>
          <w:rPr>
            <w:rStyle w:val="Hyperlink"/>
          </w:rPr>
          <w:t xml:space="preserve">https://www.doi.org/10.1016/j.jeconom.2004.08.017</w:t>
        </w:r>
      </w:hyperlink>
      <w:r>
        <w:t xml:space="preserve">.</w:t>
      </w:r>
    </w:p>
    <w:bookmarkEnd w:id="267"/>
    <w:bookmarkStart w:id="269"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8">
        <w:r>
          <w:rPr>
            <w:rStyle w:val="Hyperlink"/>
          </w:rPr>
          <w:t xml:space="preserve">https://doi.org/10.1080/00031305.2012.695938</w:t>
        </w:r>
      </w:hyperlink>
      <w:r>
        <w:t xml:space="preserve">.</w:t>
      </w:r>
    </w:p>
    <w:bookmarkEnd w:id="269"/>
    <w:bookmarkStart w:id="271"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0">
        <w:r>
          <w:rPr>
            <w:rStyle w:val="Hyperlink"/>
          </w:rPr>
          <w:t xml:space="preserve">https://doi.org/10.1002/j.1538-7305.1948.tb01338.x</w:t>
        </w:r>
      </w:hyperlink>
      <w:r>
        <w:t xml:space="preserve">.</w:t>
      </w:r>
    </w:p>
    <w:bookmarkEnd w:id="271"/>
    <w:bookmarkStart w:id="273"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2">
        <w:r>
          <w:rPr>
            <w:rStyle w:val="Hyperlink"/>
          </w:rPr>
          <w:t xml:space="preserve">https://doi.org/10.2307/23042796</w:t>
        </w:r>
      </w:hyperlink>
      <w:r>
        <w:t xml:space="preserve">.</w:t>
      </w:r>
    </w:p>
    <w:bookmarkEnd w:id="273"/>
    <w:bookmarkStart w:id="275"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4">
        <w:r>
          <w:rPr>
            <w:rStyle w:val="Hyperlink"/>
          </w:rPr>
          <w:t xml:space="preserve">https://doi.org/10.1016/j.csda.2009.08.017</w:t>
        </w:r>
      </w:hyperlink>
      <w:r>
        <w:t xml:space="preserve">.</w:t>
      </w:r>
    </w:p>
    <w:bookmarkEnd w:id="275"/>
    <w:bookmarkStart w:id="276"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6"/>
    <w:bookmarkStart w:id="278"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7">
        <w:r>
          <w:rPr>
            <w:rStyle w:val="Hyperlink"/>
          </w:rPr>
          <w:t xml:space="preserve">https://doi.org/10.1111/1467-9868.00353</w:t>
        </w:r>
      </w:hyperlink>
      <w:r>
        <w:t xml:space="preserve">.</w:t>
      </w:r>
    </w:p>
    <w:bookmarkEnd w:id="278"/>
    <w:bookmarkStart w:id="280"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9">
        <w:r>
          <w:rPr>
            <w:rStyle w:val="Hyperlink"/>
          </w:rPr>
          <w:t xml:space="preserve">https://mc-stan.org</w:t>
        </w:r>
      </w:hyperlink>
      <w:r>
        <w:t xml:space="preserve">.</w:t>
      </w:r>
    </w:p>
    <w:bookmarkEnd w:id="280"/>
    <w:bookmarkStart w:id="282"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1">
        <w:r>
          <w:rPr>
            <w:rStyle w:val="Hyperlink"/>
          </w:rPr>
          <w:t xml:space="preserve">https://doi.org/10.1186/s13063-022-06967-6</w:t>
        </w:r>
      </w:hyperlink>
      <w:r>
        <w:t xml:space="preserve">.</w:t>
      </w:r>
    </w:p>
    <w:bookmarkEnd w:id="282"/>
    <w:bookmarkStart w:id="28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3">
        <w:r>
          <w:rPr>
            <w:rStyle w:val="Hyperlink"/>
          </w:rPr>
          <w:t xml:space="preserve">https://doi.org/10.1037/h0070288</w:t>
        </w:r>
      </w:hyperlink>
      <w:r>
        <w:t xml:space="preserve">.</w:t>
      </w:r>
    </w:p>
    <w:bookmarkEnd w:id="284"/>
    <w:bookmarkStart w:id="286"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5">
        <w:r>
          <w:rPr>
            <w:rStyle w:val="Hyperlink"/>
          </w:rPr>
          <w:t xml:space="preserve">https://doi.org/10.30931/jetas.321165</w:t>
        </w:r>
      </w:hyperlink>
      <w:r>
        <w:t xml:space="preserve">.</w:t>
      </w:r>
    </w:p>
    <w:bookmarkEnd w:id="286"/>
    <w:bookmarkStart w:id="28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7"/>
    <w:bookmarkStart w:id="289"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8">
        <w:r>
          <w:rPr>
            <w:rStyle w:val="Hyperlink"/>
          </w:rPr>
          <w:t xml:space="preserve">https://doi.org/10.3366/E1753854809000305</w:t>
        </w:r>
      </w:hyperlink>
      <w:r>
        <w:t xml:space="preserve">.</w:t>
      </w:r>
    </w:p>
    <w:bookmarkEnd w:id="289"/>
    <w:bookmarkStart w:id="291"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0">
        <w:r>
          <w:rPr>
            <w:rStyle w:val="Hyperlink"/>
          </w:rPr>
          <w:t xml:space="preserve">https://doi.org/10.1093/applin/6.1.71</w:t>
        </w:r>
      </w:hyperlink>
      <w:r>
        <w:t xml:space="preserve">.</w:t>
      </w:r>
    </w:p>
    <w:bookmarkEnd w:id="291"/>
    <w:bookmarkStart w:id="293"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2">
        <w:r>
          <w:rPr>
            <w:rStyle w:val="Hyperlink"/>
          </w:rPr>
          <w:t xml:space="preserve">https://doi.org/10.1007/s11222-016-9696-4</w:t>
        </w:r>
      </w:hyperlink>
      <w:r>
        <w:t xml:space="preserve">.</w:t>
      </w:r>
    </w:p>
    <w:bookmarkEnd w:id="293"/>
    <w:bookmarkStart w:id="295"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4">
        <w:r>
          <w:rPr>
            <w:rStyle w:val="Hyperlink"/>
          </w:rPr>
          <w:t xml:space="preserve">https://doi.org/10.1214/20-BA1221</w:t>
        </w:r>
      </w:hyperlink>
      <w:r>
        <w:t xml:space="preserve">.</w:t>
      </w:r>
    </w:p>
    <w:bookmarkEnd w:id="295"/>
    <w:bookmarkStart w:id="2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6">
        <w:r>
          <w:rPr>
            <w:rStyle w:val="Hyperlink"/>
          </w:rPr>
          <w:t xml:space="preserve">https://doi.org/10.1080/0969594X.2019.1602027</w:t>
        </w:r>
      </w:hyperlink>
      <w:r>
        <w:t xml:space="preserve">.</w:t>
      </w:r>
    </w:p>
    <w:bookmarkEnd w:id="297"/>
    <w:bookmarkStart w:id="299"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8">
        <w:r>
          <w:rPr>
            <w:rStyle w:val="Hyperlink"/>
          </w:rPr>
          <w:t xml:space="preserve">https://doi.org/10.3102/1076998610396895</w:t>
        </w:r>
      </w:hyperlink>
      <w:r>
        <w:t xml:space="preserve">.</w:t>
      </w:r>
    </w:p>
    <w:bookmarkEnd w:id="299"/>
    <w:bookmarkStart w:id="301"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0">
        <w:r>
          <w:rPr>
            <w:rStyle w:val="Hyperlink"/>
          </w:rPr>
          <w:t xml:space="preserve">https://www.jmlr.org/papers/volume14/watanabe13a/watanabe13a.pdf</w:t>
        </w:r>
      </w:hyperlink>
      <w:r>
        <w:t xml:space="preserve">.</w:t>
      </w:r>
    </w:p>
    <w:bookmarkEnd w:id="301"/>
    <w:bookmarkStart w:id="303"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2">
        <w:r>
          <w:rPr>
            <w:rStyle w:val="Hyperlink"/>
          </w:rPr>
          <w:t xml:space="preserve">https://doi.org/10.1080/02699200410001663344</w:t>
        </w:r>
      </w:hyperlink>
      <w:r>
        <w:t xml:space="preserve">.</w:t>
      </w:r>
    </w:p>
    <w:bookmarkEnd w:id="303"/>
    <w:bookmarkStart w:id="305"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4">
        <w:r>
          <w:rPr>
            <w:rStyle w:val="Hyperlink"/>
          </w:rPr>
          <w:t xml:space="preserve">https://doi.org/10.1038/s41440-023-01322-x</w:t>
        </w:r>
      </w:hyperlink>
      <w:r>
        <w:t xml:space="preserve">.</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2024-04-18T16:31:06Z</dcterms:created>
  <dcterms:modified xsi:type="dcterms:W3CDTF">2024-04-18T16:31:06Z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aims to demonstrate the efficacy of the Generalized Linear Latent and Mixed Model (GLLAMM) (Rabe-Hesketh, Skrondal, and Pickles 2004a, 2004c, 2004b; Skrondal and Rabe-Hesketh 2004) in analyzing entropy scores for investigating speech intelligibility hypotheses. Using transcriptions from spontaneous speech data originally collected by Boonen et al. (2021), the study employs the Bayesian Beta-proportion GLLAMM to model the resulting entropy scores. The research compared the model’s prediction accuracy with the Normal Linear Mixed Model (LMM) (Holmes, Bolin, and Kelley 2019) and investigated its capacity to estimate a latent intelligibility from these entropy scores. The study also illustrates how researcher can explore hypotheses concerning the impact of speaker-related factors on intelligibility. Results show the superiority of the Beta-proportion GLLAMM in predicting empirical phenomena over the Normal LMM and its ability to quantify latent potential intelligibility. Additionally, the model facilitates hypothesis exploration concerning speaker-related factors and intelligibility. However, implementing these statistical tools require formulating assumptions about the data-generating process and knowledge of probabilistic programming languages, the core of Bayesian methods. Nevertheless, the study suggests future research directions, including causal hypothesis formulation and novel methods for intelligibility assessment. Ultimately, this research has implications for researchers and data analysts interested in quantitatively measuring intricate, unobservable constructs and accurately predicting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