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2024-05-23</w:t>
      </w:r>
    </w:p>
    <w:p>
      <w:pPr>
        <w:pStyle w:val="AbstractTitle"/>
      </w:pPr>
      <w:r>
        <w:t xml:space="preserve">Abstract</w:t>
      </w:r>
    </w:p>
    <w:p>
      <w:pPr>
        <w:pStyle w:val="Abstract"/>
      </w:pPr>
      <w:r>
        <w:t xml:space="preserve">When</w:t>
      </w:r>
      <w:r>
        <w:t xml:space="preserve"> </w:t>
      </w:r>
      <w:r>
        <w:t xml:space="preserve">investigating</w:t>
      </w:r>
      <w:r>
        <w:t xml:space="preserve"> </w:t>
      </w:r>
      <w:r>
        <w:t xml:space="preserve">unobservable,</w:t>
      </w:r>
      <w:r>
        <w:t xml:space="preserve"> </w:t>
      </w:r>
      <w:r>
        <w:t xml:space="preserve">complex</w:t>
      </w:r>
      <w:r>
        <w:t xml:space="preserve"> </w:t>
      </w:r>
      <w:r>
        <w:t xml:space="preserve">traits,</w:t>
      </w:r>
      <w:r>
        <w:t xml:space="preserve"> </w:t>
      </w:r>
      <w:r>
        <w:t xml:space="preserve">data</w:t>
      </w:r>
      <w:r>
        <w:t xml:space="preserve"> </w:t>
      </w:r>
      <w:r>
        <w:t xml:space="preserve">collection</w:t>
      </w:r>
      <w:r>
        <w:t xml:space="preserve"> </w:t>
      </w:r>
      <w:r>
        <w:t xml:space="preserve">and</w:t>
      </w:r>
      <w:r>
        <w:t xml:space="preserve"> </w:t>
      </w:r>
      <w:r>
        <w:t xml:space="preserve">aggregation</w:t>
      </w:r>
      <w:r>
        <w:t xml:space="preserve"> </w:t>
      </w:r>
      <w:r>
        <w:t xml:space="preserve">processes</w:t>
      </w:r>
      <w:r>
        <w:t xml:space="preserve"> </w:t>
      </w:r>
      <w:r>
        <w:t xml:space="preserve">can</w:t>
      </w:r>
      <w:r>
        <w:t xml:space="preserve"> </w:t>
      </w:r>
      <w:r>
        <w:t xml:space="preserve">introduce</w:t>
      </w:r>
      <w:r>
        <w:t xml:space="preserve"> </w:t>
      </w:r>
      <w:r>
        <w:t xml:space="preserve">distinctive</w:t>
      </w:r>
      <w:r>
        <w:t xml:space="preserve"> </w:t>
      </w:r>
      <w:r>
        <w:t xml:space="preserve">features</w:t>
      </w:r>
      <w:r>
        <w:t xml:space="preserve"> </w:t>
      </w:r>
      <w:r>
        <w:t xml:space="preserve">to</w:t>
      </w:r>
      <w:r>
        <w:t xml:space="preserve"> </w:t>
      </w:r>
      <w:r>
        <w:t xml:space="preserve">the</w:t>
      </w:r>
      <w:r>
        <w:t xml:space="preserve"> </w:t>
      </w:r>
      <w:r>
        <w:t xml:space="preserve">data</w:t>
      </w:r>
      <w:r>
        <w:t xml:space="preserve"> </w:t>
      </w:r>
      <w:r>
        <w:t xml:space="preserve">such</w:t>
      </w:r>
      <w:r>
        <w:t xml:space="preserve"> </w:t>
      </w:r>
      <w:r>
        <w:t xml:space="preserve">as</w:t>
      </w:r>
      <w:r>
        <w:t xml:space="preserve"> </w:t>
      </w:r>
      <w:r>
        <w:t xml:space="preserve">boundedness,</w:t>
      </w:r>
      <w:r>
        <w:t xml:space="preserve"> </w:t>
      </w:r>
      <w:r>
        <w:t xml:space="preserve">measurement</w:t>
      </w:r>
      <w:r>
        <w:t xml:space="preserve"> </w:t>
      </w:r>
      <w:r>
        <w:t xml:space="preserve">error,</w:t>
      </w:r>
      <w:r>
        <w:t xml:space="preserve"> </w:t>
      </w:r>
      <w:r>
        <w:t xml:space="preserve">clustering,</w:t>
      </w:r>
      <w:r>
        <w:t xml:space="preserve"> </w:t>
      </w:r>
      <w:r>
        <w:t xml:space="preserve">outliers</w:t>
      </w:r>
      <w:r>
        <w:t xml:space="preserve"> </w:t>
      </w:r>
      <w:r>
        <w:t xml:space="preserve">and</w:t>
      </w:r>
      <w:r>
        <w:t xml:space="preserve"> </w:t>
      </w:r>
      <w:r>
        <w:t xml:space="preserve">heteroscedasticity.</w:t>
      </w:r>
      <w:r>
        <w:t xml:space="preserve"> </w:t>
      </w:r>
      <w:r>
        <w:t xml:space="preserve">Failure</w:t>
      </w:r>
      <w:r>
        <w:t xml:space="preserve"> </w:t>
      </w:r>
      <w:r>
        <w:t xml:space="preserve">to</w:t>
      </w:r>
      <w:r>
        <w:t xml:space="preserve"> </w:t>
      </w:r>
      <w:r>
        <w:t xml:space="preserve">collectively</w:t>
      </w:r>
      <w:r>
        <w:t xml:space="preserve"> </w:t>
      </w:r>
      <w:r>
        <w:t xml:space="preserve">address</w:t>
      </w:r>
      <w:r>
        <w:t xml:space="preserve"> </w:t>
      </w:r>
      <w:r>
        <w:t xml:space="preserve">these</w:t>
      </w:r>
      <w:r>
        <w:t xml:space="preserve"> </w:t>
      </w:r>
      <w:r>
        <w:t xml:space="preserve">features</w:t>
      </w:r>
      <w:r>
        <w:t xml:space="preserve"> </w:t>
      </w:r>
      <w:r>
        <w:t xml:space="preserve">can</w:t>
      </w:r>
      <w:r>
        <w:t xml:space="preserve"> </w:t>
      </w:r>
      <w:r>
        <w:t xml:space="preserve">result</w:t>
      </w:r>
      <w:r>
        <w:t xml:space="preserve"> </w:t>
      </w:r>
      <w:r>
        <w:t xml:space="preserve">in</w:t>
      </w:r>
      <w:r>
        <w:t xml:space="preserve"> </w:t>
      </w:r>
      <w:r>
        <w:t xml:space="preserve">statistical</w:t>
      </w:r>
      <w:r>
        <w:t xml:space="preserve"> </w:t>
      </w:r>
      <w:r>
        <w:t xml:space="preserve">challenges</w:t>
      </w:r>
      <w:r>
        <w:t xml:space="preserve"> </w:t>
      </w:r>
      <w:r>
        <w:t xml:space="preserve">that</w:t>
      </w:r>
      <w:r>
        <w:t xml:space="preserve"> </w:t>
      </w:r>
      <w:r>
        <w:t xml:space="preserve">prevent</w:t>
      </w:r>
      <w:r>
        <w:t xml:space="preserve"> </w:t>
      </w:r>
      <w:r>
        <w:t xml:space="preserve">the</w:t>
      </w:r>
      <w:r>
        <w:t xml:space="preserve"> </w:t>
      </w:r>
      <w:r>
        <w:t xml:space="preserve">investigation</w:t>
      </w:r>
      <w:r>
        <w:t xml:space="preserve"> </w:t>
      </w:r>
      <w:r>
        <w:t xml:space="preserve">of</w:t>
      </w:r>
      <w:r>
        <w:t xml:space="preserve"> </w:t>
      </w:r>
      <w:r>
        <w:t xml:space="preserve">hypotheses</w:t>
      </w:r>
      <w:r>
        <w:t xml:space="preserve"> </w:t>
      </w:r>
      <w:r>
        <w:t xml:space="preserve">regarding</w:t>
      </w:r>
      <w:r>
        <w:t xml:space="preserve"> </w:t>
      </w:r>
      <w:r>
        <w:t xml:space="preserve">these</w:t>
      </w:r>
      <w:r>
        <w:t xml:space="preserve"> </w:t>
      </w:r>
      <w:r>
        <w:t xml:space="preserve">traits.</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Bayesian</w:t>
      </w:r>
      <w:r>
        <w:t xml:space="preserve"> </w:t>
      </w:r>
      <w:r>
        <w:t xml:space="preserve">Beta-proportion</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(Beta-proportion</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data</w:t>
      </w:r>
      <w:r>
        <w:t xml:space="preserve"> </w:t>
      </w:r>
      <w:r>
        <w:t xml:space="preserve">features</w:t>
      </w:r>
      <w:r>
        <w:t xml:space="preserve"> </w:t>
      </w:r>
      <w:r>
        <w:t xml:space="preserve">when</w:t>
      </w:r>
      <w:r>
        <w:t xml:space="preserve"> </w:t>
      </w:r>
      <w:r>
        <w:t xml:space="preserve">exploring</w:t>
      </w:r>
      <w:r>
        <w:t xml:space="preserve"> </w:t>
      </w:r>
      <w:r>
        <w:t xml:space="preserve">research</w:t>
      </w:r>
      <w:r>
        <w:t xml:space="preserve"> </w:t>
      </w:r>
      <w:r>
        <w:t xml:space="preserve">hypotheses</w:t>
      </w:r>
      <w:r>
        <w:t xml:space="preserve"> </w:t>
      </w:r>
      <w:r>
        <w:t xml:space="preserve">concerning</w:t>
      </w:r>
      <w:r>
        <w:t xml:space="preserve"> </w:t>
      </w:r>
      <w:r>
        <w:t xml:space="preserve">speech</w:t>
      </w:r>
      <w:r>
        <w:t xml:space="preserve"> </w:t>
      </w:r>
      <w:r>
        <w:t xml:space="preserve">intelligibility.</w:t>
      </w:r>
      <w:r>
        <w:t xml:space="preserve"> </w:t>
      </w:r>
      <w:r>
        <w:t xml:space="preserve">To</w:t>
      </w:r>
      <w:r>
        <w:t xml:space="preserve"> </w:t>
      </w:r>
      <w:r>
        <w:t xml:space="preserve">achieve</w:t>
      </w:r>
      <w:r>
        <w:t xml:space="preserve"> </w:t>
      </w:r>
      <w:r>
        <w:t xml:space="preserve">this</w:t>
      </w:r>
      <w:r>
        <w:t xml:space="preserve"> </w:t>
      </w:r>
      <w:r>
        <w:t xml:space="preserve">objective,</w:t>
      </w:r>
      <w:r>
        <w:t xml:space="preserve"> </w:t>
      </w:r>
      <w:r>
        <w:t xml:space="preserve">the</w:t>
      </w:r>
      <w:r>
        <w:t xml:space="preserve"> </w:t>
      </w:r>
      <w:r>
        <w:t xml:space="preserve">study</w:t>
      </w:r>
      <w:r>
        <w:t xml:space="preserve"> </w:t>
      </w:r>
      <w:r>
        <w:t xml:space="preserve">reexamined</w:t>
      </w:r>
      <w:r>
        <w:t xml:space="preserve"> </w:t>
      </w:r>
      <w:r>
        <w:t xml:space="preserve">data</w:t>
      </w:r>
      <w:r>
        <w:t xml:space="preserve"> </w:t>
      </w:r>
      <w:r>
        <w:t xml:space="preserve">from</w:t>
      </w:r>
      <w:r>
        <w:t xml:space="preserve"> </w:t>
      </w:r>
      <w:r>
        <w:t xml:space="preserve">transcriptions</w:t>
      </w:r>
      <w:r>
        <w:t xml:space="preserve"> </w:t>
      </w:r>
      <w:r>
        <w:t xml:space="preserve">of</w:t>
      </w:r>
      <w:r>
        <w:t xml:space="preserve"> </w:t>
      </w:r>
      <w:r>
        <w:t xml:space="preserve">spontaneous</w:t>
      </w:r>
      <w:r>
        <w:t xml:space="preserve"> </w:t>
      </w:r>
      <w:r>
        <w:t xml:space="preserve">speech</w:t>
      </w:r>
      <w:r>
        <w:t xml:space="preserve"> </w:t>
      </w:r>
      <w:r>
        <w:t xml:space="preserve">samples</w:t>
      </w:r>
      <w:r>
        <w:t xml:space="preserve"> </w:t>
      </w:r>
      <w:r>
        <w:t xml:space="preserve">initially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data</w:t>
      </w:r>
      <w:r>
        <w:t xml:space="preserve"> </w:t>
      </w:r>
      <w:r>
        <w:t xml:space="preserve">were</w:t>
      </w:r>
      <w:r>
        <w:t xml:space="preserve"> </w:t>
      </w:r>
      <w:r>
        <w:t xml:space="preserve">aggregated</w:t>
      </w:r>
      <w:r>
        <w:t xml:space="preserve"> </w:t>
      </w:r>
      <w:r>
        <w:t xml:space="preserve">into</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prediction</w:t>
      </w:r>
      <w:r>
        <w:t xml:space="preserve"> </w:t>
      </w:r>
      <w:r>
        <w:t xml:space="preserve">accuracy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illustrated</w:t>
      </w:r>
      <w:r>
        <w:t xml:space="preserve"> </w:t>
      </w:r>
      <w:r>
        <w:t xml:space="preserve">how</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can</w:t>
      </w:r>
      <w:r>
        <w:t xml:space="preserve"> </w:t>
      </w:r>
      <w:r>
        <w:t xml:space="preserve">be</w:t>
      </w:r>
      <w:r>
        <w:t xml:space="preserve"> </w:t>
      </w:r>
      <w:r>
        <w:t xml:space="preserve">explored</w:t>
      </w:r>
      <w:r>
        <w:t xml:space="preserve"> </w:t>
      </w:r>
      <w:r>
        <w:t xml:space="preserve">with</w:t>
      </w:r>
      <w:r>
        <w:t xml:space="preserve"> </w:t>
      </w:r>
      <w:r>
        <w:t xml:space="preserve">the</w:t>
      </w:r>
      <w:r>
        <w:t xml:space="preserve"> </w:t>
      </w:r>
      <w:r>
        <w:t xml:space="preserve">proposed</w:t>
      </w:r>
      <w:r>
        <w:t xml:space="preserve"> </w:t>
      </w:r>
      <w:r>
        <w:t xml:space="preserve">model.</w:t>
      </w:r>
      <w:r>
        <w:t xml:space="preserve"> </w:t>
      </w:r>
      <w:r>
        <w:t xml:space="preserve">The</w:t>
      </w:r>
      <w:r>
        <w:t xml:space="preserve"> </w:t>
      </w:r>
      <w:r>
        <w:t xml:space="preserve">Beta-proportion</w:t>
      </w:r>
      <w:r>
        <w:t xml:space="preserve"> </w:t>
      </w:r>
      <w:r>
        <w:t xml:space="preserve">GLLAMM</w:t>
      </w:r>
      <w:r>
        <w:t xml:space="preserve"> </w:t>
      </w:r>
      <w:r>
        <w:t xml:space="preserve">was</w:t>
      </w:r>
      <w:r>
        <w:t xml:space="preserve"> </w:t>
      </w:r>
      <w:r>
        <w:t xml:space="preserve">not</w:t>
      </w:r>
      <w:r>
        <w:t xml:space="preserve"> </w:t>
      </w:r>
      <w:r>
        <w:t xml:space="preserve">free</w:t>
      </w:r>
      <w:r>
        <w:t xml:space="preserve"> </w:t>
      </w:r>
      <w:r>
        <w:t xml:space="preserve">of</w:t>
      </w:r>
      <w:r>
        <w:t xml:space="preserve"> </w:t>
      </w:r>
      <w:r>
        <w:t xml:space="preserve">challenges;</w:t>
      </w:r>
      <w:r>
        <w:t xml:space="preserve"> </w:t>
      </w:r>
      <w:r>
        <w:t xml:space="preserve">its</w:t>
      </w:r>
      <w:r>
        <w:t xml:space="preserve"> </w:t>
      </w:r>
      <w:r>
        <w:t xml:space="preserve">implementation</w:t>
      </w:r>
      <w:r>
        <w:t xml:space="preserve"> </w:t>
      </w:r>
      <w:r>
        <w:t xml:space="preserve">required</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both</w:t>
      </w:r>
      <w:r>
        <w:t xml:space="preserve"> </w:t>
      </w:r>
      <w:r>
        <w:t xml:space="preserve">central</w:t>
      </w:r>
      <w:r>
        <w:t xml:space="preserve"> </w:t>
      </w:r>
      <w:r>
        <w:t xml:space="preserve">to</w:t>
      </w:r>
      <w:r>
        <w:t xml:space="preserve"> </w:t>
      </w:r>
      <w:r>
        <w:t xml:space="preserve">Bayesian</w:t>
      </w:r>
      <w:r>
        <w:t xml:space="preserve"> </w:t>
      </w:r>
      <w:r>
        <w:t xml:space="preserve">methods.</w:t>
      </w:r>
      <w:r>
        <w:t xml:space="preserve"> </w:t>
      </w:r>
      <w:r>
        <w:t xml:space="preserve">Nevertheless,</w:t>
      </w:r>
      <w:r>
        <w:t xml:space="preserve"> </w:t>
      </w:r>
      <w:r>
        <w:t xml:space="preserve">results</w:t>
      </w:r>
      <w:r>
        <w:t xml:space="preserve"> </w:t>
      </w:r>
      <w:r>
        <w:t xml:space="preserve">indicated</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model</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a</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proposed</w:t>
      </w:r>
      <w:r>
        <w:t xml:space="preserve"> </w:t>
      </w:r>
      <w:r>
        <w:t xml:space="preserve">model</w:t>
      </w:r>
      <w:r>
        <w:t xml:space="preserve"> </w:t>
      </w:r>
      <w:r>
        <w:t xml:space="preserve">facilitated</w:t>
      </w:r>
      <w:r>
        <w:t xml:space="preserve"> </w:t>
      </w:r>
      <w:r>
        <w:t xml:space="preserve">the</w:t>
      </w:r>
      <w:r>
        <w:t xml:space="preserve"> </w:t>
      </w:r>
      <w:r>
        <w:t xml:space="preserve">exploration</w:t>
      </w:r>
      <w:r>
        <w:t xml:space="preserve"> </w:t>
      </w:r>
      <w:r>
        <w:t xml:space="preserve">of</w:t>
      </w:r>
      <w:r>
        <w:t xml:space="preserve"> </w:t>
      </w:r>
      <w:r>
        <w:t xml:space="preserve">hypotheses</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accurately</w:t>
      </w:r>
      <w:r>
        <w:t xml:space="preserve"> </w:t>
      </w:r>
      <w:r>
        <w:t xml:space="preserve">predicting</w:t>
      </w:r>
      <w:r>
        <w:t xml:space="preserve"> </w:t>
      </w:r>
      <w:r>
        <w:t xml:space="preserve">the</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w:t>
      </w:r>
      <w:r>
        <w:t xml:space="preserve"> </w:t>
      </w:r>
      <w:r>
        <w:t xml:space="preserve">Intelligibility refers to the extent to which a listener can accurately recover the words in a speaker’s acoustic signal</w:t>
      </w:r>
      <w:r>
        <w:t xml:space="preserve"> </w:t>
      </w:r>
      <w:r>
        <w:t xml:space="preserve">(Freeman et al. 2017; van Heuven 2008; Whitehill and Chau 2004)</w:t>
      </w:r>
      <w:r>
        <w:t xml:space="preserve">. Furthermore, achieving intelligible spoken language requires to master all core components of speech perception, cognitive processing, linguistic knowledge, and articulation</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the attributes of the communicative environment such as background noise</w:t>
      </w:r>
      <w:r>
        <w:t xml:space="preserve"> </w:t>
      </w:r>
      <w:r>
        <w:t xml:space="preserve">(Munro 1998)</w:t>
      </w:r>
      <w:r>
        <w:t xml:space="preserve">, with features of the speaker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characteristics of the listener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 intelligible 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 entropy scores’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w:t>
      </w:r>
      <w:r>
        <w:t xml:space="preserve"> </w:t>
      </w:r>
      <w:r>
        <w:t xml:space="preserve">Underfitting occurs when statistical models fail to capture the underlying data patterns, potentially generating predictions outside the data range, thus hindering the model’s ability to generalize when confronted with new data.</w:t>
      </w:r>
      <w:r>
        <w:t xml:space="preserve"> </w:t>
      </w:r>
      <w:r>
        <w:t xml:space="preserve">Conversely, misspecification, which is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r>
        <w:t xml:space="preserve"> </w:t>
      </w:r>
      <w:r>
        <w:t xml:space="preserve">Type I error results when the null hypothesis is falsely rejected, while Type II error that results when the null hypothesis is falsely accepted</w:t>
      </w:r>
      <w:r>
        <w:t xml:space="preserve"> </w:t>
      </w:r>
      <w:r>
        <w:t xml:space="preserve">(Everitt and Skrondal 2010)</w:t>
      </w:r>
      <w:r>
        <w:t xml:space="preserve">.</w:t>
      </w:r>
    </w:p>
    <w:p>
      <w:pPr>
        <w:pStyle w:val="BodyText"/>
      </w:pPr>
      <w:r>
        <w:t xml:space="preserve">In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for three main reasons. Firstly, prior research have consistently demonstrated the superiority of Bayesian methods over frequentist methods, especially with complex and overparameterized models</w:t>
      </w:r>
      <w:r>
        <w:t xml:space="preserve"> </w:t>
      </w:r>
      <w:r>
        <w:t xml:space="preserve">(Baker 1998; Kim and Cohen 1999)</w:t>
      </w:r>
      <w:r>
        <w:t xml:space="preserve">, such as the GLLAMM used in this study. Overparameterized models are those with more parameters than observations for estimation</w:t>
      </w:r>
      <w:r>
        <w:t xml:space="preserve"> </w:t>
      </w:r>
      <w:r>
        <w:t xml:space="preserve">(Everitt and Skrondal 2010)</w:t>
      </w:r>
      <w:r>
        <w:t xml:space="preserve">. Secondly, the Bayesian approach enabled the incorporation of prior information, thereby constraining certain parameters within specified bounds. This feature addressed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have exhibited proficiency in drawing inferences from small sample sizes</w:t>
      </w:r>
      <w:r>
        <w:t xml:space="preserve"> </w:t>
      </w:r>
      <w:r>
        <w:t xml:space="preserve">(Baldwin and Fellingham 2013; Lambert et al. 2006; Depaoli 2014)</w:t>
      </w:r>
      <w:r>
        <w:t xml:space="preserve">. This feature of the Bayesian methods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features of the data when investigating unobservable and complex traits, this investigation aimed to demonstrate the efficacy of the Generalized Linear Latent and Mixed Model (GLLAMM) in handling entropy score features when exploring research hypotheses concerning speech intelligibility. To achieve this objective, the study reexamined data originating from transcriptions of spontaneous speech samples, initially collected by</w:t>
      </w:r>
      <w:r>
        <w:t xml:space="preserve"> </w:t>
      </w:r>
      <w:r>
        <w:t xml:space="preserve">Boonen et al. (2023)</w:t>
      </w:r>
      <w:r>
        <w:t xml:space="preserve">. The data was aggregated into entropy scores and subjected to modelling through the Bayesian Beta-proportion GLLAMM.</w:t>
      </w:r>
    </w:p>
    <w:p>
      <w:pPr>
        <w:pStyle w:val="BodyText"/>
      </w:pPr>
      <w:r>
        <w:t xml:space="preserve">To address the primary objective, the study posed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evaluated whether the Beta-proportion GLLAMM yielded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investigated how the proposed model can estimate speakers’ latent intelligibility from manifest entropy scores. Thirdly, recognizing that research involves developing and comparing hypotheses,</w:t>
      </w:r>
      <w:r>
        <w:t xml:space="preserve"> </w:t>
      </w:r>
      <w:r>
        <w:rPr>
          <w:i/>
          <w:iCs/>
        </w:rPr>
        <w:t xml:space="preserve">Research Question 3 (RQ3)</w:t>
      </w:r>
      <w:r>
        <w:t xml:space="preserve"> </w:t>
      </w:r>
      <w:r>
        <w:t xml:space="preserve">illustrated how these research hypotheses can be examined within the model’s framework. Specifically, RQ3 assessed the influence of speaker-related factors on the newly estimated latent intelligibility.</w:t>
      </w:r>
    </w:p>
    <w:p>
      <w:pPr>
        <w:pStyle w:val="BodyText"/>
      </w:pPr>
      <w:r>
        <w:t xml:space="preserve">Ultimately, this study offers researchers studying speech intelligibility through entropy scores and those in similar or different fields facing analogous data challenges with a statistical tool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from every speaker, and the output was manually checked and adjusted (if needed) in order to appropriately align the words. 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for every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In addition,</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was excluded from the modelling process using univariate procedures, rather, the identification of highly influential observations was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w:t>
            </w:r>
            <w:r>
              <w:t xml:space="preserve"> </w:t>
            </w:r>
            <w:r>
              <w:t xml:space="preserve">Entropy scores were calculated from words of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w:t>
            </w:r>
            <w:r>
              <w:t xml:space="preserve"> </w:t>
            </w:r>
            <w:r>
              <w:t xml:space="preserve">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denotes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that no transformation is applied to the relationship between the average entropy and the linear combination of speakers’ characteristics. This is commonly known as a direct link function. In addition,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Also,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Lastly,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in this study, the overparameterized model facilitates: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the response model posits that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w:r>
        <w:t xml:space="preserve"> </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within sentences for each speaker, with</w:t>
      </w:r>
      <w:r>
        <w:t xml:space="preserve"> </w:t>
      </w:r>
      <m:oMath>
        <m:r>
          <m:t>S</m:t>
        </m:r>
      </m:oMath>
      <w:r>
        <w:t xml:space="preserve"> </w:t>
      </w:r>
      <w:r>
        <w:t xml:space="preserve">denoting the total number of sentences per speaker.</w:t>
      </w:r>
    </w:p>
    <w:p>
      <w:pPr>
        <w:pStyle w:val="BodyText"/>
      </w:pPr>
      <w:r>
        <w:t xml:space="preserve">Several features are evident in the probabilistic representation of the model.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In addition,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 The term</w:t>
      </w:r>
      <w:r>
        <w:t xml:space="preserve"> </w:t>
      </w:r>
      <m:oMath>
        <m:sSub>
          <m:e>
            <m:r>
              <m:t>e</m:t>
            </m:r>
          </m:e>
          <m:sub>
            <m:r>
              <m:t>i</m:t>
            </m:r>
          </m:sub>
        </m:sSub>
      </m:oMath>
      <w:r>
        <w:t xml:space="preserve"> </w:t>
      </w:r>
      <w:r>
        <w:t xml:space="preserve">represents inherent differences in potential intelligibility among different speakers. The term</w:t>
      </w:r>
      <w:r>
        <w:t xml:space="preserve"> </w:t>
      </w:r>
      <m:oMath>
        <m:sSub>
          <m:e>
            <m:r>
              <m:t>u</m:t>
            </m:r>
          </m:e>
          <m:sub>
            <m:r>
              <m:t>i</m:t>
            </m:r>
          </m:sub>
        </m:sSub>
      </m:oMath>
      <w:r>
        <w:t xml:space="preserve"> </w:t>
      </w:r>
      <w:r>
        <w:t xml:space="preserve">assumes that different sentences measure potential intelligibility differently due to variations in word difficulties and their interplay within the sentence.</w:t>
      </w:r>
    </w:p>
    <w:bookmarkEnd w:id="35"/>
    <w:bookmarkStart w:id="41"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established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The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(see</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were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were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40" w:name="sec-M-SM-P-BGLLAMM"/>
    <w:p>
      <w:pPr>
        <w:pStyle w:val="Heading4"/>
      </w:pPr>
      <w:r>
        <w:t xml:space="preserve">Beta-proportion GLLAMM</w:t>
      </w:r>
    </w:p>
    <w:p>
      <w:pPr>
        <w:pStyle w:val="FirstParagraph"/>
      </w:pPr>
      <w:r>
        <w:t xml:space="preserve">For the parameters of the Beta-proportion GLLAMM, weakly informative priors and hyperpriors were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were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tbl>
      <w:tblPr>
        <w:tblStyle w:val="Table"/>
        <w:tblW w:type="pct" w:w="5000"/>
        <w:tblLayout w:type="fixed"/>
        <w:tblLook w:firstRow="0" w:lastRow="0" w:firstColumn="0" w:lastColumn="0" w:noHBand="0" w:noVBand="0" w:val="0000"/>
      </w:tblPr>
      <w:tblGrid>
        <w:gridCol w:w="7920"/>
      </w:tblGrid>
      <w:tr>
        <w:tc>
          <w:tcPr/>
          <w:bookmarkStart w:id="39"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39"/>
          <w:p/>
        </w:tc>
      </w:tr>
    </w:tbl>
    <w:bookmarkEnd w:id="40"/>
    <w:bookmarkEnd w:id="41"/>
    <w:bookmarkStart w:id="42" w:name="sec-M-SM-FM"/>
    <w:p>
      <w:pPr>
        <w:pStyle w:val="Heading3"/>
      </w:pPr>
      <w:r>
        <w:t xml:space="preserve">Fitted models</w:t>
      </w:r>
    </w:p>
    <w:p>
      <w:pPr>
        <w:pStyle w:val="FirstParagraph"/>
      </w:pPr>
      <w:r>
        <w:t xml:space="preserve">This study evaluated the comparative predictive capabilities of both the Normal LMM and the Beta-proportion GLLAMM (RQ1) while simultaneously examined various formulations regarding how speaker-related factors influence intelligibility (RQ3). In this context, the predictive capabilities of the models were intricately connected to these formulations. As a result, the study required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incorporated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were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(see</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This study compared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this study utilized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Consequently, this study also presented the associated uncertainty for both criteria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reported the models’ complexity penalization, as well as their associated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evaluated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were specifically chosen for this comparison because their assumptions exclusively addressed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was a Normal LMM that solely addresses data clustering. Building upon this, Model</w:t>
      </w:r>
      <w:r>
        <w:t xml:space="preserve"> </w:t>
      </w:r>
      <m:oMath>
        <m:r>
          <m:t>4</m:t>
        </m:r>
      </m:oMath>
      <w:r>
        <w:t xml:space="preserve"> </w:t>
      </w:r>
      <w:r>
        <w:t xml:space="preserve">introduced a robust feature. Conversely, Model</w:t>
      </w:r>
      <w:r>
        <w:t xml:space="preserve"> </w:t>
      </w:r>
      <m:oMath>
        <m:r>
          <m:t>7</m:t>
        </m:r>
      </m:oMath>
      <w:r>
        <w:t xml:space="preserve"> </w:t>
      </w:r>
      <w:r>
        <w:t xml:space="preserve">was a Beta-proportion GLLAMM that deals with boundedness, measurement error and data clustering, and Model</w:t>
      </w:r>
      <w:r>
        <w:t xml:space="preserve"> </w:t>
      </w:r>
      <m:oMath>
        <m:r>
          <m:t>10</m:t>
        </m:r>
      </m:oMath>
      <w:r>
        <w:t xml:space="preserve"> </w:t>
      </w:r>
      <w:r>
        <w:t xml:space="preserve">extended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pointed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deviateed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underscored that</w:t>
      </w:r>
      <w:r>
        <w:t xml:space="preserve"> </w:t>
      </w:r>
      <m:oMath>
        <m:r>
          <m:t>100</m:t>
        </m:r>
        <m:r>
          <m:rPr>
            <m:sty m:val="p"/>
          </m:rPr>
          <m:t>%</m:t>
        </m:r>
      </m:oMath>
      <w:r>
        <w:t xml:space="preserve"> </w:t>
      </w:r>
      <w:r>
        <w:t xml:space="preserve">of the evidence aligned with and supported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failed to adequately capture the data’s underlying patterns, resulting in predictions that were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bore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causeed the model to be</w:t>
      </w:r>
      <w:r>
        <w:t xml:space="preserve"> </w:t>
      </w:r>
      <w:r>
        <w:rPr>
          <w:i/>
          <w:iCs/>
        </w:rPr>
        <w:t xml:space="preserve">more surprised</w:t>
      </w:r>
      <w:r>
        <w:t xml:space="preserve"> </w:t>
      </w:r>
      <w:r>
        <w:t xml:space="preserve">by extreme entropy scores, leading to their identification as highly unlikely and influential observations. Consequently, the model was rendered unreliable due to the potential biases present in the parameter estimates. In contrast, the Beta-proportion GLLAMM appeared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displayed prediction densities that bore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was</w:t>
      </w:r>
      <w:r>
        <w:t xml:space="preserve"> </w:t>
      </w:r>
      <w:r>
        <w:rPr>
          <w:i/>
          <w:iCs/>
        </w:rPr>
        <w:t xml:space="preserve">less surprised</w:t>
      </w:r>
      <w:r>
        <w:t xml:space="preserve"> </w:t>
      </w:r>
      <w:r>
        <w:t xml:space="preserve">by extreme 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following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provided the complete posterior distribution of the speakers’ potential intelligibility scores. This provision, in turn, (1) enabled the calculation of summaries, facilitating the ranking of individuals, and (2) supported the assessment of differences among selected speakers. In both cases, the model considered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 The figure indicates that speaker</w:t>
      </w:r>
      <w:r>
        <w:t xml:space="preserve"> </w:t>
      </w:r>
      <m:oMath>
        <m:r>
          <m:t>6</m:t>
        </m:r>
      </m:oMath>
      <w:r>
        <w:t xml:space="preserve"> </w:t>
      </w:r>
      <w:r>
        <w:t xml:space="preserve">stands out as the least intelligible in the sample, followed further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w:t>
      </w:r>
      <w:r>
        <w:t xml:space="preserve"> </w:t>
      </w:r>
      <w:r>
        <w:t xml:space="preserve">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(see</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illustrated how hypotheses on intelligibility can be examined within the model’s framework.</w:t>
      </w:r>
      <w:r>
        <w:t xml:space="preserve"> </w:t>
      </w:r>
      <w:r>
        <w:t xml:space="preserve">Specifically, the focus centered on assessing the influence of speaker-related factors on intelligibility, such as chronological age and hearing status.</w:t>
      </w:r>
      <w:r>
        <w:t xml:space="preserve"> </w:t>
      </w:r>
      <w:r>
        <w:t xml:space="preserve">Notably, despite RQ1 indicating the suitability of the Beta-proportion GLLAMM for entropy scores, existing statistical literature suggests that, in certain scenarios, models incorporating covariate adjustment exhibit robustness to misspecification in the functional form of the covariate-outcome relationship</w:t>
      </w:r>
      <w:r>
        <w:t xml:space="preserve"> </w:t>
      </w:r>
      <w:r>
        <w:t xml:space="preserve">(Tackney et al. 2023)</w:t>
      </w:r>
      <w:r>
        <w:t xml:space="preserve">. Consequently, this study compared all models detailed in Table 2. These models were characterized by different covariate adjustments on entropy scores or the latent potential intelligibility of speakers, namely chronological age and hearing status. Furthermore, some models like the Normal LMMs, potentially exhibited misspecification in the covariate-outcome relationship.</w:t>
      </w:r>
    </w:p>
    <w:p>
      <w:pPr>
        <w:pStyle w:val="BodyText"/>
      </w:pPr>
      <w:r>
        <w:t xml:space="preserve">Similar to RQ1, all criteria consistently identified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exhibited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In addition,</w:t>
      </w:r>
      <w:r>
        <w:t xml:space="preserve"> </w:t>
      </w:r>
      <w:hyperlink w:anchor="fig-rq3-waic-psis">
        <w:r>
          <w:rPr>
            <w:rStyle w:val="Hyperlink"/>
          </w:rPr>
          <w:t xml:space="preserve">Figure 5</w:t>
        </w:r>
      </w:hyperlink>
      <w:r>
        <w:t xml:space="preserve"> </w:t>
      </w:r>
      <w:r>
        <w:t xml:space="preserve">depicts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horizontal blue lines. This reveals that, when compared to Model</w:t>
      </w:r>
      <w:r>
        <w:t xml:space="preserve"> </w:t>
      </w:r>
      <m:oMath>
        <m:r>
          <m:t>11</m:t>
        </m:r>
      </m:oMath>
      <w:r>
        <w:t xml:space="preserve">, most models exhibited significantly distinct predictive capabilities. Models</w:t>
      </w:r>
      <w:r>
        <w:t xml:space="preserve"> </w:t>
      </w:r>
      <m:oMath>
        <m:r>
          <m:t>12</m:t>
        </m:r>
      </m:oMath>
      <w:r>
        <w:t xml:space="preserve"> </w:t>
      </w:r>
      <w:r>
        <w:t xml:space="preserve">and</w:t>
      </w:r>
      <w:r>
        <w:t xml:space="preserve"> </w:t>
      </w:r>
      <m:oMath>
        <m:r>
          <m:t>10</m:t>
        </m:r>
      </m:oMath>
      <w:r>
        <w:t xml:space="preserve">, however, stood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displayed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9</w:t>
        </w:r>
      </w:hyperlink>
      <w:r>
        <w:t xml:space="preserve">, underscored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reveals the reasons behind the largest observed disparities. The Normal LMM, as outlined in Model</w:t>
      </w:r>
      <w:r>
        <w:t xml:space="preserve"> </w:t>
      </w:r>
      <m:oMath>
        <m:r>
          <m:t>6</m:t>
        </m:r>
      </m:oMath>
      <w:r>
        <w:t xml:space="preserve">, continueed to face challenges in capturing underlying data patterns, resulting in predictions that are physically inconsistent, falling outside the outcome’s range. Additionally, the model persisted in identifying highly unlikely and influential observations, making it inherently unreliable. In contrast, the Beta-proportion GLLAMM described by Model</w:t>
      </w:r>
      <w:r>
        <w:t xml:space="preserve"> </w:t>
      </w:r>
      <m:oMath>
        <m:r>
          <m:t>12</m:t>
        </m:r>
      </m:oMath>
      <w:r>
        <w:t xml:space="preserve"> </w:t>
      </w:r>
      <w:r>
        <w:t xml:space="preserve">appeared to be less susceptible to extreme 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13</w:t>
        </w:r>
      </w:hyperlink>
      <w:r>
        <w:t xml:space="preserve">,</w:t>
      </w:r>
      <w:r>
        <w:t xml:space="preserve"> </w:t>
      </w:r>
      <w:hyperlink w:anchor="fig-rq3-pred-speaker_model12">
        <w:r>
          <w:rPr>
            <w:rStyle w:val="Hyperlink"/>
          </w:rPr>
          <w:t xml:space="preserve">14</w:t>
        </w:r>
      </w:hyperlink>
      <w:r>
        <w:t xml:space="preserve">, and</w:t>
      </w:r>
      <w:r>
        <w:t xml:space="preserve"> </w:t>
      </w:r>
      <w:hyperlink w:anchor="fig-rq3-model-outliers">
        <w:r>
          <w:rPr>
            <w:rStyle w:val="Hyperlink"/>
          </w:rPr>
          <w:t xml:space="preserve">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favored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estimated a single intercept</w:t>
      </w:r>
      <w:r>
        <w:t xml:space="preserve"> </w:t>
      </w:r>
      <m:oMath>
        <m:r>
          <m:t>α</m:t>
        </m:r>
      </m:oMath>
      <w:r>
        <w:t xml:space="preserve"> </w:t>
      </w:r>
      <w:r>
        <w:t xml:space="preserve">and no slope to explain the potential intelligibility of speakers (see</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estimated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revealed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estimated different intercepts and slopes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revealed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yielded conflicting conclusions regarding the influence of chronological age and hearing status on intelligibility. Model</w:t>
      </w:r>
      <w:r>
        <w:t xml:space="preserve"> </w:t>
      </w:r>
      <m:oMath>
        <m:r>
          <m:t>10</m:t>
        </m:r>
      </m:oMath>
      <w:r>
        <w:t xml:space="preserve"> </w:t>
      </w:r>
      <w:r>
        <w:t xml:space="preserve">implied no influence of chronological age and hearing status on the potential intelligibility of speakers.</w:t>
      </w:r>
      <w:r>
        <w:t xml:space="preserve"> </w:t>
      </w:r>
      <w:hyperlink w:anchor="fig-rq3-intelligibility-model10">
        <w:r>
          <w:rPr>
            <w:rStyle w:val="Hyperlink"/>
          </w:rPr>
          <w:t xml:space="preserve">Figure 6</w:t>
        </w:r>
      </w:hyperlink>
      <w:r>
        <w:t xml:space="preserve">, however, revealed the reason for the model’s low support. Model</w:t>
      </w:r>
      <w:r>
        <w:t xml:space="preserve"> </w:t>
      </w:r>
      <m:oMath>
        <m:r>
          <m:t>10</m:t>
        </m:r>
      </m:oMath>
      <w:r>
        <w:t xml:space="preserve"> </w:t>
      </w:r>
      <w:r>
        <w:t xml:space="preserve">failed to capture the prevalent increasing age pattern observed in potential intelligibility estimates. In contrast, Model</w:t>
      </w:r>
      <w:r>
        <w:t xml:space="preserve"> </w:t>
      </w:r>
      <m:oMath>
        <m:r>
          <m:t>11</m:t>
        </m:r>
      </m:oMath>
      <w:r>
        <w:t xml:space="preserve"> </w:t>
      </w:r>
      <w:r>
        <w:t xml:space="preserve">identified significant differences in potential intelligibility between NH and HI/CI speakers. The model further suggested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indicated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revealed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w:t>
      </w:r>
      <w:r>
        <w:t xml:space="preserve"> </w:t>
      </w:r>
      <w:r>
        <w:t xml:space="preserve">The initial findings supported the assertion that Beta-proportion GLLAMMs consistently outperformed Normal LMMs in predicting entropy scores, underscoring its superior predictive performance.</w:t>
      </w:r>
      <w:r>
        <w:t xml:space="preserve"> </w:t>
      </w:r>
      <w:r>
        <w:t xml:space="preserve">The results also emphasized that models neglecting measurement error and boundedness in the outcomes lead to underfitting and misspecification issues, even when robust features are integrated.</w:t>
      </w:r>
      <w:r>
        <w:t xml:space="preserve"> </w:t>
      </w:r>
      <w:r>
        <w:t xml:space="preserve">This was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 the construction of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w:t>
      </w:r>
      <w:r>
        <w:t xml:space="preserve"> </w:t>
      </w:r>
      <w:r>
        <w:t xml:space="preserve">The results suggested that multiple models were plausible for the observed entropy scores. This indicated that different speaker-related factor hypotheses were viable for the data, with some presenting contradictory conclusions about the influence of these factors on intelligibility. However, even without unequivocal support for one hypothesis, the divided support among these models informed that certain statistical issues may be hindering the models’ ability to distinguish among individuals and, ultimately, among models. These issues may be attributed to factors such as the insufficient sample size of speakers, the inadequate representation of the population of speakers, referred to as selection bias, and the imprecise measurement of the latent variable of interest.</w:t>
      </w:r>
    </w:p>
    <w:p>
      <w:pPr>
        <w:pStyle w:val="BodyText"/>
      </w:pPr>
      <w:r>
        <w:t xml:space="preserve">Ultimately, this study introduced researchers to innovative statistical tools that enhanced existing research models.</w:t>
      </w:r>
      <w:r>
        <w:t xml:space="preserve"> </w:t>
      </w:r>
      <w:r>
        <w:t xml:space="preserve">These tools not only assessed the predictability of empirical phenomena but also quantitatively measured the latent trait of interest, namely potential intelligibility, facilitating the comparison of research hypotheses related to this trait.</w:t>
      </w:r>
      <w:r>
        <w:t xml:space="preserve"> </w:t>
      </w:r>
      <w:r>
        <w:t xml:space="preserve">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models.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addressed both challenges by providing comprehensive, step-by-step guidance in the form of a digital walk-through document (see</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provided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interpreted potential intelligibility as an unobserved latent trait of speakers influencing the likelihood of observing a set of entropy scores. These scores, in turn, reflected the transcribers’ ability to decode words in sentences produced by the speakers. Despite this practical approach, the construct validity of the latent trait heavily depended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assumed the transcription task set by</w:t>
      </w:r>
      <w:r>
        <w:t xml:space="preserve"> </w:t>
      </w:r>
      <w:r>
        <w:t xml:space="preserve">Boonen et al. (2023)</w:t>
      </w:r>
      <w:r>
        <w:t xml:space="preserve"> </w:t>
      </w:r>
      <w:r>
        <w:t xml:space="preserve">was properly understood and executed, it expected that the potential intelligibility reflected the overall speech intelligibility of speakers. However, the study did not delved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w:t>
      </w:r>
      <w:r>
        <w:t xml:space="preserve"> </w:t>
      </w:r>
      <w:r>
        <w:t xml:space="preserve">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could 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w:t>
      </w:r>
      <w:r>
        <w:t xml:space="preserve"> </w:t>
      </w:r>
      <w:r>
        <w:t xml:space="preserve">One example of such a method is Comparative Judgment (CJ), where judges compare and score the perceived intensity of a trait between two stimuli</w:t>
      </w:r>
      <w:r>
        <w:t xml:space="preserve"> </w:t>
      </w:r>
      <w:r>
        <w:t xml:space="preserve">(Thurstone 1927)</w:t>
      </w:r>
      <w:r>
        <w:t xml:space="preserve">. CJ has gained increasing attention in educational assessment, with several studies demonstrating its validity in assessing various tasks within student work, as shown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 The work of</w:t>
      </w:r>
      <w:r>
        <w:t xml:space="preserve"> </w:t>
      </w:r>
      <w:r>
        <w:t xml:space="preserve">Boonen, Kloots, and Gillis (2020)</w:t>
      </w:r>
      <w:r>
        <w:t xml:space="preserve"> </w:t>
      </w:r>
      <w:r>
        <w:t xml:space="preserve">illustrates the potential of this methodology to assess intelligibility. In their study, the authors assessed the overall speech quality of hearing-impaired children using pairwise comparisons of uttered speech samples, while scoring the results in a dichotomous manner. Nevertheless, there is significant room for extending their application. For instance, researchers can perform retrospective power analysis to ascertain the power of the study’s claims</w:t>
      </w:r>
      <w:r>
        <w:t xml:space="preserve"> </w:t>
      </w:r>
      <w:r>
        <w:t xml:space="preserve">(see Kruschke 2015, 393–94)</w:t>
      </w:r>
      <w:r>
        <w:t xml:space="preserve">. Furthermore, the application can be extended to other unexplored variants of the CJ method, such as Ordered CJ</w:t>
      </w:r>
      <w:r>
        <w:t xml:space="preserve"> </w:t>
      </w:r>
      <w:r>
        <w:t xml:space="preserve">(Pritikin 2020)</w:t>
      </w:r>
      <w:r>
        <w:t xml:space="preserve"> </w:t>
      </w:r>
      <w:r>
        <w:t xml:space="preserve">or Multidimensional Dichotomous CJ.</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have highlighted the effectiveness of the Bayesian Beta-proportion GLLAMM to collectively address several key data features when investigating unobservable and complex traits. The study used speech intelligibility and entropy scores as a motivating example. The results have demonstrated that the proposed model consistently outperforms the Normal LMM in predicting the empirical phenomena. Moreover, the model exhibits the ability to quantify the latent potential intelligibility of speakers, allowing for the ranking and comparison of individuals based on the latent trait while accommodating associated uncertainties. Additionally, the proposed model have facilitated the exploration of research hypotheses concerning the influence of speaker-related factors on potential intelligibility, where the integration and comparison of these hypotheses within the model’s framework was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w:t>
      </w:r>
      <w:r>
        <w:t xml:space="preserve"> </w:t>
      </w:r>
      <w:r>
        <w:t xml:space="preserve">Nevertheless, the study suggests several promising avenues for future research, including causal hypothesis formulation, and the exploration and integration of novel evaluation methods for assessing intelligibility. The insights derived from this study hold implications for both researchers and data analysts interested in quantitatively measuring intricate, unobservable constructs, while predicting accurately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pPr>
        <w:pStyle w:val="BodyText"/>
      </w:pPr>
      <w:r>
        <w:rPr>
          <w:b/>
          <w:bCs/>
        </w:rPr>
        <w:t xml:space="preserve">Acknowledgements:</w:t>
      </w:r>
      <w:r>
        <w:t xml:space="preserve"> </w:t>
      </w:r>
      <w:r>
        <w:t xml:space="preserve">We express gratitude to Renaat van Uffelen for providing timely expertise in enhancing the writing of this document.</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exemplified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In addition, a blank space</w:t>
      </w:r>
      <w:r>
        <w:t xml:space="preserve"> </w:t>
      </w:r>
      <w:r>
        <w:rPr>
          <w:i/>
          <w:iCs/>
        </w:rPr>
        <w:t xml:space="preserve">[B]</w:t>
      </w:r>
      <w:r>
        <w:t xml:space="preserve"> </w:t>
      </w:r>
      <w:r>
        <w:t xml:space="preserve">is a symbol that defined the absence of a word in a space where a word was expected during the alignment procedure, as compared with other transcriptions. Notice that for calculation purposes, because the blank space was not expected in such position, it was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with an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did not identify a complete word, or part of it, (s)he was instructed to write</w:t>
      </w:r>
      <w:r>
        <w:t xml:space="preserve"> </w:t>
      </w:r>
      <w:r>
        <w:rPr>
          <w:i/>
          <w:iCs/>
        </w:rPr>
        <w:t xml:space="preserve">[X]</w:t>
      </w:r>
      <w:r>
        <w:t xml:space="preserve"> </w:t>
      </w:r>
      <w:r>
        <w:t xml:space="preserve">in that position. However, for the calculation of the entropy score, if more than one listener marked an unidentifiable word with</w:t>
      </w:r>
      <w:r>
        <w:t xml:space="preserve"> </w:t>
      </w:r>
      <w:r>
        <w:rPr>
          <w:i/>
          <w:iCs/>
        </w:rPr>
        <w:t xml:space="preserve">[X]</w:t>
      </w:r>
      <w:r>
        <w:t xml:space="preserve">, each one of them was considered a different word type. This was done to avoid the artificial reduction of the entropy score, as</w:t>
      </w:r>
      <w:r>
        <w:t xml:space="preserve"> </w:t>
      </w:r>
      <w:r>
        <w:rPr>
          <w:i/>
          <w:iCs/>
        </w:rPr>
        <w:t xml:space="preserve">[X]</w:t>
      </w:r>
      <w:r>
        <w:t xml:space="preserve"> </w:t>
      </w:r>
      <w:r>
        <w:t xml:space="preserve">values already indicated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with an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the last example showcased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discards most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13" w:name="references"/>
    <w:p>
      <w:pPr>
        <w:pStyle w:val="Heading1"/>
      </w:pPr>
      <w:r>
        <w:t xml:space="preserve">References</w:t>
      </w:r>
    </w:p>
    <w:bookmarkStart w:id="312"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51">
        <w:r>
          <w:rPr>
            <w:rStyle w:val="Hyperlink"/>
          </w:rPr>
          <w:t xml:space="preserve">https://doi.org/10.1016/j.jcomdis.2019.105969</w:t>
        </w:r>
      </w:hyperlink>
      <w:r>
        <w:t xml:space="preserve">.</w:t>
      </w:r>
    </w:p>
    <w:bookmarkEnd w:id="152"/>
    <w:bookmarkStart w:id="154"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3">
        <w:r>
          <w:rPr>
            <w:rStyle w:val="Hyperlink"/>
          </w:rPr>
          <w:t xml:space="preserve">https://doi.org/10.1017/S0305000921000714</w:t>
        </w:r>
      </w:hyperlink>
      <w:r>
        <w:t xml:space="preserve">.</w:t>
      </w:r>
    </w:p>
    <w:bookmarkEnd w:id="154"/>
    <w:bookmarkStart w:id="156"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5">
        <w:r>
          <w:rPr>
            <w:rStyle w:val="Hyperlink"/>
          </w:rPr>
          <w:t xml:space="preserve">https://doi.org/10.1097/AUD.0b013e3182503e47</w:t>
        </w:r>
      </w:hyperlink>
      <w:r>
        <w:t xml:space="preserve">.</w:t>
      </w:r>
    </w:p>
    <w:bookmarkEnd w:id="156"/>
    <w:bookmarkStart w:id="158"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7">
        <w:r>
          <w:rPr>
            <w:rStyle w:val="Hyperlink"/>
          </w:rPr>
          <w:t xml:space="preserve">https://arxiv.org/abs/1212.0870</w:t>
        </w:r>
      </w:hyperlink>
      <w:r>
        <w:t xml:space="preserve">.</w:t>
      </w:r>
    </w:p>
    <w:bookmarkEnd w:id="158"/>
    <w:bookmarkStart w:id="160"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9">
        <w:r>
          <w:rPr>
            <w:rStyle w:val="Hyperlink"/>
          </w:rPr>
          <w:t xml:space="preserve">https://doi.org/10.1179/1754762813Y.0000000043</w:t>
        </w:r>
      </w:hyperlink>
      <w:r>
        <w:t xml:space="preserve">.</w:t>
      </w:r>
    </w:p>
    <w:bookmarkEnd w:id="160"/>
    <w:bookmarkStart w:id="162"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61">
        <w:r>
          <w:rPr>
            <w:rStyle w:val="Hyperlink"/>
          </w:rPr>
          <w:t xml:space="preserve">https://doi.org/10.1016/j.jcomdis.2012.05.003</w:t>
        </w:r>
      </w:hyperlink>
      <w:r>
        <w:t xml:space="preserve">.</w:t>
      </w:r>
    </w:p>
    <w:bookmarkEnd w:id="162"/>
    <w:bookmarkStart w:id="164"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3">
        <w:r>
          <w:rPr>
            <w:rStyle w:val="Hyperlink"/>
          </w:rPr>
          <w:t xml:space="preserve">https://doi.org/10.3109/02699206.2014.926997</w:t>
        </w:r>
      </w:hyperlink>
      <w:r>
        <w:t xml:space="preserve">.</w:t>
      </w:r>
    </w:p>
    <w:bookmarkEnd w:id="164"/>
    <w:bookmarkStart w:id="166"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5">
        <w:r>
          <w:rPr>
            <w:rStyle w:val="Hyperlink"/>
          </w:rPr>
          <w:t xml:space="preserve">https://doi.org/10.1007/s12564-023-09907-4</w:t>
        </w:r>
      </w:hyperlink>
      <w:r>
        <w:t xml:space="preserve">.</w:t>
      </w:r>
    </w:p>
    <w:bookmarkEnd w:id="166"/>
    <w:bookmarkStart w:id="168"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7">
        <w:r>
          <w:rPr>
            <w:rStyle w:val="Hyperlink"/>
          </w:rPr>
          <w:t xml:space="preserve">https://doi.org/10.2139/ssrn.3689437</w:t>
        </w:r>
      </w:hyperlink>
      <w:r>
        <w:t xml:space="preserve">.</w:t>
      </w:r>
    </w:p>
    <w:bookmarkEnd w:id="168"/>
    <w:bookmarkStart w:id="170"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9">
        <w:r>
          <w:rPr>
            <w:rStyle w:val="Hyperlink"/>
          </w:rPr>
          <w:t xml:space="preserve">https://doi.org/10.1044/jshr.3202.347</w:t>
        </w:r>
      </w:hyperlink>
      <w:r>
        <w:t xml:space="preserve">.</w:t>
      </w:r>
    </w:p>
    <w:bookmarkEnd w:id="170"/>
    <w:bookmarkStart w:id="172"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71">
        <w:r>
          <w:rPr>
            <w:rStyle w:val="Hyperlink"/>
          </w:rPr>
          <w:t xml:space="preserve">https://doi.org/10.1037/h0040957</w:t>
        </w:r>
      </w:hyperlink>
      <w:r>
        <w:t xml:space="preserve">.</w:t>
      </w:r>
    </w:p>
    <w:bookmarkEnd w:id="172"/>
    <w:bookmarkStart w:id="174"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3">
        <w:r>
          <w:rPr>
            <w:rStyle w:val="Hyperlink"/>
          </w:rPr>
          <w:t xml:space="preserve">https://doi.org/10.1371/journal.pone.0254103</w:t>
        </w:r>
      </w:hyperlink>
      <w:r>
        <w:t xml:space="preserve">.</w:t>
      </w:r>
    </w:p>
    <w:bookmarkEnd w:id="174"/>
    <w:bookmarkStart w:id="176"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5">
        <w:r>
          <w:rPr>
            <w:rStyle w:val="Hyperlink"/>
          </w:rPr>
          <w:t xml:space="preserve">https://doi.org/10.1177/25152459221106366</w:t>
        </w:r>
      </w:hyperlink>
      <w:r>
        <w:t xml:space="preserve">.</w:t>
      </w:r>
    </w:p>
    <w:bookmarkEnd w:id="176"/>
    <w:bookmarkStart w:id="178"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7">
        <w:r>
          <w:rPr>
            <w:rStyle w:val="Hyperlink"/>
          </w:rPr>
          <w:t xml:space="preserve">https://doi.org/10.1080/10705511.2014.882686</w:t>
        </w:r>
      </w:hyperlink>
      <w:r>
        <w:t xml:space="preserve">.</w:t>
      </w:r>
    </w:p>
    <w:bookmarkEnd w:id="178"/>
    <w:bookmarkStart w:id="180" w:name="ref-Depaoli_2021"/>
    <w:p>
      <w:pPr>
        <w:pStyle w:val="Bibliography"/>
      </w:pPr>
      <w:r>
        <w:t xml:space="preserve">———. 2021.</w:t>
      </w:r>
      <w:r>
        <w:t xml:space="preserve"> </w:t>
      </w:r>
      <w:hyperlink r:id="rId179">
        <w:r>
          <w:rPr>
            <w:rStyle w:val="Hyperlink"/>
            <w:i/>
            <w:iCs/>
          </w:rPr>
          <w:t xml:space="preserve">Bayesian Structural Equation Modeling</w:t>
        </w:r>
      </w:hyperlink>
      <w:r>
        <w:t xml:space="preserve">. Methodology in the Social Sciences. The Guilford Press.</w:t>
      </w:r>
    </w:p>
    <w:bookmarkEnd w:id="180"/>
    <w:bookmarkStart w:id="182"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81">
        <w:r>
          <w:rPr>
            <w:rStyle w:val="Hyperlink"/>
          </w:rPr>
          <w:t xml:space="preserve">https://doi.org/10.1037/met0000065</w:t>
        </w:r>
      </w:hyperlink>
      <w:r>
        <w:t xml:space="preserve">.</w:t>
      </w:r>
    </w:p>
    <w:bookmarkEnd w:id="182"/>
    <w:bookmarkStart w:id="184"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3">
        <w:r>
          <w:rPr>
            <w:rStyle w:val="Hyperlink"/>
          </w:rPr>
          <w:t xml:space="preserve">https://doi.org/10.1007/s10198-022-01554-7</w:t>
        </w:r>
      </w:hyperlink>
      <w:r>
        <w:t xml:space="preserve">.</w:t>
      </w:r>
    </w:p>
    <w:bookmarkEnd w:id="184"/>
    <w:bookmarkStart w:id="186"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5">
        <w:r>
          <w:rPr>
            <w:rStyle w:val="Hyperlink"/>
          </w:rPr>
          <w:t xml:space="preserve">https://doi.org/10.1044/0161-1461(2010/09-0081)</w:t>
        </w:r>
      </w:hyperlink>
      <w:r>
        <w:t xml:space="preserve">.</w:t>
      </w:r>
    </w:p>
    <w:bookmarkEnd w:id="186"/>
    <w:bookmarkStart w:id="187" w:name="ref-Everitt_et_al_2010"/>
    <w:p>
      <w:pPr>
        <w:pStyle w:val="Bibliography"/>
      </w:pPr>
      <w:r>
        <w:t xml:space="preserve">Everitt, B., and A. Skrondal. 2010.</w:t>
      </w:r>
      <w:r>
        <w:t xml:space="preserve"> </w:t>
      </w:r>
      <w:hyperlink r:id="rId179">
        <w:r>
          <w:rPr>
            <w:rStyle w:val="Hyperlink"/>
            <w:i/>
            <w:iCs/>
          </w:rPr>
          <w:t xml:space="preserve">The Cambridge Dictionary of Statistics</w:t>
        </w:r>
      </w:hyperlink>
      <w:r>
        <w:t xml:space="preserve">. Cambridge University Press.</w:t>
      </w:r>
    </w:p>
    <w:bookmarkEnd w:id="187"/>
    <w:bookmarkStart w:id="189"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8">
        <w:r>
          <w:rPr>
            <w:rStyle w:val="Hyperlink"/>
          </w:rPr>
          <w:t xml:space="preserve">https://doi.org/10.1080/02699206.2021.1988148</w:t>
        </w:r>
      </w:hyperlink>
      <w:r>
        <w:t xml:space="preserve">.</w:t>
      </w:r>
    </w:p>
    <w:bookmarkEnd w:id="189"/>
    <w:bookmarkStart w:id="191"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90">
        <w:r>
          <w:rPr>
            <w:rStyle w:val="Hyperlink"/>
          </w:rPr>
          <w:t xml:space="preserve">https://doi.org/10.1093/oxfordhb/9780190054045.013.3</w:t>
        </w:r>
      </w:hyperlink>
      <w:r>
        <w:t xml:space="preserve">.</w:t>
      </w:r>
    </w:p>
    <w:bookmarkEnd w:id="191"/>
    <w:bookmarkStart w:id="193"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2">
        <w:r>
          <w:rPr>
            <w:rStyle w:val="Hyperlink"/>
          </w:rPr>
          <w:t xml:space="preserve">https://doi.org/10.1080/0266476042000214501</w:t>
        </w:r>
      </w:hyperlink>
      <w:r>
        <w:t xml:space="preserve">.</w:t>
      </w:r>
    </w:p>
    <w:bookmarkEnd w:id="193"/>
    <w:bookmarkStart w:id="195"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4">
        <w:r>
          <w:rPr>
            <w:rStyle w:val="Hyperlink"/>
          </w:rPr>
          <w:t xml:space="preserve">https://doi.org/10.1016/j.csda.2012.12.002</w:t>
        </w:r>
      </w:hyperlink>
      <w:r>
        <w:t xml:space="preserve">.</w:t>
      </w:r>
    </w:p>
    <w:bookmarkEnd w:id="195"/>
    <w:bookmarkStart w:id="197"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6">
        <w:r>
          <w:rPr>
            <w:rStyle w:val="Hyperlink"/>
          </w:rPr>
          <w:t xml:space="preserve">https://doi.org/10.1007/s00362-021-01260-1</w:t>
        </w:r>
      </w:hyperlink>
      <w:r>
        <w:t xml:space="preserve">.</w:t>
      </w:r>
    </w:p>
    <w:bookmarkEnd w:id="197"/>
    <w:bookmarkStart w:id="199"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8">
        <w:r>
          <w:rPr>
            <w:rStyle w:val="Hyperlink"/>
          </w:rPr>
          <w:t xml:space="preserve">https://doi.org/10.1214/17-bjps354</w:t>
        </w:r>
      </w:hyperlink>
      <w:r>
        <w:t xml:space="preserve">.</w:t>
      </w:r>
    </w:p>
    <w:bookmarkEnd w:id="199"/>
    <w:bookmarkStart w:id="201"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200">
        <w:r>
          <w:rPr>
            <w:rStyle w:val="Hyperlink"/>
          </w:rPr>
          <w:t xml:space="preserve">https://doi.org/10.1080/02699200400024863</w:t>
        </w:r>
      </w:hyperlink>
      <w:r>
        <w:t xml:space="preserve">.</w:t>
      </w:r>
    </w:p>
    <w:bookmarkEnd w:id="201"/>
    <w:bookmarkStart w:id="203"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2">
        <w:r>
          <w:rPr>
            <w:rStyle w:val="Hyperlink"/>
          </w:rPr>
          <w:t xml:space="preserve">https://doi.org/10.1093/deafed/enx001</w:t>
        </w:r>
      </w:hyperlink>
      <w:r>
        <w:t xml:space="preserve">.</w:t>
      </w:r>
    </w:p>
    <w:bookmarkEnd w:id="203"/>
    <w:bookmarkStart w:id="204" w:name="ref-Gelman_et_al_2014"/>
    <w:p>
      <w:pPr>
        <w:pStyle w:val="Bibliography"/>
      </w:pPr>
      <w:r>
        <w:t xml:space="preserve">Gelman, A., J. Carlin, H. Stern, D. Dunson, A. Vehtari, and D. Rubin. 2014.</w:t>
      </w:r>
      <w:r>
        <w:t xml:space="preserve"> </w:t>
      </w:r>
      <w:hyperlink r:id="rId179">
        <w:r>
          <w:rPr>
            <w:rStyle w:val="Hyperlink"/>
            <w:i/>
            <w:iCs/>
          </w:rPr>
          <w:t xml:space="preserve">Bayesian Data Analysis</w:t>
        </w:r>
      </w:hyperlink>
      <w:r>
        <w:t xml:space="preserve">. 3rd ed. Texts in Statistical Science. Chapman; Hall/CRC.</w:t>
      </w:r>
    </w:p>
    <w:bookmarkEnd w:id="204"/>
    <w:bookmarkStart w:id="206"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5">
        <w:r>
          <w:rPr>
            <w:rStyle w:val="Hyperlink"/>
          </w:rPr>
          <w:t xml:space="preserve">https://doi.org/10.1177/0962280217738142</w:t>
        </w:r>
      </w:hyperlink>
      <w:r>
        <w:t xml:space="preserve">.</w:t>
      </w:r>
    </w:p>
    <w:bookmarkEnd w:id="206"/>
    <w:bookmarkStart w:id="208"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7">
        <w:r>
          <w:rPr>
            <w:rStyle w:val="Hyperlink"/>
          </w:rPr>
          <w:t xml:space="preserve">https://doi.org/10.1515/9781614514909-038</w:t>
        </w:r>
      </w:hyperlink>
      <w:r>
        <w:t xml:space="preserve">.</w:t>
      </w:r>
    </w:p>
    <w:bookmarkEnd w:id="208"/>
    <w:bookmarkStart w:id="210"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9">
        <w:r>
          <w:rPr>
            <w:rStyle w:val="Hyperlink"/>
          </w:rPr>
          <w:t xml:space="preserve">https://doi.org/10.1080/00401706.1969.10490657</w:t>
        </w:r>
      </w:hyperlink>
      <w:r>
        <w:t xml:space="preserve">.</w:t>
      </w:r>
    </w:p>
    <w:bookmarkEnd w:id="210"/>
    <w:bookmarkStart w:id="212"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11">
        <w:r>
          <w:rPr>
            <w:rStyle w:val="Hyperlink"/>
          </w:rPr>
          <w:t xml:space="preserve">https://doi.org/10.1201/9781351062268</w:t>
        </w:r>
      </w:hyperlink>
      <w:r>
        <w:t xml:space="preserve">.</w:t>
      </w:r>
    </w:p>
    <w:bookmarkEnd w:id="212"/>
    <w:bookmarkStart w:id="213" w:name="ref-Jeffreys_1998"/>
    <w:p>
      <w:pPr>
        <w:pStyle w:val="Bibliography"/>
      </w:pPr>
      <w:r>
        <w:t xml:space="preserve">Jeffreys, H. 1998.</w:t>
      </w:r>
      <w:r>
        <w:t xml:space="preserve"> </w:t>
      </w:r>
      <w:hyperlink r:id="rId179">
        <w:r>
          <w:rPr>
            <w:rStyle w:val="Hyperlink"/>
            <w:i/>
            <w:iCs/>
          </w:rPr>
          <w:t xml:space="preserve">Theory of Probability</w:t>
        </w:r>
      </w:hyperlink>
      <w:r>
        <w:t xml:space="preserve">. Oxford University Press.</w:t>
      </w:r>
    </w:p>
    <w:bookmarkEnd w:id="213"/>
    <w:bookmarkStart w:id="215"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4">
        <w:r>
          <w:rPr>
            <w:rStyle w:val="Hyperlink"/>
          </w:rPr>
          <w:t xml:space="preserve">https://doi.org/10.1016/S0147-1767(00)00011-0</w:t>
        </w:r>
      </w:hyperlink>
      <w:r>
        <w:t xml:space="preserve">.</w:t>
      </w:r>
    </w:p>
    <w:bookmarkEnd w:id="215"/>
    <w:bookmarkStart w:id="217"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6">
        <w:r>
          <w:rPr>
            <w:rStyle w:val="Hyperlink"/>
          </w:rPr>
          <w:t xml:space="preserve">https://doi.org/10.1007/s40615-023-01809-w</w:t>
        </w:r>
      </w:hyperlink>
      <w:r>
        <w:t xml:space="preserve">.</w:t>
      </w:r>
    </w:p>
    <w:bookmarkEnd w:id="217"/>
    <w:bookmarkStart w:id="219"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8">
        <w:r>
          <w:rPr>
            <w:rStyle w:val="Hyperlink"/>
          </w:rPr>
          <w:t xml:space="preserve">https://doi.org/10.1044/1058-0360.0302.81</w:t>
        </w:r>
      </w:hyperlink>
      <w:r>
        <w:t xml:space="preserve">.</w:t>
      </w:r>
    </w:p>
    <w:bookmarkEnd w:id="219"/>
    <w:bookmarkStart w:id="221"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20">
        <w:r>
          <w:rPr>
            <w:rStyle w:val="Hyperlink"/>
          </w:rPr>
          <w:t xml:space="preserve">https://doi.org/10.1044/jshd.5404.482</w:t>
        </w:r>
      </w:hyperlink>
      <w:r>
        <w:t xml:space="preserve">.</w:t>
      </w:r>
    </w:p>
    <w:bookmarkEnd w:id="221"/>
    <w:bookmarkStart w:id="223"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2">
        <w:r>
          <w:rPr>
            <w:rStyle w:val="Hyperlink"/>
          </w:rPr>
          <w:t xml:space="preserve">https://doi.org/10.3109/02699206.2010.490003</w:t>
        </w:r>
      </w:hyperlink>
      <w:r>
        <w:t xml:space="preserve">.</w:t>
      </w:r>
    </w:p>
    <w:bookmarkEnd w:id="223"/>
    <w:bookmarkStart w:id="225"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4">
        <w:r>
          <w:rPr>
            <w:rStyle w:val="Hyperlink"/>
          </w:rPr>
          <w:t xml:space="preserve">https://eric.ed.gov/?id=ED430012</w:t>
        </w:r>
      </w:hyperlink>
      <w:r>
        <w:t xml:space="preserve">.</w:t>
      </w:r>
    </w:p>
    <w:bookmarkEnd w:id="225"/>
    <w:bookmarkStart w:id="227" w:name="ref-Kruschke_2015"/>
    <w:p>
      <w:pPr>
        <w:pStyle w:val="Bibliography"/>
      </w:pPr>
      <w:r>
        <w:t xml:space="preserve">Kruschke, D. 2015.</w:t>
      </w:r>
      <w:r>
        <w:t xml:space="preserve"> </w:t>
      </w:r>
      <w:r>
        <w:rPr>
          <w:i/>
          <w:iCs/>
        </w:rPr>
        <w:t xml:space="preserve">Doing Bayesian Data Analysis: A Tutorial with r, JAGS, and Stan</w:t>
      </w:r>
      <w:r>
        <w:t xml:space="preserve">. Elsevier.</w:t>
      </w:r>
      <w:r>
        <w:t xml:space="preserve"> </w:t>
      </w:r>
      <w:hyperlink r:id="rId226">
        <w:r>
          <w:rPr>
            <w:rStyle w:val="Hyperlink"/>
          </w:rPr>
          <w:t xml:space="preserve">https://www.sciencedirect.com/book/9780124058880/doing-bayesian-data-analysis</w:t>
        </w:r>
      </w:hyperlink>
      <w:r>
        <w:t xml:space="preserve">.</w:t>
      </w:r>
    </w:p>
    <w:bookmarkEnd w:id="227"/>
    <w:bookmarkStart w:id="229"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8">
        <w:r>
          <w:rPr>
            <w:rStyle w:val="Hyperlink"/>
          </w:rPr>
          <w:t xml:space="preserve">http://www.jstor.org/stable/2236703</w:t>
        </w:r>
      </w:hyperlink>
      <w:r>
        <w:t xml:space="preserve">.</w:t>
      </w:r>
    </w:p>
    <w:bookmarkEnd w:id="229"/>
    <w:bookmarkStart w:id="231"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30">
        <w:r>
          <w:rPr>
            <w:rStyle w:val="Hyperlink"/>
          </w:rPr>
          <w:t xml:space="preserve">https://doi.org/10.1111/1460-6984.12067</w:t>
        </w:r>
      </w:hyperlink>
      <w:r>
        <w:t xml:space="preserve">.</w:t>
      </w:r>
    </w:p>
    <w:bookmarkEnd w:id="231"/>
    <w:bookmarkStart w:id="233"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32">
        <w:r>
          <w:rPr>
            <w:rStyle w:val="Hyperlink"/>
          </w:rPr>
          <w:t xml:space="preserve">https://doi.org/10.1002/sim.2112</w:t>
        </w:r>
      </w:hyperlink>
      <w:r>
        <w:t xml:space="preserve">.</w:t>
      </w:r>
    </w:p>
    <w:bookmarkEnd w:id="233"/>
    <w:bookmarkStart w:id="235"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4">
        <w:r>
          <w:rPr>
            <w:rStyle w:val="Hyperlink"/>
          </w:rPr>
          <w:t xml:space="preserve">https://www.jirka.org/ra/html/frontmatter-1.html</w:t>
        </w:r>
      </w:hyperlink>
      <w:r>
        <w:t xml:space="preserve">.</w:t>
      </w:r>
    </w:p>
    <w:bookmarkEnd w:id="235"/>
    <w:bookmarkStart w:id="23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6"/>
    <w:bookmarkStart w:id="238"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7">
        <w:r>
          <w:rPr>
            <w:rStyle w:val="Hyperlink"/>
          </w:rPr>
          <w:t xml:space="preserve">https://doi.org/10.1007/s12671-023-02165-w</w:t>
        </w:r>
      </w:hyperlink>
      <w:r>
        <w:t xml:space="preserve">.</w:t>
      </w:r>
    </w:p>
    <w:bookmarkEnd w:id="238"/>
    <w:bookmarkStart w:id="240"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9">
        <w:r>
          <w:rPr>
            <w:rStyle w:val="Hyperlink"/>
          </w:rPr>
          <w:t xml:space="preserve">https://doi.org/10.21415/3mhn-0z89</w:t>
        </w:r>
      </w:hyperlink>
      <w:r>
        <w:t xml:space="preserve">.</w:t>
      </w:r>
    </w:p>
    <w:bookmarkEnd w:id="240"/>
    <w:bookmarkStart w:id="242"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41">
        <w:r>
          <w:rPr>
            <w:rStyle w:val="Hyperlink"/>
          </w:rPr>
          <w:t xml:space="preserve">https://doi.org/10.1007/BF02291552</w:t>
        </w:r>
      </w:hyperlink>
      <w:r>
        <w:t xml:space="preserve">.</w:t>
      </w:r>
    </w:p>
    <w:bookmarkEnd w:id="242"/>
    <w:bookmarkStart w:id="244"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43">
        <w:r>
          <w:rPr>
            <w:rStyle w:val="Hyperlink"/>
          </w:rPr>
          <w:t xml:space="preserve">https://books.google.be/books?id=Asi5KQAACAAJ</w:t>
        </w:r>
      </w:hyperlink>
      <w:r>
        <w:t xml:space="preserve">.</w:t>
      </w:r>
    </w:p>
    <w:bookmarkEnd w:id="244"/>
    <w:bookmarkStart w:id="245" w:name="ref-McElreath_2020"/>
    <w:p>
      <w:pPr>
        <w:pStyle w:val="Bibliography"/>
      </w:pPr>
      <w:r>
        <w:t xml:space="preserve">McElreath, R. 2020.</w:t>
      </w:r>
      <w:r>
        <w:t xml:space="preserve"> </w:t>
      </w:r>
      <w:hyperlink r:id="rId179">
        <w:r>
          <w:rPr>
            <w:rStyle w:val="Hyperlink"/>
            <w:i/>
            <w:iCs/>
          </w:rPr>
          <w:t xml:space="preserve">Statistical Rethinking: A Bayesian Course with Examples in r and STAN</w:t>
        </w:r>
      </w:hyperlink>
      <w:r>
        <w:t xml:space="preserve">. Chapman; Hall/CRC.</w:t>
      </w:r>
    </w:p>
    <w:bookmarkEnd w:id="245"/>
    <w:bookmarkStart w:id="247"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6">
        <w:r>
          <w:rPr>
            <w:rStyle w:val="Hyperlink"/>
          </w:rPr>
          <w:t xml:space="preserve">https://doi.org/10.1044/2014\_JSLHR-H-14-0190</w:t>
        </w:r>
      </w:hyperlink>
      <w:r>
        <w:t xml:space="preserve">.</w:t>
      </w:r>
    </w:p>
    <w:bookmarkEnd w:id="247"/>
    <w:bookmarkStart w:id="249"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8">
        <w:r>
          <w:rPr>
            <w:rStyle w:val="Hyperlink"/>
          </w:rPr>
          <w:t xml:space="preserve">https://doi.org/10.1017/S0272263198002022</w:t>
        </w:r>
      </w:hyperlink>
      <w:r>
        <w:t xml:space="preserve">.</w:t>
      </w:r>
    </w:p>
    <w:bookmarkEnd w:id="249"/>
    <w:bookmarkStart w:id="251"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50">
        <w:r>
          <w:rPr>
            <w:rStyle w:val="Hyperlink"/>
          </w:rPr>
          <w:t xml:space="preserve">https://doi.org/10.1111/1467-9922.00038</w:t>
        </w:r>
      </w:hyperlink>
      <w:r>
        <w:t xml:space="preserve">.</w:t>
      </w:r>
    </w:p>
    <w:bookmarkEnd w:id="251"/>
    <w:bookmarkStart w:id="253"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52">
        <w:r>
          <w:rPr>
            <w:rStyle w:val="Hyperlink"/>
          </w:rPr>
          <w:t xml:space="preserve">https://doi.org/10.1037/10409-010</w:t>
        </w:r>
      </w:hyperlink>
      <w:r>
        <w:t xml:space="preserve">.</w:t>
      </w:r>
    </w:p>
    <w:bookmarkEnd w:id="253"/>
    <w:bookmarkStart w:id="255"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4">
        <w:r>
          <w:rPr>
            <w:rStyle w:val="Hyperlink"/>
          </w:rPr>
          <w:t xml:space="preserve">https://doi.org/10.1001/jama.2010.451</w:t>
        </w:r>
      </w:hyperlink>
      <w:r>
        <w:t xml:space="preserve">.</w:t>
      </w:r>
    </w:p>
    <w:bookmarkEnd w:id="255"/>
    <w:bookmarkStart w:id="257"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6">
        <w:r>
          <w:rPr>
            <w:rStyle w:val="Hyperlink"/>
          </w:rPr>
          <w:t xml:space="preserve">https://doi.org/0.1080/10904018.2015.1056877</w:t>
        </w:r>
      </w:hyperlink>
      <w:r>
        <w:t xml:space="preserve">.</w:t>
      </w:r>
    </w:p>
    <w:bookmarkEnd w:id="257"/>
    <w:bookmarkStart w:id="259"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8">
        <w:r>
          <w:rPr>
            <w:rStyle w:val="Hyperlink"/>
          </w:rPr>
          <w:t xml:space="preserve">https://doi.org/10.1111/rssa.12551</w:t>
        </w:r>
      </w:hyperlink>
      <w:r>
        <w:t xml:space="preserve">.</w:t>
      </w:r>
    </w:p>
    <w:bookmarkEnd w:id="259"/>
    <w:bookmarkStart w:id="261"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60">
        <w:r>
          <w:rPr>
            <w:rStyle w:val="Hyperlink"/>
          </w:rPr>
          <w:t xml:space="preserve">https://doi.org/10.1007/s10798-011-9189-x</w:t>
        </w:r>
      </w:hyperlink>
      <w:r>
        <w:t xml:space="preserve">.</w:t>
      </w:r>
    </w:p>
    <w:bookmarkEnd w:id="261"/>
    <w:bookmarkStart w:id="26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62">
        <w:r>
          <w:rPr>
            <w:rStyle w:val="Hyperlink"/>
          </w:rPr>
          <w:t xml:space="preserve">https://doi.org/10.1080/0969594X.2012.665354</w:t>
        </w:r>
      </w:hyperlink>
      <w:r>
        <w:t xml:space="preserve">.</w:t>
      </w:r>
    </w:p>
    <w:bookmarkEnd w:id="263"/>
    <w:bookmarkStart w:id="265" w:name="ref-Pritikin_2020"/>
    <w:p>
      <w:pPr>
        <w:pStyle w:val="Bibliography"/>
      </w:pPr>
      <w:r>
        <w:t xml:space="preserve">Pritikin, J. 2020.</w:t>
      </w:r>
      <w:r>
        <w:t xml:space="preserve"> </w:t>
      </w:r>
      <w:r>
        <w:t xml:space="preserve">“An Exploratory Factor Model for Ordinal Paired Comparison Indicators.”</w:t>
      </w:r>
      <w:r>
        <w:t xml:space="preserve"> </w:t>
      </w:r>
      <w:r>
        <w:rPr>
          <w:i/>
          <w:iCs/>
        </w:rPr>
        <w:t xml:space="preserve">Heliyon 6</w:t>
      </w:r>
      <w:r>
        <w:t xml:space="preserve"> </w:t>
      </w:r>
      <w:r>
        <w:t xml:space="preserve">6 (9).</w:t>
      </w:r>
      <w:r>
        <w:t xml:space="preserve"> </w:t>
      </w:r>
      <w:hyperlink r:id="rId264">
        <w:r>
          <w:rPr>
            <w:rStyle w:val="Hyperlink"/>
          </w:rPr>
          <w:t xml:space="preserve">https://doi.org/10.1016/j.heliyon.2020.e04821</w:t>
        </w:r>
      </w:hyperlink>
      <w:r>
        <w:t xml:space="preserve">.</w:t>
      </w:r>
    </w:p>
    <w:bookmarkEnd w:id="265"/>
    <w:bookmarkStart w:id="267"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6">
        <w:r>
          <w:rPr>
            <w:rStyle w:val="Hyperlink"/>
          </w:rPr>
          <w:t xml:space="preserve">http://www.R-project.org/</w:t>
        </w:r>
      </w:hyperlink>
      <w:r>
        <w:t xml:space="preserve">.</w:t>
      </w:r>
    </w:p>
    <w:bookmarkEnd w:id="267"/>
    <w:bookmarkStart w:id="269"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8">
        <w:r>
          <w:rPr>
            <w:rStyle w:val="Hyperlink"/>
          </w:rPr>
          <w:t xml:space="preserve">https://www.doi.org/10.1007/BF02295939</w:t>
        </w:r>
      </w:hyperlink>
      <w:r>
        <w:t xml:space="preserve">.</w:t>
      </w:r>
    </w:p>
    <w:bookmarkEnd w:id="269"/>
    <w:bookmarkStart w:id="271"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70">
        <w:r>
          <w:rPr>
            <w:rStyle w:val="Hyperlink"/>
          </w:rPr>
          <w:t xml:space="preserve">http://www.biostat.jhsph.edu/~fdominic/teaching/bio656/software-gllamm.manual.pdf</w:t>
        </w:r>
      </w:hyperlink>
      <w:r>
        <w:t xml:space="preserve">.</w:t>
      </w:r>
    </w:p>
    <w:bookmarkEnd w:id="271"/>
    <w:bookmarkStart w:id="273"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72">
        <w:r>
          <w:rPr>
            <w:rStyle w:val="Hyperlink"/>
          </w:rPr>
          <w:t xml:space="preserve">https://www.doi.org/10.1016/j.jeconom.2004.08.017</w:t>
        </w:r>
      </w:hyperlink>
      <w:r>
        <w:t xml:space="preserve">.</w:t>
      </w:r>
    </w:p>
    <w:bookmarkEnd w:id="273"/>
    <w:bookmarkStart w:id="275"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74">
        <w:r>
          <w:rPr>
            <w:rStyle w:val="Hyperlink"/>
          </w:rPr>
          <w:t xml:space="preserve">https://doi.org/10.1080/00031305.2012.695938</w:t>
        </w:r>
      </w:hyperlink>
      <w:r>
        <w:t xml:space="preserve">.</w:t>
      </w:r>
    </w:p>
    <w:bookmarkEnd w:id="275"/>
    <w:bookmarkStart w:id="277"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6">
        <w:r>
          <w:rPr>
            <w:rStyle w:val="Hyperlink"/>
          </w:rPr>
          <w:t xml:space="preserve">https://doi.org/10.1002/j.1538-7305.1948.tb01338.x</w:t>
        </w:r>
      </w:hyperlink>
      <w:r>
        <w:t xml:space="preserve">.</w:t>
      </w:r>
    </w:p>
    <w:bookmarkEnd w:id="277"/>
    <w:bookmarkStart w:id="279"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8">
        <w:r>
          <w:rPr>
            <w:rStyle w:val="Hyperlink"/>
          </w:rPr>
          <w:t xml:space="preserve">https://doi.org/10.2307/23042796</w:t>
        </w:r>
      </w:hyperlink>
      <w:r>
        <w:t xml:space="preserve">.</w:t>
      </w:r>
    </w:p>
    <w:bookmarkEnd w:id="279"/>
    <w:bookmarkStart w:id="281"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80">
        <w:r>
          <w:rPr>
            <w:rStyle w:val="Hyperlink"/>
          </w:rPr>
          <w:t xml:space="preserve">https://doi.org/10.1016/j.csda.2009.08.017</w:t>
        </w:r>
      </w:hyperlink>
      <w:r>
        <w:t xml:space="preserve">.</w:t>
      </w:r>
    </w:p>
    <w:bookmarkEnd w:id="281"/>
    <w:bookmarkStart w:id="282" w:name="ref-Skrondal_et_al_2004a"/>
    <w:p>
      <w:pPr>
        <w:pStyle w:val="Bibliography"/>
      </w:pPr>
      <w:r>
        <w:t xml:space="preserve">Skrondal, A., and S. Rabe-Hesketh. 2004.</w:t>
      </w:r>
      <w:r>
        <w:t xml:space="preserve"> </w:t>
      </w:r>
      <w:hyperlink r:id="rId179">
        <w:r>
          <w:rPr>
            <w:rStyle w:val="Hyperlink"/>
            <w:i/>
            <w:iCs/>
          </w:rPr>
          <w:t xml:space="preserve">Generalized Latent Variable Modeling: Multilevel, Longitudinal, and Structural Equation Models</w:t>
        </w:r>
      </w:hyperlink>
      <w:r>
        <w:t xml:space="preserve">. Interdisciplinary Statistics. Chapman &amp; Hall/CRC Press.</w:t>
      </w:r>
    </w:p>
    <w:bookmarkEnd w:id="282"/>
    <w:bookmarkStart w:id="284"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83">
        <w:r>
          <w:rPr>
            <w:rStyle w:val="Hyperlink"/>
          </w:rPr>
          <w:t xml:space="preserve">https://doi.org/10.1111/1467-9868.00353</w:t>
        </w:r>
      </w:hyperlink>
      <w:r>
        <w:t xml:space="preserve">.</w:t>
      </w:r>
    </w:p>
    <w:bookmarkEnd w:id="284"/>
    <w:bookmarkStart w:id="286"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85">
        <w:r>
          <w:rPr>
            <w:rStyle w:val="Hyperlink"/>
          </w:rPr>
          <w:t xml:space="preserve">https://mc-stan.org</w:t>
        </w:r>
      </w:hyperlink>
      <w:r>
        <w:t xml:space="preserve">.</w:t>
      </w:r>
    </w:p>
    <w:bookmarkEnd w:id="286"/>
    <w:bookmarkStart w:id="288"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7">
        <w:r>
          <w:rPr>
            <w:rStyle w:val="Hyperlink"/>
          </w:rPr>
          <w:t xml:space="preserve">https://doi.org/10.1186/s13063-022-06967-6</w:t>
        </w:r>
      </w:hyperlink>
      <w:r>
        <w:t xml:space="preserve">.</w:t>
      </w:r>
    </w:p>
    <w:bookmarkEnd w:id="288"/>
    <w:bookmarkStart w:id="2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9">
        <w:r>
          <w:rPr>
            <w:rStyle w:val="Hyperlink"/>
          </w:rPr>
          <w:t xml:space="preserve">https://doi.org/10.1037/h0070288</w:t>
        </w:r>
      </w:hyperlink>
      <w:r>
        <w:t xml:space="preserve">.</w:t>
      </w:r>
    </w:p>
    <w:bookmarkEnd w:id="290"/>
    <w:bookmarkStart w:id="292"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91">
        <w:r>
          <w:rPr>
            <w:rStyle w:val="Hyperlink"/>
          </w:rPr>
          <w:t xml:space="preserve">https://doi.org/10.30931/jetas.321165</w:t>
        </w:r>
      </w:hyperlink>
      <w:r>
        <w:t xml:space="preserve">.</w:t>
      </w:r>
    </w:p>
    <w:bookmarkEnd w:id="292"/>
    <w:bookmarkStart w:id="29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93"/>
    <w:bookmarkStart w:id="295"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94">
        <w:r>
          <w:rPr>
            <w:rStyle w:val="Hyperlink"/>
          </w:rPr>
          <w:t xml:space="preserve">https://doi.org/10.3366/E1753854809000305</w:t>
        </w:r>
      </w:hyperlink>
      <w:r>
        <w:t xml:space="preserve">.</w:t>
      </w:r>
    </w:p>
    <w:bookmarkEnd w:id="295"/>
    <w:bookmarkStart w:id="297"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6">
        <w:r>
          <w:rPr>
            <w:rStyle w:val="Hyperlink"/>
          </w:rPr>
          <w:t xml:space="preserve">https://doi.org/10.1093/applin/6.1.71</w:t>
        </w:r>
      </w:hyperlink>
      <w:r>
        <w:t xml:space="preserve">.</w:t>
      </w:r>
    </w:p>
    <w:bookmarkEnd w:id="297"/>
    <w:bookmarkStart w:id="299"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8">
        <w:r>
          <w:rPr>
            <w:rStyle w:val="Hyperlink"/>
          </w:rPr>
          <w:t xml:space="preserve">https://doi.org/10.1007/s11222-016-9696-4</w:t>
        </w:r>
      </w:hyperlink>
      <w:r>
        <w:t xml:space="preserve">.</w:t>
      </w:r>
    </w:p>
    <w:bookmarkEnd w:id="299"/>
    <w:bookmarkStart w:id="301"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300">
        <w:r>
          <w:rPr>
            <w:rStyle w:val="Hyperlink"/>
          </w:rPr>
          <w:t xml:space="preserve">https://doi.org/10.1214/20-BA1221</w:t>
        </w:r>
      </w:hyperlink>
      <w:r>
        <w:t xml:space="preserve">.</w:t>
      </w:r>
    </w:p>
    <w:bookmarkEnd w:id="301"/>
    <w:bookmarkStart w:id="30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302">
        <w:r>
          <w:rPr>
            <w:rStyle w:val="Hyperlink"/>
          </w:rPr>
          <w:t xml:space="preserve">https://doi.org/10.1080/0969594X.2019.1602027</w:t>
        </w:r>
      </w:hyperlink>
      <w:r>
        <w:t xml:space="preserve">.</w:t>
      </w:r>
    </w:p>
    <w:bookmarkEnd w:id="303"/>
    <w:bookmarkStart w:id="305"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304">
        <w:r>
          <w:rPr>
            <w:rStyle w:val="Hyperlink"/>
          </w:rPr>
          <w:t xml:space="preserve">https://doi.org/10.3102/1076998610396895</w:t>
        </w:r>
      </w:hyperlink>
      <w:r>
        <w:t xml:space="preserve">.</w:t>
      </w:r>
    </w:p>
    <w:bookmarkEnd w:id="305"/>
    <w:bookmarkStart w:id="307"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6">
        <w:r>
          <w:rPr>
            <w:rStyle w:val="Hyperlink"/>
          </w:rPr>
          <w:t xml:space="preserve">https://www.jmlr.org/papers/volume14/watanabe13a/watanabe13a.pdf</w:t>
        </w:r>
      </w:hyperlink>
      <w:r>
        <w:t xml:space="preserve">.</w:t>
      </w:r>
    </w:p>
    <w:bookmarkEnd w:id="307"/>
    <w:bookmarkStart w:id="309"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8">
        <w:r>
          <w:rPr>
            <w:rStyle w:val="Hyperlink"/>
          </w:rPr>
          <w:t xml:space="preserve">https://doi.org/10.1080/02699200410001663344</w:t>
        </w:r>
      </w:hyperlink>
      <w:r>
        <w:t xml:space="preserve">.</w:t>
      </w:r>
    </w:p>
    <w:bookmarkEnd w:id="309"/>
    <w:bookmarkStart w:id="311"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10">
        <w:r>
          <w:rPr>
            <w:rStyle w:val="Hyperlink"/>
          </w:rPr>
          <w:t xml:space="preserve">https://doi.org/10.1038/s41440-023-01322-x</w:t>
        </w:r>
      </w:hyperlink>
      <w:r>
        <w:t xml:space="preserve">.</w:t>
      </w:r>
    </w:p>
    <w:bookmarkEnd w:id="311"/>
    <w:bookmarkEnd w:id="312"/>
    <w:bookmarkEnd w:id="3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_rels/footnotes.xml.rels><?xml version="1.0" encoding="UTF-8"?><Relationships xmlns="http://schemas.openxmlformats.org/package/2006/relationships"><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2024-05-23T10:36:52Z</dcterms:created>
  <dcterms:modified xsi:type="dcterms:W3CDTF">2024-05-23T10:36:52Z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investigating unobservable, complex traits, data collection and aggregation processes can introduce distinctive features to the data such as boundedness, measurement error, clustering, outliers and heteroscedasticity. Failure to collectively address these features can result in statistical challenges that prevent the investigation of hypotheses regarding these traits. This study aimed to demonstrate the efficacy of the Bayesian Beta-proportion Generalized Linear Latent and Mixed Model (Beta-proportion GLLAMM) (Rabe-Hesketh, Skrondal, and Pickles 2004a, 2004c, 2004b; Skrondal and Rabe-Hesketh 2004) in handling data features when exploring research hypotheses concerning speech intelligibility. To achieve this objective, the study reexamined data from transcriptions of spontaneous speech samples initially collected by Boonen et al. (2023). The data were aggregated into entropy scores. The research compared the prediction accuracy of the Beta-proportion GLLAMM with the Normal Linear Mixed Model (LMM) (Holmes, Bolin, and Kelley 2019) and investigated its capacity to estimate a latent intelligibility from entropy scores. The study also illustrated how hypotheses concerning the impact of speaker-related factors on intelligibility can be explored with the proposed model. The Beta-proportion GLLAMM was not free of challenges; its implementation required formulating assumptions about the data-generating process and knowledge of probabilistic programming languages, both central to Bayesian methods. Nevertheless, results indicated the superiority of the model in predicting empirical phenomena over the Normal LMM, and its ability to quantify a latent potential intelligibility. Additionally, the proposed model facilitated the exploration of hypotheses concerning speaker-related factors and intelligibility. Ultimately, this research has implications for researchers and data analysts interested in quantitatively measuring intricate, unobservable constructs while accurately predicting the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2024-05-23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