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54.png" ContentType="image/png"/>
  <Override PartName="/word/media/rId107.png" ContentType="image/png"/>
  <Override PartName="/word/media/rId112.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7.png" ContentType="image/png"/>
  <Override PartName="/word/media/rId122.png" ContentType="image/png"/>
  <Override PartName="/word/media/rId127.png" ContentType="image/png"/>
  <Override PartName="/word/media/rId132.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2024-04-05</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means for assessing intelligibility, as they resemble everyday informal speech more compared to read-aloud or imitated speech</w:t>
      </w:r>
      <w:r>
        <w:t xml:space="preserve"> </w:t>
      </w:r>
      <w:r>
        <w:t xml:space="preserve">(Boonen et al. 2021)</w:t>
      </w:r>
      <w:r>
        <w:t xml:space="preserve">. However, establishing a straightforward comparison between a predetermined word target and a listener’s identification of it using spontaneous speech is no longer possible, since such a target is non-existent. Therefore, the link between a word target and a listener’s identification of it can only be inferred indirectly</w:t>
      </w:r>
      <w:r>
        <w:t xml:space="preserve"> </w:t>
      </w:r>
      <w:r>
        <w:t xml:space="preserve">(Flipsen 2006; Lagerberg et al. 2014)</w:t>
      </w:r>
      <w:r>
        <w:t xml:space="preserve">.</w:t>
      </w:r>
    </w:p>
    <w:p>
      <w:pPr>
        <w:pStyle w:val="BodyText"/>
      </w:pPr>
      <w:r>
        <w:t xml:space="preserve">Yet, a metric of intelligibility can still be derived from transcriptions of spontaneous speech samples. In this approach, 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2021)</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 [</w:t>
      </w:r>
      <w:r>
        <w:t xml:space="preserve">Ghosh (2019)</w:t>
      </w:r>
      <w:r>
        <w:t xml:space="preserve">; Kangmennaang_et_al_2023],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The findings of this study will equip researchers investigating speech intelligibility using entropy scores, or those grappling with similar data challenges, with a statistical tool that improves upon existing research models. The tool will provide an assessment of the predictability of empirical phenomena, along with the capability to develop a quantitative measure for the latent variable of interest. The latter, in turn, will facilitate the appropriate comparison of existing theories related to the latent variable, and even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obtained as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The</w:t>
      </w:r>
      <w:r>
        <w:t xml:space="preserve"> </w:t>
      </w:r>
      <m:oMath>
        <m:r>
          <m:t>320</m:t>
        </m:r>
      </m:oMath>
      <w:r>
        <w:t xml:space="preserve"> </w:t>
      </w:r>
      <w:r>
        <w:t xml:space="preserve">speech samples and</w:t>
      </w:r>
      <w:r>
        <w:t xml:space="preserve"> </w:t>
      </w:r>
      <m:oMath>
        <m:r>
          <m:t>105</m:t>
        </m:r>
      </m:oMath>
      <w:r>
        <w:t xml:space="preserve"> </w:t>
      </w:r>
      <w:r>
        <w:t xml:space="preserve">listeners were randomly assigned to five blocks, with each block consisting of approximately</w:t>
      </w:r>
      <w:r>
        <w:t xml:space="preserve"> </w:t>
      </w:r>
      <m:oMath>
        <m:r>
          <m:t>21</m:t>
        </m:r>
      </m:oMath>
      <w:r>
        <w:t xml:space="preserve"> </w:t>
      </w:r>
      <w:r>
        <w:t xml:space="preserve">listeners who transcribed</w:t>
      </w:r>
      <w:r>
        <w:t xml:space="preserve"> </w:t>
      </w:r>
      <m:oMath>
        <m:r>
          <m:t>64</m:t>
        </m:r>
      </m:oMath>
      <w:r>
        <w:t xml:space="preserve"> </w:t>
      </w:r>
      <w:r>
        <w:t xml:space="preserve">sentences presented in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 For more details on the random assignment and alignment procedures refer to</w:t>
      </w:r>
      <w:r>
        <w:t xml:space="preserve"> </w:t>
      </w:r>
      <w:r>
        <w:t xml:space="preserve">Boonen et al. (2021)</w:t>
      </w:r>
      <w:r>
        <w:t xml:space="preserve">.</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2021)</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 Note: 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7"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p>
      <w:pPr>
        <w:pStyle w:val="BodyText"/>
      </w:pPr>
      <w:r>
        <w:t xml:space="preserve">The selection of the Bayesian approach was based on three key properties. Firstly, empirical evidence from prior research demonstrates that Bayesian methods outperform frequentist methods, particularly in handling complex and over-parameterized models</w:t>
      </w:r>
      <w:r>
        <w:t xml:space="preserve"> </w:t>
      </w:r>
      <w:r>
        <w:t xml:space="preserve">(Baker 1998; Kim and Cohen 1999)</w:t>
      </w:r>
      <w:r>
        <w:t xml:space="preserve">. This superiority is evident when dealing with complex models, like the proposed GLLAMM, that are challenging to program or are not viable under frequentist methods</w:t>
      </w:r>
      <w:r>
        <w:t xml:space="preserve"> </w:t>
      </w:r>
      <w:r>
        <w:t xml:space="preserve">(Depaoli 2014)</w:t>
      </w:r>
      <w:r>
        <w:t xml:space="preserve">. Secondly, the approach allows for the incorporation of prior information, ensuring that certain parameters are confined within specified boundaries. This helps mitigate non-convergence or improper parameter estimation issues commonly observed in complex models under frequentist methods</w:t>
      </w:r>
      <w:r>
        <w:t xml:space="preserve"> </w:t>
      </w:r>
      <w:r>
        <w:t xml:space="preserve">(Martin and McDonald 1975; Seaman and Stamey 2011)</w:t>
      </w:r>
      <w:r>
        <w:t xml:space="preserve">. In this study, for example, this property was leveraged to incorporate information about the variances of random effects and constrain them to be positive. Lastly, the Bayesian approach demonstrates proficiency in handling relatively small sample sizes</w:t>
      </w:r>
      <w:r>
        <w:t xml:space="preserve"> </w:t>
      </w:r>
      <w:r>
        <w:t xml:space="preserve">(Baldwin and Fellingham 2013; Lambert et al. 2006; Depaoli 2014)</w:t>
      </w:r>
      <w:r>
        <w:t xml:space="preserve">. In this case, despite the study dealing with 2,263 entropy scores, these were derived from a modest sample size of 32 speakers, from whom the inferences are drawn. Consequently, reliance on the asymptotic properties of frequentist methods may not be warranted in this context, underscoring the pertinence of this property to the current study.</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2.2.7</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Start w:id="46" w:name="sec-M-SM-OS"/>
    <w:p>
      <w:pPr>
        <w:pStyle w:val="Heading3"/>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5">
        <w:r>
          <w:rPr>
            <w:rStyle w:val="Hyperlink"/>
          </w:rPr>
          <w:t xml:space="preserve">https://jriveraespejo.github.io/paper1_manuscript/</w:t>
        </w:r>
      </w:hyperlink>
    </w:p>
    <w:bookmarkEnd w:id="46"/>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orange dots and vertical lines show the point estimates and 95% highest probability density interval (HPDI) derived from Model 4, blue dots and vertical lines show similar information for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 Note: 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 Note: 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2.2.7</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w:t>
      </w:r>
      <w:r>
        <w:t xml:space="preserve">; Pollitt_2012b,</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bookmarkEnd w:id="100"/>
    <w:bookmarkStart w:id="143" w:name="sec-appendix"/>
    <w:p>
      <w:pPr>
        <w:pStyle w:val="Heading1"/>
      </w:pPr>
      <w:r>
        <w:t xml:space="preserve">Appendix</w:t>
      </w:r>
    </w:p>
    <w:bookmarkStart w:id="101" w:name="sec-appA"/>
    <w:p>
      <w:pPr>
        <w:pStyle w:val="Heading2"/>
      </w:pPr>
      <w:r>
        <w:t xml:space="preserve">Entropy scores calculation</w:t>
      </w:r>
    </w:p>
    <w:p>
      <w:pPr>
        <w:pStyle w:val="FirstParagraph"/>
      </w:pPr>
      <w:r>
        <w:t xml:space="preserve">This section exemplifies the entropy calculation procedure. For that purpose, the words in position two,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the word</w:t>
      </w:r>
      <w:r>
        <w:t xml:space="preserve"> </w:t>
      </w:r>
      <m:oMath>
        <m:r>
          <m:t>2</m:t>
        </m:r>
      </m:oMath>
      <w:r>
        <w:t xml:space="preserve">,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r>
          <m:rPr>
            <m:sty m:val="p"/>
          </m:rPr>
          <m:t>=</m:t>
        </m:r>
        <m:r>
          <m:rPr>
            <m:sty m:val="p"/>
          </m:rPr>
          <m:t>{</m:t>
        </m:r>
        <m:r>
          <m:t>4</m:t>
        </m:r>
        <m:r>
          <m:rPr>
            <m:sty m:val="p"/>
          </m:rPr>
          <m:t>/</m:t>
        </m:r>
        <m:r>
          <m:t>5</m:t>
        </m:r>
        <m:r>
          <m:rPr>
            <m:sty m:val="p"/>
          </m:rPr>
          <m:t>,</m:t>
        </m:r>
        <m:r>
          <m:t>1</m:t>
        </m:r>
        <m:r>
          <m:rPr>
            <m:sty m:val="p"/>
          </m:rPr>
          <m:t>/</m:t>
        </m:r>
        <m:r>
          <m:t>5</m:t>
        </m:r>
        <m:r>
          <m:rPr>
            <m:sty m:val="p"/>
          </m:rPr>
          <m:t>}</m:t>
        </m:r>
        <m:r>
          <m:rPr>
            <m:sty m:val="p"/>
          </m:rPr>
          <m:t>=</m:t>
        </m:r>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word</w:t>
      </w:r>
      <w:r>
        <w:t xml:space="preserve"> </w:t>
      </w:r>
      <m:oMath>
        <m:r>
          <m:t>4</m:t>
        </m:r>
      </m:oMath>
      <w:r>
        <w:t xml:space="preserve">,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r>
          <m:rPr>
            <m:sty m:val="p"/>
          </m:rPr>
          <m:t>=</m:t>
        </m:r>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Lastly, for word</w:t>
      </w:r>
      <w:r>
        <w:t xml:space="preserve"> </w:t>
      </w:r>
      <m:oMath>
        <m:r>
          <m:t>5</m:t>
        </m:r>
      </m:oMath>
      <w:r>
        <w:t xml:space="preserve">, 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r>
          <m:rPr>
            <m:sty m:val="p"/>
          </m:rPr>
          <m:t>=</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t>5</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1</m:t>
          </m:r>
        </m:oMath>
      </m:oMathPara>
    </w:p>
    <w:bookmarkEnd w:id="101"/>
    <w:bookmarkStart w:id="106"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2" w:name="tbl-rq1-waic"/>
          <w:p>
            <w:pPr>
              <w:jc w:val="center"/>
            </w:pPr>
            <w:pPr>
              <w:jc w:val="start"/>
              <w:spacing w:before="200"/>
              <w:pStyle w:val="ImageCaption"/>
            </w:pPr>
            <w:r>
              <w:t xml:space="preserve">Table 6: WAIC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2"/>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3" w:name="tbl-rq1-psis"/>
          <w:p>
            <w:pPr>
              <w:jc w:val="center"/>
            </w:pPr>
            <w:pPr>
              <w:jc w:val="start"/>
              <w:spacing w:before="200"/>
              <w:pStyle w:val="ImageCaption"/>
            </w:pPr>
            <w:r>
              <w:t xml:space="preserve">Table 7: PSIS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3-waic"/>
          <w:p>
            <w:pPr>
              <w:jc w:val="center"/>
            </w:pPr>
            <w:pPr>
              <w:jc w:val="start"/>
              <w:spacing w:before="200"/>
              <w:pStyle w:val="ImageCaption"/>
            </w:pPr>
            <w:r>
              <w:t xml:space="preserve">Table 8: WAIC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psis"/>
          <w:p>
            <w:pPr>
              <w:jc w:val="center"/>
            </w:pPr>
            <w:pPr>
              <w:jc w:val="start"/>
              <w:spacing w:before="200"/>
              <w:pStyle w:val="ImageCaption"/>
            </w:pPr>
            <w:r>
              <w:t xml:space="preserve">Table 9: PSIS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5"/>
          <w:p/>
        </w:tc>
      </w:tr>
    </w:tbl>
    <w:bookmarkEnd w:id="106"/>
    <w:bookmarkStart w:id="142" w:name="sec-appC"/>
    <w:p>
      <w:pPr>
        <w:pStyle w:val="Heading2"/>
      </w:pPr>
      <w:r>
        <w:t xml:space="preserve">Figures</w:t>
      </w:r>
    </w:p>
    <w:bookmarkStart w:id="111"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0" w:name="fig-rq1-pred-speaker_model04"/>
          <w:p>
            <w:pPr>
              <w:pStyle w:val="Compact"/>
              <w:jc w:val="center"/>
            </w:pPr>
            <w:r>
              <w:drawing>
                <wp:inline>
                  <wp:extent cx="5334000" cy="3733800"/>
                  <wp:effectExtent b="0" l="0" r="0" t="0"/>
                  <wp:docPr descr="" title="" id="108" name="Picture"/>
                  <a:graphic>
                    <a:graphicData uri="http://schemas.openxmlformats.org/drawingml/2006/picture">
                      <pic:pic>
                        <pic:nvPicPr>
                          <pic:cNvPr descr="index_files/figure-docx/fig-rq1-pred-speaker_model04-1.png" id="109" name="Picture"/>
                          <pic:cNvPicPr>
                            <a:picLocks noChangeArrowheads="1" noChangeAspect="1"/>
                          </pic:cNvPicPr>
                        </pic:nvPicPr>
                        <pic:blipFill>
                          <a:blip r:embed="rId10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0"/>
        </w:tc>
      </w:tr>
    </w:tbl>
    <w:bookmarkEnd w:id="111"/>
    <w:bookmarkStart w:id="116"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5" w:name="fig-rq1-pred-speaker_model10"/>
          <w:p>
            <w:pPr>
              <w:pStyle w:val="Compact"/>
              <w:jc w:val="center"/>
            </w:pPr>
            <w:r>
              <w:drawing>
                <wp:inline>
                  <wp:extent cx="5334000" cy="3733800"/>
                  <wp:effectExtent b="0" l="0" r="0" t="0"/>
                  <wp:docPr descr="" title="" id="113" name="Picture"/>
                  <a:graphic>
                    <a:graphicData uri="http://schemas.openxmlformats.org/drawingml/2006/picture">
                      <pic:pic>
                        <pic:nvPicPr>
                          <pic:cNvPr descr="index_files/figure-docx/fig-rq1-pred-speaker_model10-1.png" id="114" name="Picture"/>
                          <pic:cNvPicPr>
                            <a:picLocks noChangeArrowheads="1" noChangeAspect="1"/>
                          </pic:cNvPicPr>
                        </pic:nvPicPr>
                        <pic:blipFill>
                          <a:blip r:embed="rId11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5"/>
        </w:tc>
      </w:tr>
    </w:tbl>
    <w:bookmarkEnd w:id="116"/>
    <w:bookmarkStart w:id="121"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0" w:name="fig-rq1-model-outliers"/>
          <w:p>
            <w:pPr>
              <w:pStyle w:val="Compact"/>
              <w:jc w:val="center"/>
            </w:pPr>
            <w:r>
              <w:drawing>
                <wp:inline>
                  <wp:extent cx="5334000" cy="3733800"/>
                  <wp:effectExtent b="0" l="0" r="0" t="0"/>
                  <wp:docPr descr="" title="" id="118" name="Picture"/>
                  <a:graphic>
                    <a:graphicData uri="http://schemas.openxmlformats.org/drawingml/2006/picture">
                      <pic:pic>
                        <pic:nvPicPr>
                          <pic:cNvPr descr="index_files/figure-docx/fig-rq1-model-outliers-1.png" id="119" name="Picture"/>
                          <pic:cNvPicPr>
                            <a:picLocks noChangeArrowheads="1" noChangeAspect="1"/>
                          </pic:cNvPicPr>
                        </pic:nvPicPr>
                        <pic:blipFill>
                          <a:blip r:embed="rId11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 Note: Thin and thick vertical discontinuous line indicate threshold of 0.5 and 0.7, respectively. Number pair texts indicate the observation pair of speaker and sentence index.</w:t>
            </w:r>
          </w:p>
          <w:bookmarkEnd w:id="120"/>
        </w:tc>
      </w:tr>
    </w:tbl>
    <w:bookmarkEnd w:id="121"/>
    <w:bookmarkStart w:id="126" w:name="cell-fig-rq3-pred-speaker"/>
    <w:tbl>
      <w:tblPr>
        <w:tblStyle w:val="Table"/>
        <w:tblW w:type="pct" w:w="5000"/>
        <w:jc w:val="left"/>
        <w:tblLayout w:type="fixed"/>
        <w:tblLook w:firstRow="0" w:lastRow="0" w:firstColumn="0" w:lastColumn="0" w:noHBand="0" w:noVBand="0" w:val="0000"/>
      </w:tblPr>
      <w:tblGrid>
        <w:gridCol w:w="7920"/>
      </w:tblGrid>
      <w:tr>
        <w:tc>
          <w:tcPr/>
          <w:bookmarkStart w:id="125" w:name="fig-rq3-pred-speaker"/>
          <w:p>
            <w:pPr>
              <w:pStyle w:val="Compact"/>
              <w:jc w:val="center"/>
            </w:pPr>
            <w:r>
              <w:drawing>
                <wp:inline>
                  <wp:extent cx="5334000" cy="3200400"/>
                  <wp:effectExtent b="0" l="0" r="0" t="0"/>
                  <wp:docPr descr="" title="" id="123" name="Picture"/>
                  <a:graphic>
                    <a:graphicData uri="http://schemas.openxmlformats.org/drawingml/2006/picture">
                      <pic:pic>
                        <pic:nvPicPr>
                          <pic:cNvPr descr="index_files/figure-docx/fig-rq3-pred-speaker-1.png" id="124" name="Picture"/>
                          <pic:cNvPicPr>
                            <a:picLocks noChangeArrowheads="1" noChangeAspect="1"/>
                          </pic:cNvPicPr>
                        </pic:nvPicPr>
                        <pic:blipFill>
                          <a:blip r:embed="rId12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 Note: Black dots show manifest entropy scores, orange dots and vertical lines show the point estimates and 95% highest probability density intervals (HPDI) derived from model 6, blue dots and vertical lines show similar information for model 12.</w:t>
            </w:r>
          </w:p>
          <w:bookmarkEnd w:id="125"/>
        </w:tc>
      </w:tr>
    </w:tbl>
    <w:bookmarkEnd w:id="126"/>
    <w:bookmarkStart w:id="131"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0" w:name="fig-rq3-pred-speaker_model06"/>
          <w:p>
            <w:pPr>
              <w:pStyle w:val="Compact"/>
              <w:jc w:val="center"/>
            </w:pPr>
            <w:r>
              <w:drawing>
                <wp:inline>
                  <wp:extent cx="5334000" cy="3733800"/>
                  <wp:effectExtent b="0" l="0" r="0" t="0"/>
                  <wp:docPr descr="" title="" id="128" name="Picture"/>
                  <a:graphic>
                    <a:graphicData uri="http://schemas.openxmlformats.org/drawingml/2006/picture">
                      <pic:pic>
                        <pic:nvPicPr>
                          <pic:cNvPr descr="index_files/figure-docx/fig-rq3-pred-speaker_model06-1.png" id="129" name="Picture"/>
                          <pic:cNvPicPr>
                            <a:picLocks noChangeArrowheads="1" noChangeAspect="1"/>
                          </pic:cNvPicPr>
                        </pic:nvPicPr>
                        <pic:blipFill>
                          <a:blip r:embed="rId12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 Note: Black bars denote the true data density, orange bars describe the predicted data density</w:t>
            </w:r>
          </w:p>
          <w:bookmarkEnd w:id="130"/>
        </w:tc>
      </w:tr>
    </w:tbl>
    <w:bookmarkEnd w:id="131"/>
    <w:bookmarkStart w:id="136"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5" w:name="fig-rq3-pred-speaker_model12"/>
          <w:p>
            <w:pPr>
              <w:pStyle w:val="Compact"/>
              <w:jc w:val="center"/>
            </w:pPr>
            <w:r>
              <w:drawing>
                <wp:inline>
                  <wp:extent cx="5334000" cy="3733800"/>
                  <wp:effectExtent b="0" l="0" r="0" t="0"/>
                  <wp:docPr descr="" title="" id="133" name="Picture"/>
                  <a:graphic>
                    <a:graphicData uri="http://schemas.openxmlformats.org/drawingml/2006/picture">
                      <pic:pic>
                        <pic:nvPicPr>
                          <pic:cNvPr descr="index_files/figure-docx/fig-rq3-pred-speaker_model12-1.png" id="134" name="Picture"/>
                          <pic:cNvPicPr>
                            <a:picLocks noChangeArrowheads="1" noChangeAspect="1"/>
                          </pic:cNvPicPr>
                        </pic:nvPicPr>
                        <pic:blipFill>
                          <a:blip r:embed="rId13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 Note: Black bars denote the true data density, blue bars describe the predicted data density</w:t>
            </w:r>
          </w:p>
          <w:bookmarkEnd w:id="135"/>
        </w:tc>
      </w:tr>
    </w:tbl>
    <w:bookmarkEnd w:id="136"/>
    <w:bookmarkStart w:id="141"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0" w:name="fig-rq3-model-outliers"/>
          <w:p>
            <w:pPr>
              <w:pStyle w:val="Compact"/>
              <w:jc w:val="center"/>
            </w:pPr>
            <w:r>
              <w:drawing>
                <wp:inline>
                  <wp:extent cx="5334000" cy="3733800"/>
                  <wp:effectExtent b="0" l="0" r="0" t="0"/>
                  <wp:docPr descr="" title="" id="138" name="Picture"/>
                  <a:graphic>
                    <a:graphicData uri="http://schemas.openxmlformats.org/drawingml/2006/picture">
                      <pic:pic>
                        <pic:nvPicPr>
                          <pic:cNvPr descr="index_files/figure-docx/fig-rq3-model-outliers-1.png" id="139" name="Picture"/>
                          <pic:cNvPicPr>
                            <a:picLocks noChangeArrowheads="1" noChangeAspect="1"/>
                          </pic:cNvPicPr>
                        </pic:nvPicPr>
                        <pic:blipFill>
                          <a:blip r:embed="rId13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 Note: Thin and thick vertical discontinuous line indicate threshold of 0.5 and 0.7, respectively. Number pair texts indicate the observation pair of speaker and sentence index.</w:t>
            </w:r>
          </w:p>
          <w:bookmarkEnd w:id="140"/>
        </w:tc>
      </w:tr>
    </w:tbl>
    <w:bookmarkEnd w:id="141"/>
    <w:p>
      <w:r>
        <w:br w:type="page"/>
      </w:r>
    </w:p>
    <w:bookmarkEnd w:id="142"/>
    <w:bookmarkEnd w:id="143"/>
    <w:bookmarkStart w:id="14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 while the user-defined functions are available in the</w:t>
      </w:r>
      <w:r>
        <w:t xml:space="preserve"> </w:t>
      </w:r>
      <w:r>
        <w:rPr>
          <w:rStyle w:val="VerbatimChar"/>
        </w:rPr>
        <w:t xml:space="preserve">code</w:t>
      </w:r>
      <w:r>
        <w:t xml:space="preserve"> </w:t>
      </w:r>
      <w:r>
        <w:t xml:space="preserve">folder from this walk-through located at:</w:t>
      </w:r>
      <w:r>
        <w:t xml:space="preserve"> </w:t>
      </w:r>
      <w:hyperlink r:id="rId144">
        <w:r>
          <w:rPr>
            <w:rStyle w:val="Hyperlink"/>
          </w:rPr>
          <w:t xml:space="preserve">https://github.com/jriveraespejo/paper1_manuscript</w:t>
        </w:r>
      </w:hyperlink>
    </w:p>
    <w:p>
      <w:pPr>
        <w:pStyle w:val="BodyText"/>
      </w:pPr>
      <w:r>
        <w:rPr>
          <w:b/>
          <w:bCs/>
        </w:rPr>
        <w:t xml:space="preserve">Code availability:</w:t>
      </w:r>
      <w:r>
        <w:t xml:space="preserve"> </w:t>
      </w:r>
      <w:r>
        <w:t xml:space="preserve">The code is available in the different notebooks of this document located at:</w:t>
      </w:r>
      <w:r>
        <w:t xml:space="preserve"> </w:t>
      </w:r>
      <w:hyperlink r:id="rId45">
        <w:r>
          <w:rPr>
            <w:rStyle w:val="Hyperlink"/>
          </w:rPr>
          <w:t xml:space="preserve">https://jriveraespejo.github.io/paper1_manuscript/</w:t>
        </w:r>
      </w:hyperlink>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45"/>
    <w:bookmarkStart w:id="303" w:name="references"/>
    <w:p>
      <w:pPr>
        <w:pStyle w:val="Heading1"/>
      </w:pPr>
      <w:r>
        <w:t xml:space="preserve">References</w:t>
      </w:r>
    </w:p>
    <w:bookmarkStart w:id="302" w:name="refs"/>
    <w:bookmarkStart w:id="147"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6">
        <w:r>
          <w:rPr>
            <w:rStyle w:val="Hyperlink"/>
          </w:rPr>
          <w:t xml:space="preserve">https://doi.org/10.1177/01466216980222005</w:t>
        </w:r>
      </w:hyperlink>
      <w:r>
        <w:t xml:space="preserve">.</w:t>
      </w:r>
    </w:p>
    <w:bookmarkEnd w:id="147"/>
    <w:bookmarkStart w:id="149"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8">
        <w:r>
          <w:rPr>
            <w:rStyle w:val="Hyperlink"/>
          </w:rPr>
          <w:t xml:space="preserve">https://doi.org/10.1037/a0030642</w:t>
        </w:r>
      </w:hyperlink>
      <w:r>
        <w:t xml:space="preserve">.</w:t>
      </w:r>
    </w:p>
    <w:bookmarkEnd w:id="149"/>
    <w:bookmarkStart w:id="151"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50">
        <w:r>
          <w:rPr>
            <w:rStyle w:val="Hyperlink"/>
          </w:rPr>
          <w:t xml:space="preserve">https://doi.org/10.1214/12-ba728</w:t>
        </w:r>
      </w:hyperlink>
      <w:r>
        <w:t xml:space="preserve">.</w:t>
      </w:r>
    </w:p>
    <w:bookmarkEnd w:id="151"/>
    <w:bookmarkStart w:id="153"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2">
        <w:r>
          <w:rPr>
            <w:rStyle w:val="Hyperlink"/>
          </w:rPr>
          <w:t xml:space="preserve">https://doi.org/10.1017/S0305000921000714</w:t>
        </w:r>
      </w:hyperlink>
      <w:r>
        <w:t xml:space="preserve">.</w:t>
      </w:r>
    </w:p>
    <w:bookmarkEnd w:id="153"/>
    <w:bookmarkStart w:id="155"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4">
        <w:r>
          <w:rPr>
            <w:rStyle w:val="Hyperlink"/>
          </w:rPr>
          <w:t xml:space="preserve">https://doi.org/10.1097/AUD.0b013e3182503e47</w:t>
        </w:r>
      </w:hyperlink>
      <w:r>
        <w:t xml:space="preserve">.</w:t>
      </w:r>
    </w:p>
    <w:bookmarkEnd w:id="155"/>
    <w:bookmarkStart w:id="157"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6">
        <w:r>
          <w:rPr>
            <w:rStyle w:val="Hyperlink"/>
          </w:rPr>
          <w:t xml:space="preserve">\url{https://arxiv.org/abs/1212.0870}</w:t>
        </w:r>
      </w:hyperlink>
      <w:r>
        <w:t xml:space="preserve">.</w:t>
      </w:r>
    </w:p>
    <w:bookmarkEnd w:id="157"/>
    <w:bookmarkStart w:id="159"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8">
        <w:r>
          <w:rPr>
            <w:rStyle w:val="Hyperlink"/>
          </w:rPr>
          <w:t xml:space="preserve">https://doi.org/10.1179/1754762813Y.0000000043</w:t>
        </w:r>
      </w:hyperlink>
      <w:r>
        <w:t xml:space="preserve">.</w:t>
      </w:r>
    </w:p>
    <w:bookmarkEnd w:id="159"/>
    <w:bookmarkStart w:id="161"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0">
        <w:r>
          <w:rPr>
            <w:rStyle w:val="Hyperlink"/>
          </w:rPr>
          <w:t xml:space="preserve">https://doi.org/10.1016/j.jcomdis.2012.05.003</w:t>
        </w:r>
      </w:hyperlink>
      <w:r>
        <w:t xml:space="preserve">.</w:t>
      </w:r>
    </w:p>
    <w:bookmarkEnd w:id="161"/>
    <w:bookmarkStart w:id="163"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2">
        <w:r>
          <w:rPr>
            <w:rStyle w:val="Hyperlink"/>
          </w:rPr>
          <w:t xml:space="preserve">https://doi.org/10.3109/02699206.2014.926997</w:t>
        </w:r>
      </w:hyperlink>
      <w:r>
        <w:t xml:space="preserve">.</w:t>
      </w:r>
    </w:p>
    <w:bookmarkEnd w:id="163"/>
    <w:bookmarkStart w:id="165"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4">
        <w:r>
          <w:rPr>
            <w:rStyle w:val="Hyperlink"/>
          </w:rPr>
          <w:t xml:space="preserve">https://doi.org/10.1007/s12564-023-09907-4</w:t>
        </w:r>
      </w:hyperlink>
      <w:r>
        <w:t xml:space="preserve">.</w:t>
      </w:r>
    </w:p>
    <w:bookmarkEnd w:id="165"/>
    <w:bookmarkStart w:id="167"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 https://doi.org/</w:t>
      </w:r>
      <w:hyperlink r:id="rId166">
        <w:r>
          <w:rPr>
            <w:rStyle w:val="Hyperlink"/>
          </w:rPr>
          <w:t xml:space="preserve">http://dx.doi.org/10.2139/ssrn.3689437</w:t>
        </w:r>
      </w:hyperlink>
      <w:r>
        <w:t xml:space="preserve">.</w:t>
      </w:r>
    </w:p>
    <w:bookmarkEnd w:id="167"/>
    <w:bookmarkStart w:id="169"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8">
        <w:r>
          <w:rPr>
            <w:rStyle w:val="Hyperlink"/>
          </w:rPr>
          <w:t xml:space="preserve">https://doi.org/10.1044/jshr.3202.347</w:t>
        </w:r>
      </w:hyperlink>
      <w:r>
        <w:t xml:space="preserve">.</w:t>
      </w:r>
    </w:p>
    <w:bookmarkEnd w:id="169"/>
    <w:bookmarkStart w:id="171"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0">
        <w:r>
          <w:rPr>
            <w:rStyle w:val="Hyperlink"/>
          </w:rPr>
          <w:t xml:space="preserve">https://doi.org/10.1037/h0040957</w:t>
        </w:r>
      </w:hyperlink>
      <w:r>
        <w:t xml:space="preserve">.</w:t>
      </w:r>
    </w:p>
    <w:bookmarkEnd w:id="171"/>
    <w:bookmarkStart w:id="173"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2">
        <w:r>
          <w:rPr>
            <w:rStyle w:val="Hyperlink"/>
          </w:rPr>
          <w:t xml:space="preserve">https://doi.org/10.1371/journal.pone.0254103</w:t>
        </w:r>
      </w:hyperlink>
      <w:r>
        <w:t xml:space="preserve">.</w:t>
      </w:r>
    </w:p>
    <w:bookmarkEnd w:id="173"/>
    <w:bookmarkStart w:id="175"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4">
        <w:r>
          <w:rPr>
            <w:rStyle w:val="Hyperlink"/>
          </w:rPr>
          <w:t xml:space="preserve">https://doi.org/10.1177/25152459221106366</w:t>
        </w:r>
      </w:hyperlink>
      <w:r>
        <w:t xml:space="preserve">.</w:t>
      </w:r>
    </w:p>
    <w:bookmarkEnd w:id="175"/>
    <w:bookmarkStart w:id="177"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6">
        <w:r>
          <w:rPr>
            <w:rStyle w:val="Hyperlink"/>
          </w:rPr>
          <w:t xml:space="preserve">https://doi.org/10.1080/10705511.2014.882686</w:t>
        </w:r>
      </w:hyperlink>
      <w:r>
        <w:t xml:space="preserve">.</w:t>
      </w:r>
    </w:p>
    <w:bookmarkEnd w:id="177"/>
    <w:bookmarkStart w:id="179" w:name="ref-Depaoli_2021"/>
    <w:p>
      <w:pPr>
        <w:pStyle w:val="Bibliography"/>
      </w:pPr>
      <w:r>
        <w:t xml:space="preserve">———. 2021.</w:t>
      </w:r>
      <w:r>
        <w:t xml:space="preserve"> </w:t>
      </w:r>
      <w:hyperlink r:id="rId178">
        <w:r>
          <w:rPr>
            <w:rStyle w:val="Hyperlink"/>
            <w:i/>
            <w:iCs/>
          </w:rPr>
          <w:t xml:space="preserve">Bayesian Structural Equation Modeling</w:t>
        </w:r>
      </w:hyperlink>
      <w:r>
        <w:t xml:space="preserve">. Methodology in the Social Sciences. The Guilford Press.</w:t>
      </w:r>
    </w:p>
    <w:bookmarkEnd w:id="179"/>
    <w:bookmarkStart w:id="181"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0">
        <w:r>
          <w:rPr>
            <w:rStyle w:val="Hyperlink"/>
          </w:rPr>
          <w:t xml:space="preserve">https://doi.org/10.1037/met0000065</w:t>
        </w:r>
      </w:hyperlink>
      <w:r>
        <w:t xml:space="preserve">.</w:t>
      </w:r>
    </w:p>
    <w:bookmarkEnd w:id="181"/>
    <w:bookmarkStart w:id="183"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2">
        <w:r>
          <w:rPr>
            <w:rStyle w:val="Hyperlink"/>
          </w:rPr>
          <w:t xml:space="preserve">https://doi.org/10.1007/s10198-022-01554-7</w:t>
        </w:r>
      </w:hyperlink>
      <w:r>
        <w:t xml:space="preserve">.</w:t>
      </w:r>
    </w:p>
    <w:bookmarkEnd w:id="183"/>
    <w:bookmarkStart w:id="185"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4">
        <w:r>
          <w:rPr>
            <w:rStyle w:val="Hyperlink"/>
          </w:rPr>
          <w:t xml:space="preserve">https://doi.org/10.1044/0161-1461(2010/09-0081)</w:t>
        </w:r>
      </w:hyperlink>
      <w:r>
        <w:t xml:space="preserve">.</w:t>
      </w:r>
    </w:p>
    <w:bookmarkEnd w:id="185"/>
    <w:bookmarkStart w:id="186" w:name="ref-Everitt_et_al_2010"/>
    <w:p>
      <w:pPr>
        <w:pStyle w:val="Bibliography"/>
      </w:pPr>
      <w:r>
        <w:t xml:space="preserve">Everitt, B., and A. Skrondal. 2010.</w:t>
      </w:r>
      <w:r>
        <w:t xml:space="preserve"> </w:t>
      </w:r>
      <w:hyperlink r:id="rId178">
        <w:r>
          <w:rPr>
            <w:rStyle w:val="Hyperlink"/>
            <w:i/>
            <w:iCs/>
          </w:rPr>
          <w:t xml:space="preserve">The Cambridge Dictionary of Statistics</w:t>
        </w:r>
      </w:hyperlink>
      <w:r>
        <w:t xml:space="preserve">. Cambridge University Press.</w:t>
      </w:r>
    </w:p>
    <w:bookmarkEnd w:id="186"/>
    <w:bookmarkStart w:id="187" w:name="ref-Faes_et_al_2021"/>
    <w:p>
      <w:pPr>
        <w:pStyle w:val="Bibliography"/>
      </w:pPr>
      <w:r>
        <w:t xml:space="preserve">Faes, J., S. De Maeyer, and S. Gillis. 2021.</w:t>
      </w:r>
      <w:r>
        <w:t xml:space="preserve"> </w:t>
      </w:r>
      <w:r>
        <w:t xml:space="preserve">“</w:t>
      </w:r>
      <w:hyperlink r:id="rId178">
        <w:r>
          <w:rPr>
            <w:rStyle w:val="Hyperlink"/>
          </w:rPr>
          <w:t xml:space="preserve">Speech Intelligibility of Children with an Auditory Brainstem Implant: A Triple-Case Study</w:t>
        </w:r>
      </w:hyperlink>
      <w:r>
        <w:t xml:space="preserve">,”</w:t>
      </w:r>
      <w:r>
        <w:t xml:space="preserve"> </w:t>
      </w:r>
      <w:r>
        <w:t xml:space="preserve">1–50.</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8">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7">
        <w:r>
          <w:rPr>
            <w:rStyle w:val="Hyperlink"/>
          </w:rPr>
          <w:t xml:space="preserve">https://doi.org/10.1201/9781351062268</w:t>
        </w:r>
      </w:hyperlink>
      <w:r>
        <w:t xml:space="preserve">.</w:t>
      </w:r>
    </w:p>
    <w:bookmarkEnd w:id="208"/>
    <w:bookmarkStart w:id="209" w:name="ref-Jeffreys_1998"/>
    <w:p>
      <w:pPr>
        <w:pStyle w:val="Bibliography"/>
      </w:pPr>
      <w:r>
        <w:t xml:space="preserve">Jeffreys, H. 1998.</w:t>
      </w:r>
      <w:r>
        <w:t xml:space="preserve"> </w:t>
      </w:r>
      <w:hyperlink r:id="rId178">
        <w:r>
          <w:rPr>
            <w:rStyle w:val="Hyperlink"/>
            <w:i/>
            <w:iCs/>
          </w:rPr>
          <w:t xml:space="preserve">Theory of Probability</w:t>
        </w:r>
      </w:hyperlink>
      <w:r>
        <w:t xml:space="preserve">. Oxford University Press.</w:t>
      </w:r>
    </w:p>
    <w:bookmarkEnd w:id="209"/>
    <w:bookmarkStart w:id="211"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0">
        <w:r>
          <w:rPr>
            <w:rStyle w:val="Hyperlink"/>
          </w:rPr>
          <w:t xml:space="preserve">https://doi.org/10.1016/S0147-1767(00)00011-0</w:t>
        </w:r>
      </w:hyperlink>
      <w:r>
        <w:t xml:space="preserve">.</w:t>
      </w:r>
    </w:p>
    <w:bookmarkEnd w:id="211"/>
    <w:bookmarkStart w:id="213"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2">
        <w:r>
          <w:rPr>
            <w:rStyle w:val="Hyperlink"/>
          </w:rPr>
          <w:t xml:space="preserve">https://doi.org/10.1007/s40615-023-01809-w</w:t>
        </w:r>
      </w:hyperlink>
      <w:r>
        <w:t xml:space="preserve">.</w:t>
      </w:r>
    </w:p>
    <w:bookmarkEnd w:id="213"/>
    <w:bookmarkStart w:id="215"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4">
        <w:r>
          <w:rPr>
            <w:rStyle w:val="Hyperlink"/>
          </w:rPr>
          <w:t xml:space="preserve">https://doi.org/10.1044/1058-0360.0302.81</w:t>
        </w:r>
      </w:hyperlink>
      <w:r>
        <w:t xml:space="preserve">.</w:t>
      </w:r>
    </w:p>
    <w:bookmarkEnd w:id="215"/>
    <w:bookmarkStart w:id="217"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6">
        <w:r>
          <w:rPr>
            <w:rStyle w:val="Hyperlink"/>
          </w:rPr>
          <w:t xml:space="preserve">https://doi.org/10.1044/jshd.5404.482</w:t>
        </w:r>
      </w:hyperlink>
      <w:r>
        <w:t xml:space="preserve">.</w:t>
      </w:r>
    </w:p>
    <w:bookmarkEnd w:id="217"/>
    <w:bookmarkStart w:id="219"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8">
        <w:r>
          <w:rPr>
            <w:rStyle w:val="Hyperlink"/>
          </w:rPr>
          <w:t xml:space="preserve">https://doi.org/10.3109/02699206.2010.490003</w:t>
        </w:r>
      </w:hyperlink>
      <w:r>
        <w:t xml:space="preserve">.</w:t>
      </w:r>
    </w:p>
    <w:bookmarkEnd w:id="219"/>
    <w:bookmarkStart w:id="221"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r>
        <w:t xml:space="preserve">In</w:t>
      </w:r>
      <w:r>
        <w:t xml:space="preserve"> </w:t>
      </w:r>
      <w:r>
        <w:rPr>
          <w:i/>
          <w:iCs/>
        </w:rPr>
        <w:t xml:space="preserve">Annual Meeting of the American Educational Research Association</w:t>
      </w:r>
      <w:r>
        <w:t xml:space="preserve">. American Educational Research Association.</w:t>
      </w:r>
      <w:r>
        <w:t xml:space="preserve"> </w:t>
      </w:r>
      <w:hyperlink r:id="rId220">
        <w:r>
          <w:rPr>
            <w:rStyle w:val="Hyperlink"/>
          </w:rPr>
          <w:t xml:space="preserve">\url{https://eric.ed.gov/?id=ED430012}</w:t>
        </w:r>
      </w:hyperlink>
      <w:r>
        <w:t xml:space="preserve">.</w:t>
      </w:r>
    </w:p>
    <w:bookmarkEnd w:id="221"/>
    <w:bookmarkStart w:id="223"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2">
        <w:r>
          <w:rPr>
            <w:rStyle w:val="Hyperlink"/>
          </w:rPr>
          <w:t xml:space="preserve">\url{http://www.jstor.org/stable/2236703}</w:t>
        </w:r>
      </w:hyperlink>
      <w:r>
        <w:t xml:space="preserve">.</w:t>
      </w:r>
    </w:p>
    <w:bookmarkEnd w:id="223"/>
    <w:bookmarkStart w:id="225"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4">
        <w:r>
          <w:rPr>
            <w:rStyle w:val="Hyperlink"/>
          </w:rPr>
          <w:t xml:space="preserve">https://doi.org/10.1111/1460-6984.12067</w:t>
        </w:r>
      </w:hyperlink>
      <w:r>
        <w:t xml:space="preserve">.</w:t>
      </w:r>
    </w:p>
    <w:bookmarkEnd w:id="225"/>
    <w:bookmarkStart w:id="227"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6">
        <w:r>
          <w:rPr>
            <w:rStyle w:val="Hyperlink"/>
          </w:rPr>
          <w:t xml:space="preserve">https://doi.org/10.1002/sim.2112</w:t>
        </w:r>
      </w:hyperlink>
      <w:r>
        <w:t xml:space="preserve">.</w:t>
      </w:r>
    </w:p>
    <w:bookmarkEnd w:id="227"/>
    <w:bookmarkStart w:id="229"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8">
        <w:r>
          <w:rPr>
            <w:rStyle w:val="Hyperlink"/>
          </w:rPr>
          <w:t xml:space="preserve">\url{https://www.jirka.org/ra/html/frontmatter-1.html}</w:t>
        </w:r>
      </w:hyperlink>
      <w:r>
        <w:t xml:space="preserve">.</w:t>
      </w:r>
    </w:p>
    <w:bookmarkEnd w:id="229"/>
    <w:bookmarkStart w:id="23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0"/>
    <w:bookmarkStart w:id="232"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1">
        <w:r>
          <w:rPr>
            <w:rStyle w:val="Hyperlink"/>
          </w:rPr>
          <w:t xml:space="preserve">https://doi.org/10.1007/s12671-023-02165-w</w:t>
        </w:r>
      </w:hyperlink>
      <w:r>
        <w:t xml:space="preserve">.</w:t>
      </w:r>
    </w:p>
    <w:bookmarkEnd w:id="232"/>
    <w:bookmarkStart w:id="234"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3">
        <w:r>
          <w:rPr>
            <w:rStyle w:val="Hyperlink"/>
          </w:rPr>
          <w:t xml:space="preserve">https://doi.org/10.21415/3mhn-0z89</w:t>
        </w:r>
      </w:hyperlink>
      <w:r>
        <w:t xml:space="preserve">.</w:t>
      </w:r>
    </w:p>
    <w:bookmarkEnd w:id="234"/>
    <w:bookmarkStart w:id="236"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5">
        <w:r>
          <w:rPr>
            <w:rStyle w:val="Hyperlink"/>
          </w:rPr>
          <w:t xml:space="preserve">https://doi.org/10.1007/BF02291552</w:t>
        </w:r>
      </w:hyperlink>
      <w:r>
        <w:t xml:space="preserve">.</w:t>
      </w:r>
    </w:p>
    <w:bookmarkEnd w:id="236"/>
    <w:bookmarkStart w:id="238"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7">
        <w:r>
          <w:rPr>
            <w:rStyle w:val="Hyperlink"/>
          </w:rPr>
          <w:t xml:space="preserve">\url{https://books.google.be/books?id=Asi5KQAACAAJ}</w:t>
        </w:r>
      </w:hyperlink>
      <w:r>
        <w:t xml:space="preserve">.</w:t>
      </w:r>
    </w:p>
    <w:bookmarkEnd w:id="238"/>
    <w:bookmarkStart w:id="239" w:name="ref-McElreath_2020"/>
    <w:p>
      <w:pPr>
        <w:pStyle w:val="Bibliography"/>
      </w:pPr>
      <w:r>
        <w:t xml:space="preserve">McElreath, R. 2020.</w:t>
      </w:r>
      <w:r>
        <w:t xml:space="preserve"> </w:t>
      </w:r>
      <w:hyperlink r:id="rId178">
        <w:r>
          <w:rPr>
            <w:rStyle w:val="Hyperlink"/>
            <w:i/>
            <w:iCs/>
          </w:rPr>
          <w:t xml:space="preserve">Statistical Rethinking: A Bayesian Course with Examples in r and STAN</w:t>
        </w:r>
      </w:hyperlink>
      <w:r>
        <w:t xml:space="preserve">. Chapman; Hall/CRC.</w:t>
      </w:r>
    </w:p>
    <w:bookmarkEnd w:id="239"/>
    <w:bookmarkStart w:id="241"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0">
        <w:r>
          <w:rPr>
            <w:rStyle w:val="Hyperlink"/>
          </w:rPr>
          <w:t xml:space="preserve">https://doi.org/10.1044/2014\_JSLHR-H-14-0190</w:t>
        </w:r>
      </w:hyperlink>
      <w:r>
        <w:t xml:space="preserve">.</w:t>
      </w:r>
    </w:p>
    <w:bookmarkEnd w:id="241"/>
    <w:bookmarkStart w:id="243"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2">
        <w:r>
          <w:rPr>
            <w:rStyle w:val="Hyperlink"/>
          </w:rPr>
          <w:t xml:space="preserve">https://doi.org/10.1017/S0272263198002022</w:t>
        </w:r>
      </w:hyperlink>
      <w:r>
        <w:t xml:space="preserve">.</w:t>
      </w:r>
    </w:p>
    <w:bookmarkEnd w:id="243"/>
    <w:bookmarkStart w:id="245"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4">
        <w:r>
          <w:rPr>
            <w:rStyle w:val="Hyperlink"/>
          </w:rPr>
          <w:t xml:space="preserve">https://doi.org/10.1111/1467-9922.00038</w:t>
        </w:r>
      </w:hyperlink>
      <w:r>
        <w:t xml:space="preserve">.</w:t>
      </w:r>
    </w:p>
    <w:bookmarkEnd w:id="245"/>
    <w:bookmarkStart w:id="247"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6">
        <w:r>
          <w:rPr>
            <w:rStyle w:val="Hyperlink"/>
          </w:rPr>
          <w:t xml:space="preserve">https://doi.org/10.1037/10409-010</w:t>
        </w:r>
      </w:hyperlink>
      <w:r>
        <w:t xml:space="preserve">.</w:t>
      </w:r>
    </w:p>
    <w:bookmarkEnd w:id="247"/>
    <w:bookmarkStart w:id="249"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8">
        <w:r>
          <w:rPr>
            <w:rStyle w:val="Hyperlink"/>
          </w:rPr>
          <w:t xml:space="preserve">https://doi.org/10.1001/jama.2010.451</w:t>
        </w:r>
      </w:hyperlink>
      <w:r>
        <w:t xml:space="preserve">.</w:t>
      </w:r>
    </w:p>
    <w:bookmarkEnd w:id="249"/>
    <w:bookmarkStart w:id="251"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0">
        <w:r>
          <w:rPr>
            <w:rStyle w:val="Hyperlink"/>
          </w:rPr>
          <w:t xml:space="preserve">https://doi.org/0.1080/10904018.2015.1056877</w:t>
        </w:r>
      </w:hyperlink>
      <w:r>
        <w:t xml:space="preserve">.</w:t>
      </w:r>
    </w:p>
    <w:bookmarkEnd w:id="251"/>
    <w:bookmarkStart w:id="253"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2">
        <w:r>
          <w:rPr>
            <w:rStyle w:val="Hyperlink"/>
          </w:rPr>
          <w:t xml:space="preserve">https://doi.org/10.1111/rssa.12551</w:t>
        </w:r>
      </w:hyperlink>
      <w:r>
        <w:t xml:space="preserve">.</w:t>
      </w:r>
    </w:p>
    <w:bookmarkEnd w:id="253"/>
    <w:bookmarkStart w:id="255" w:name="ref-Pollitt_2012a"/>
    <w:p>
      <w:pPr>
        <w:pStyle w:val="Bibliography"/>
      </w:pPr>
      <w:r>
        <w:t xml:space="preserve">Pollitt, A. 2012.</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4">
        <w:r>
          <w:rPr>
            <w:rStyle w:val="Hyperlink"/>
          </w:rPr>
          <w:t xml:space="preserve">https://doi.org/10.1007/s10798-011-9189-x</w:t>
        </w:r>
      </w:hyperlink>
      <w:r>
        <w:t xml:space="preserve">.</w:t>
      </w:r>
    </w:p>
    <w:bookmarkEnd w:id="255"/>
    <w:bookmarkStart w:id="25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6">
        <w:r>
          <w:rPr>
            <w:rStyle w:val="Hyperlink"/>
          </w:rPr>
          <w:t xml:space="preserve">\url{http://www.R-project.org/}</w:t>
        </w:r>
      </w:hyperlink>
      <w:r>
        <w:t xml:space="preserve">.</w:t>
      </w:r>
    </w:p>
    <w:bookmarkEnd w:id="257"/>
    <w:bookmarkStart w:id="25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58">
        <w:r>
          <w:rPr>
            <w:rStyle w:val="Hyperlink"/>
          </w:rPr>
          <w:t xml:space="preserve">https://www.doi.org/10.1007/BF02295939</w:t>
        </w:r>
      </w:hyperlink>
      <w:r>
        <w:t xml:space="preserve">.</w:t>
      </w:r>
    </w:p>
    <w:bookmarkEnd w:id="259"/>
    <w:bookmarkStart w:id="26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0">
        <w:r>
          <w:rPr>
            <w:rStyle w:val="Hyperlink"/>
          </w:rPr>
          <w:t xml:space="preserve">\url{http://www.biostat.jhsph.edu/~fdominic/teaching/bio656/software-gllamm.manual.pdf}</w:t>
        </w:r>
      </w:hyperlink>
      <w:r>
        <w:t xml:space="preserve">.</w:t>
      </w:r>
    </w:p>
    <w:bookmarkEnd w:id="261"/>
    <w:bookmarkStart w:id="26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2">
        <w:r>
          <w:rPr>
            <w:rStyle w:val="Hyperlink"/>
          </w:rPr>
          <w:t xml:space="preserve">https://www.doi.org/10.1016/j.jeconom.2004.08.017</w:t>
        </w:r>
      </w:hyperlink>
      <w:r>
        <w:t xml:space="preserve">.</w:t>
      </w:r>
    </w:p>
    <w:bookmarkEnd w:id="263"/>
    <w:bookmarkStart w:id="265" w:name="ref-Seaman_et_al_2011"/>
    <w:p>
      <w:pPr>
        <w:pStyle w:val="Bibliography"/>
      </w:pPr>
      <w:r>
        <w:t xml:space="preserve">Seaman, Seaman jr., J.,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4">
        <w:r>
          <w:rPr>
            <w:rStyle w:val="Hyperlink"/>
          </w:rPr>
          <w:t xml:space="preserve">https://doi.org/10.1080/00031305.2012.695938</w:t>
        </w:r>
      </w:hyperlink>
      <w:r>
        <w:t xml:space="preserve">.</w:t>
      </w:r>
    </w:p>
    <w:bookmarkEnd w:id="265"/>
    <w:bookmarkStart w:id="26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6">
        <w:r>
          <w:rPr>
            <w:rStyle w:val="Hyperlink"/>
          </w:rPr>
          <w:t xml:space="preserve">https://doi.org/10.1002/j.1538-7305.1948.tb01338.x</w:t>
        </w:r>
      </w:hyperlink>
      <w:r>
        <w:t xml:space="preserve">.</w:t>
      </w:r>
    </w:p>
    <w:bookmarkEnd w:id="267"/>
    <w:bookmarkStart w:id="26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68">
        <w:r>
          <w:rPr>
            <w:rStyle w:val="Hyperlink"/>
          </w:rPr>
          <w:t xml:space="preserve">https://doi.org/10.2307/23042796</w:t>
        </w:r>
      </w:hyperlink>
      <w:r>
        <w:t xml:space="preserve">.</w:t>
      </w:r>
    </w:p>
    <w:bookmarkEnd w:id="269"/>
    <w:bookmarkStart w:id="27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0">
        <w:r>
          <w:rPr>
            <w:rStyle w:val="Hyperlink"/>
          </w:rPr>
          <w:t xml:space="preserve">https://doi.org/10.1016/j.csda.2009.08.017</w:t>
        </w:r>
      </w:hyperlink>
      <w:r>
        <w:t xml:space="preserve">.</w:t>
      </w:r>
    </w:p>
    <w:bookmarkEnd w:id="271"/>
    <w:bookmarkStart w:id="272" w:name="ref-Skrondal_et_al_2004a"/>
    <w:p>
      <w:pPr>
        <w:pStyle w:val="Bibliography"/>
      </w:pPr>
      <w:r>
        <w:t xml:space="preserve">Skrondal, A., and S. Rabe-Hesketh. 2004.</w:t>
      </w:r>
      <w:r>
        <w:t xml:space="preserve"> </w:t>
      </w:r>
      <w:hyperlink r:id="rId178">
        <w:r>
          <w:rPr>
            <w:rStyle w:val="Hyperlink"/>
            <w:i/>
            <w:iCs/>
          </w:rPr>
          <w:t xml:space="preserve">Generalized Latent Variable Modeling: Multilevel, Longitudinal, and Structural Equation Models</w:t>
        </w:r>
      </w:hyperlink>
      <w:r>
        <w:t xml:space="preserve">. Interdisciplinary Statistics. Chapman &amp; Hall/CRC Press.</w:t>
      </w:r>
    </w:p>
    <w:bookmarkEnd w:id="272"/>
    <w:bookmarkStart w:id="27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3">
        <w:r>
          <w:rPr>
            <w:rStyle w:val="Hyperlink"/>
          </w:rPr>
          <w:t xml:space="preserve">https://doi.org/10.1111/1467-9868.00353</w:t>
        </w:r>
      </w:hyperlink>
      <w:r>
        <w:t xml:space="preserve">.</w:t>
      </w:r>
    </w:p>
    <w:bookmarkEnd w:id="274"/>
    <w:bookmarkStart w:id="27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5">
        <w:r>
          <w:rPr>
            <w:rStyle w:val="Hyperlink"/>
          </w:rPr>
          <w:t xml:space="preserve">\url{https://mc-stan.org}</w:t>
        </w:r>
      </w:hyperlink>
      <w:r>
        <w:t xml:space="preserve">.</w:t>
      </w:r>
    </w:p>
    <w:bookmarkEnd w:id="276"/>
    <w:bookmarkStart w:id="27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7">
        <w:r>
          <w:rPr>
            <w:rStyle w:val="Hyperlink"/>
          </w:rPr>
          <w:t xml:space="preserve">https://doi.org/10.1186/s13063-022-06967-6</w:t>
        </w:r>
      </w:hyperlink>
      <w:r>
        <w:t xml:space="preserve">.</w:t>
      </w:r>
    </w:p>
    <w:bookmarkEnd w:id="278"/>
    <w:bookmarkStart w:id="28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79">
        <w:r>
          <w:rPr>
            <w:rStyle w:val="Hyperlink"/>
          </w:rPr>
          <w:t xml:space="preserve">https://doi.org/10.1037/h0070288</w:t>
        </w:r>
      </w:hyperlink>
      <w:r>
        <w:t xml:space="preserve">.</w:t>
      </w:r>
    </w:p>
    <w:bookmarkEnd w:id="280"/>
    <w:bookmarkStart w:id="28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1">
        <w:r>
          <w:rPr>
            <w:rStyle w:val="Hyperlink"/>
          </w:rPr>
          <w:t xml:space="preserve">https://doi.org/10.30931/jetas.321165</w:t>
        </w:r>
      </w:hyperlink>
      <w:r>
        <w:t xml:space="preserve">.</w:t>
      </w:r>
    </w:p>
    <w:bookmarkEnd w:id="282"/>
    <w:bookmarkStart w:id="28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3"/>
    <w:bookmarkStart w:id="28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4">
        <w:r>
          <w:rPr>
            <w:rStyle w:val="Hyperlink"/>
          </w:rPr>
          <w:t xml:space="preserve">https://doi.org/10.3366/E1753854809000305</w:t>
        </w:r>
      </w:hyperlink>
      <w:r>
        <w:t xml:space="preserve">.</w:t>
      </w:r>
    </w:p>
    <w:bookmarkEnd w:id="285"/>
    <w:bookmarkStart w:id="28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6">
        <w:r>
          <w:rPr>
            <w:rStyle w:val="Hyperlink"/>
          </w:rPr>
          <w:t xml:space="preserve">https://doi.org/10.1093/applin/6.1.71</w:t>
        </w:r>
      </w:hyperlink>
      <w:r>
        <w:t xml:space="preserve">.</w:t>
      </w:r>
    </w:p>
    <w:bookmarkEnd w:id="287"/>
    <w:bookmarkStart w:id="28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88">
        <w:r>
          <w:rPr>
            <w:rStyle w:val="Hyperlink"/>
          </w:rPr>
          <w:t xml:space="preserve">https://doi.org/10.1007/s11222-016-9696-4</w:t>
        </w:r>
      </w:hyperlink>
      <w:r>
        <w:t xml:space="preserve">.</w:t>
      </w:r>
    </w:p>
    <w:bookmarkEnd w:id="289"/>
    <w:bookmarkStart w:id="29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0">
        <w:r>
          <w:rPr>
            <w:rStyle w:val="Hyperlink"/>
          </w:rPr>
          <w:t xml:space="preserve">https://doi.org/10.1214/20-BA1221</w:t>
        </w:r>
      </w:hyperlink>
      <w:r>
        <w:t xml:space="preserve">.</w:t>
      </w:r>
    </w:p>
    <w:bookmarkEnd w:id="291"/>
    <w:bookmarkStart w:id="29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2">
        <w:r>
          <w:rPr>
            <w:rStyle w:val="Hyperlink"/>
          </w:rPr>
          <w:t xml:space="preserve">https://doi.org/10.1080/0969594X.2019.1602027</w:t>
        </w:r>
      </w:hyperlink>
      <w:r>
        <w:t xml:space="preserve">.</w:t>
      </w:r>
    </w:p>
    <w:bookmarkEnd w:id="293"/>
    <w:bookmarkStart w:id="29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4">
        <w:r>
          <w:rPr>
            <w:rStyle w:val="Hyperlink"/>
          </w:rPr>
          <w:t xml:space="preserve">https://doi.org/10.3102/1076998610396895</w:t>
        </w:r>
      </w:hyperlink>
      <w:r>
        <w:t xml:space="preserve">.</w:t>
      </w:r>
    </w:p>
    <w:bookmarkEnd w:id="295"/>
    <w:bookmarkStart w:id="29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6">
        <w:r>
          <w:rPr>
            <w:rStyle w:val="Hyperlink"/>
          </w:rPr>
          <w:t xml:space="preserve">\url{https://www.jmlr.org/papers/volume14/watanabe13a/watanabe13a.pdf}</w:t>
        </w:r>
      </w:hyperlink>
      <w:r>
        <w:t xml:space="preserve">.</w:t>
      </w:r>
    </w:p>
    <w:bookmarkEnd w:id="297"/>
    <w:bookmarkStart w:id="29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298">
        <w:r>
          <w:rPr>
            <w:rStyle w:val="Hyperlink"/>
          </w:rPr>
          <w:t xml:space="preserve">https://doi.org/10.1080/02699200410001663344</w:t>
        </w:r>
      </w:hyperlink>
      <w:r>
        <w:t xml:space="preserve">.</w:t>
      </w:r>
    </w:p>
    <w:bookmarkEnd w:id="299"/>
    <w:bookmarkStart w:id="30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0">
        <w:r>
          <w:rPr>
            <w:rStyle w:val="Hyperlink"/>
          </w:rPr>
          <w:t xml:space="preserve">https://doi.org/10.1038/s41440-023-01322-x</w:t>
        </w:r>
      </w:hyperlink>
      <w:r>
        <w:t xml:space="preserve">.</w:t>
      </w:r>
    </w:p>
    <w:bookmarkEnd w:id="301"/>
    <w:bookmarkEnd w:id="302"/>
    <w:bookmarkEnd w:id="3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7" Target="media/rId137.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_rels/footnotes.xml.rels><?xml version="1.0" encoding="UTF-8"?><Relationships xmlns="http://schemas.openxmlformats.org/package/2006/relationships"><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2024-04-05T10:05:06Z</dcterms:created>
  <dcterms:modified xsi:type="dcterms:W3CDTF">2024-04-05T10:05:06Z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