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2024-05-17</w:t>
      </w:r>
    </w:p>
    <w:p>
      <w:pPr>
        <w:pStyle w:val="AbstractTitle"/>
      </w:pPr>
      <w:r>
        <w:t xml:space="preserve">Abstract</w:t>
      </w:r>
    </w:p>
    <w:p>
      <w:pPr>
        <w:pStyle w:val="Abstract"/>
      </w:pPr>
      <w:r>
        <w:t xml:space="preserve">This</w:t>
      </w:r>
      <w:r>
        <w:t xml:space="preserve"> </w:t>
      </w:r>
      <w:r>
        <w:t xml:space="preserve">research</w:t>
      </w:r>
      <w:r>
        <w:t xml:space="preserve"> </w:t>
      </w:r>
      <w:r>
        <w:t xml:space="preserve">aims</w:t>
      </w:r>
      <w:r>
        <w:t xml:space="preserve"> </w:t>
      </w:r>
      <w:r>
        <w:t xml:space="preserve">to</w:t>
      </w:r>
      <w:r>
        <w:t xml:space="preserve"> </w:t>
      </w:r>
      <w:r>
        <w:t xml:space="preserve">demonstrate</w:t>
      </w:r>
      <w:r>
        <w:t xml:space="preserve"> </w:t>
      </w:r>
      <w:r>
        <w:t xml:space="preserve">the</w:t>
      </w:r>
      <w:r>
        <w:t xml:space="preserve"> </w:t>
      </w:r>
      <w:r>
        <w:t xml:space="preserve">efficacy</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analyzing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hypotheses.</w:t>
      </w:r>
      <w:r>
        <w:t xml:space="preserve"> </w:t>
      </w:r>
      <w:r>
        <w:t xml:space="preserve">Using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(2023)</w:t>
      </w:r>
      <w:r>
        <w:t xml:space="preserve">,</w:t>
      </w:r>
      <w:r>
        <w:t xml:space="preserve"> </w:t>
      </w:r>
      <w:r>
        <w:t xml:space="preserve">the</w:t>
      </w:r>
      <w:r>
        <w:t xml:space="preserve"> </w:t>
      </w:r>
      <w:r>
        <w:t xml:space="preserve">study</w:t>
      </w:r>
      <w:r>
        <w:t xml:space="preserve"> </w:t>
      </w:r>
      <w:r>
        <w:t xml:space="preserve">employs</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research</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these</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also</w:t>
      </w:r>
      <w:r>
        <w:t xml:space="preserve"> </w:t>
      </w:r>
      <w:r>
        <w:t xml:space="preserve">illustrates</w:t>
      </w:r>
      <w:r>
        <w:t xml:space="preserve"> </w:t>
      </w:r>
      <w:r>
        <w:t xml:space="preserve">how</w:t>
      </w:r>
      <w:r>
        <w:t xml:space="preserve"> </w:t>
      </w:r>
      <w:r>
        <w:t xml:space="preserve">researcher</w:t>
      </w:r>
      <w:r>
        <w:t xml:space="preserve"> </w:t>
      </w:r>
      <w:r>
        <w:t xml:space="preserve">can</w:t>
      </w:r>
      <w:r>
        <w:t xml:space="preserve"> </w:t>
      </w:r>
      <w:r>
        <w:t xml:space="preserve">explore</w:t>
      </w:r>
      <w:r>
        <w:t xml:space="preserve"> </w:t>
      </w:r>
      <w:r>
        <w:t xml:space="preserve">hypotheses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show</w:t>
      </w:r>
      <w:r>
        <w:t xml:space="preserve"> </w:t>
      </w:r>
      <w:r>
        <w:t xml:space="preserve">the</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in</w:t>
      </w:r>
      <w:r>
        <w:t xml:space="preserve"> </w:t>
      </w:r>
      <w:r>
        <w:t xml:space="preserve">predicting</w:t>
      </w:r>
      <w:r>
        <w:t xml:space="preserve"> </w:t>
      </w:r>
      <w:r>
        <w:t xml:space="preserve">empirical</w:t>
      </w:r>
      <w:r>
        <w:t xml:space="preserve"> </w:t>
      </w:r>
      <w:r>
        <w:t xml:space="preserve">phenomena</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and</w:t>
      </w:r>
      <w:r>
        <w:t xml:space="preserve"> </w:t>
      </w:r>
      <w:r>
        <w:t xml:space="preserve">its</w:t>
      </w:r>
      <w:r>
        <w:t xml:space="preserve"> </w:t>
      </w:r>
      <w:r>
        <w:t xml:space="preserve">ability</w:t>
      </w:r>
      <w:r>
        <w:t xml:space="preserve"> </w:t>
      </w:r>
      <w:r>
        <w:t xml:space="preserve">to</w:t>
      </w:r>
      <w:r>
        <w:t xml:space="preserve"> </w:t>
      </w:r>
      <w:r>
        <w:t xml:space="preserve">quantify</w:t>
      </w:r>
      <w:r>
        <w:t xml:space="preserve"> </w:t>
      </w:r>
      <w:r>
        <w:t xml:space="preserve">latent</w:t>
      </w:r>
      <w:r>
        <w:t xml:space="preserve"> </w:t>
      </w:r>
      <w:r>
        <w:t xml:space="preserve">potential</w:t>
      </w:r>
      <w:r>
        <w:t xml:space="preserve"> </w:t>
      </w:r>
      <w:r>
        <w:t xml:space="preserve">intelligibility.</w:t>
      </w:r>
      <w:r>
        <w:t xml:space="preserve"> </w:t>
      </w:r>
      <w:r>
        <w:t xml:space="preserve">Additionally,</w:t>
      </w:r>
      <w:r>
        <w:t xml:space="preserve"> </w:t>
      </w:r>
      <w:r>
        <w:t xml:space="preserve">the</w:t>
      </w:r>
      <w:r>
        <w:t xml:space="preserve"> </w:t>
      </w:r>
      <w:r>
        <w:t xml:space="preserve">model</w:t>
      </w:r>
      <w:r>
        <w:t xml:space="preserve"> </w:t>
      </w:r>
      <w:r>
        <w:t xml:space="preserve">facilitates</w:t>
      </w:r>
      <w:r>
        <w:t xml:space="preserve"> </w:t>
      </w:r>
      <w:r>
        <w:t xml:space="preserve">hypothesis</w:t>
      </w:r>
      <w:r>
        <w:t xml:space="preserve"> </w:t>
      </w:r>
      <w:r>
        <w:t xml:space="preserve">exploration</w:t>
      </w:r>
      <w:r>
        <w:t xml:space="preserve"> </w:t>
      </w:r>
      <w:r>
        <w:t xml:space="preserve">concerning</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However,</w:t>
      </w:r>
      <w:r>
        <w:t xml:space="preserve"> </w:t>
      </w:r>
      <w:r>
        <w:t xml:space="preserve">implementing</w:t>
      </w:r>
      <w:r>
        <w:t xml:space="preserve"> </w:t>
      </w:r>
      <w:r>
        <w:t xml:space="preserve">these</w:t>
      </w:r>
      <w:r>
        <w:t xml:space="preserve"> </w:t>
      </w:r>
      <w:r>
        <w:t xml:space="preserve">statistical</w:t>
      </w:r>
      <w:r>
        <w:t xml:space="preserve"> </w:t>
      </w:r>
      <w:r>
        <w:t xml:space="preserve">tools</w:t>
      </w:r>
      <w:r>
        <w:t xml:space="preserve"> </w:t>
      </w:r>
      <w:r>
        <w:t xml:space="preserve">require</w:t>
      </w:r>
      <w:r>
        <w:t xml:space="preserve"> </w:t>
      </w:r>
      <w:r>
        <w:t xml:space="preserve">formulating</w:t>
      </w:r>
      <w:r>
        <w:t xml:space="preserve"> </w:t>
      </w:r>
      <w:r>
        <w:t xml:space="preserve">assumptions</w:t>
      </w:r>
      <w:r>
        <w:t xml:space="preserve"> </w:t>
      </w:r>
      <w:r>
        <w:t xml:space="preserve">about</w:t>
      </w:r>
      <w:r>
        <w:t xml:space="preserve"> </w:t>
      </w:r>
      <w:r>
        <w:t xml:space="preserve">the</w:t>
      </w:r>
      <w:r>
        <w:t xml:space="preserve"> </w:t>
      </w:r>
      <w:r>
        <w:t xml:space="preserve">data-generating</w:t>
      </w:r>
      <w:r>
        <w:t xml:space="preserve"> </w:t>
      </w:r>
      <w:r>
        <w:t xml:space="preserve">process</w:t>
      </w:r>
      <w:r>
        <w:t xml:space="preserve"> </w:t>
      </w:r>
      <w:r>
        <w:t xml:space="preserve">and</w:t>
      </w:r>
      <w:r>
        <w:t xml:space="preserve"> </w:t>
      </w:r>
      <w:r>
        <w:t xml:space="preserve">knowledge</w:t>
      </w:r>
      <w:r>
        <w:t xml:space="preserve"> </w:t>
      </w:r>
      <w:r>
        <w:t xml:space="preserve">of</w:t>
      </w:r>
      <w:r>
        <w:t xml:space="preserve"> </w:t>
      </w:r>
      <w:r>
        <w:t xml:space="preserve">probabilistic</w:t>
      </w:r>
      <w:r>
        <w:t xml:space="preserve"> </w:t>
      </w:r>
      <w:r>
        <w:t xml:space="preserve">programming</w:t>
      </w:r>
      <w:r>
        <w:t xml:space="preserve"> </w:t>
      </w:r>
      <w:r>
        <w:t xml:space="preserve">languages,</w:t>
      </w:r>
      <w:r>
        <w:t xml:space="preserve"> </w:t>
      </w:r>
      <w:r>
        <w:t xml:space="preserve">the</w:t>
      </w:r>
      <w:r>
        <w:t xml:space="preserve"> </w:t>
      </w:r>
      <w:r>
        <w:t xml:space="preserve">core</w:t>
      </w:r>
      <w:r>
        <w:t xml:space="preserve"> </w:t>
      </w:r>
      <w:r>
        <w:t xml:space="preserve">of</w:t>
      </w:r>
      <w:r>
        <w:t xml:space="preserve"> </w:t>
      </w:r>
      <w:r>
        <w:t xml:space="preserve">Bayesian</w:t>
      </w:r>
      <w:r>
        <w:t xml:space="preserve"> </w:t>
      </w:r>
      <w:r>
        <w:t xml:space="preserve">methods.</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Ultimately,</w:t>
      </w:r>
      <w:r>
        <w:t xml:space="preserve"> </w:t>
      </w:r>
      <w:r>
        <w:t xml:space="preserve">this</w:t>
      </w:r>
      <w:r>
        <w:t xml:space="preserve"> </w:t>
      </w:r>
      <w:r>
        <w:t xml:space="preserve">research</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intricate,</w:t>
      </w:r>
      <w:r>
        <w:t xml:space="preserve"> </w:t>
      </w:r>
      <w:r>
        <w:t xml:space="preserve">unobservable</w:t>
      </w:r>
      <w:r>
        <w:t xml:space="preserve"> </w:t>
      </w:r>
      <w:r>
        <w:t xml:space="preserve">constructs</w:t>
      </w:r>
      <w:r>
        <w:t xml:space="preserve"> </w:t>
      </w:r>
      <w:r>
        <w:t xml:space="preserve">and</w:t>
      </w:r>
      <w:r>
        <w:t xml:space="preserve"> </w:t>
      </w:r>
      <w:r>
        <w:t xml:space="preserve">accurately</w:t>
      </w:r>
      <w:r>
        <w:t xml:space="preserve"> </w:t>
      </w:r>
      <w:r>
        <w:t xml:space="preserve">predicting</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(Kent, Miolo, and Bloedel 1994)</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w:t>
      </w:r>
      <w:r>
        <w:t xml:space="preserve"> </w:t>
      </w:r>
      <w:r>
        <w:t xml:space="preserve">Intelligibility refers to the extent to which a listener can accurately recover the words in a speaker’s acoustic signal</w:t>
      </w:r>
      <w:r>
        <w:t xml:space="preserve"> </w:t>
      </w:r>
      <w:r>
        <w:t xml:space="preserve">(Freeman et al. 2017; van Heuven 2008; Whitehill and Chau 2004)</w:t>
      </w:r>
      <w:r>
        <w:t xml:space="preserve">. Furthermore, achieving intelligible spoken language requires to master all core components of speech perception, cognitive processing, linguistic knowledge, and articulation</w:t>
      </w:r>
      <w:r>
        <w:t xml:space="preserve"> </w:t>
      </w:r>
      <w:r>
        <w:t xml:space="preserve">(Freeman et al. 2017)</w:t>
      </w:r>
      <w:r>
        <w:t xml:space="preserve">. Hence, it is unsurprising that its accurate measurement faces challenges</w:t>
      </w:r>
      <w:r>
        <w:t xml:space="preserve"> </w:t>
      </w:r>
      <w:r>
        <w:t xml:space="preserve">(Kent et al. 1989)</w:t>
      </w:r>
      <w:r>
        <w:t xml:space="preserve">. These challenges arise from the interplay of the attributes of the communicative environment such as background noise</w:t>
      </w:r>
      <w:r>
        <w:t xml:space="preserve"> </w:t>
      </w:r>
      <w:r>
        <w:t xml:space="preserve">(Munro 1998)</w:t>
      </w:r>
      <w:r>
        <w:t xml:space="preserve">, with features of the speaker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characteristics of the listener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2023)</w:t>
      </w:r>
      <w:r>
        <w:t xml:space="preserve">. However, due to the uncertainty surrounding the speaker’s intended word production, it is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2023)</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2023)</w:t>
      </w:r>
      <w:r>
        <w:t xml:space="preserve">. In the latter approach, listeners transcribe orthographically spontaneous speech samples produced by various speakers.</w:t>
      </w:r>
      <w:r>
        <w:t xml:space="preserve"> </w:t>
      </w:r>
      <w:r>
        <w:t xml:space="preserve">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2023; Faes, De Maeyer, and Gillis 2022)</w:t>
      </w:r>
      <w:r>
        <w:t xml:space="preserve">. Notably, the aggregation procedure assumes that speech samples are considered intelligible 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2023)</w:t>
      </w:r>
      <w:r>
        <w:t xml:space="preserve">.</w:t>
      </w:r>
    </w:p>
    <w:p>
      <w:pPr>
        <w:pStyle w:val="BodyText"/>
      </w:pPr>
      <w:r>
        <w:t xml:space="preserve">However, despite the entropy scores’ potential as a fine-grained metric of intelligibility, as proposed by</w:t>
      </w:r>
      <w:r>
        <w:t xml:space="preserve"> </w:t>
      </w:r>
      <w:r>
        <w:t xml:space="preserve">Boonen et al. (2023)</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w:t>
      </w:r>
      <w:r>
        <w:t xml:space="preserve"> </w:t>
      </w:r>
      <w:r>
        <w:t xml:space="preserve">Secondly, entropy scores are assumed to be a manifestation of a speaker’s intelligibility, with this intelligibility being the primary factor influencing the observed scores.</w:t>
      </w:r>
      <w:r>
        <w:t xml:space="preserve"> </w:t>
      </w:r>
      <w:r>
        <w:t xml:space="preserve">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w:t>
      </w:r>
      <w:r>
        <w:t xml:space="preserve"> </w:t>
      </w:r>
      <w:r>
        <w:t xml:space="preserve">Lastly, driven by speech samples with entropy scores located at the extreme of the bounds, and the presence of more than one population in the data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w:t>
      </w:r>
      <w:r>
        <w:t xml:space="preserve"> </w:t>
      </w:r>
      <w:r>
        <w:t xml:space="preserve">Underfitting occurs when statistical models fail to capture the underlying data patterns, potentially generating predictions outside the data range, thus hindering the model’s ability to generalize when confronted with new data.</w:t>
      </w:r>
      <w:r>
        <w:t xml:space="preserve"> </w:t>
      </w:r>
      <w:r>
        <w:t xml:space="preserve">Conversely, misspecification, which is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r>
        <w:t xml:space="preserve"> </w:t>
      </w:r>
      <w:r>
        <w:t xml:space="preserve">Type I error results when the null hypothesis is falsely rejected, while Type II error that results when the null hypothesis is falsely accepted</w:t>
      </w:r>
      <w:r>
        <w:t xml:space="preserve"> </w:t>
      </w:r>
      <w:r>
        <w:t xml:space="preserve">(Everitt and Skrondal 2010)</w:t>
      </w:r>
      <w:r>
        <w:t xml:space="preserve">.</w:t>
      </w:r>
    </w:p>
    <w:p>
      <w:pPr>
        <w:pStyle w:val="BodyText"/>
      </w:pPr>
      <w:r>
        <w:t xml:space="preserve">In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all of the aforementioned data features.</w:t>
      </w:r>
    </w:p>
    <w:p>
      <w:pPr>
        <w:pStyle w:val="BodyText"/>
      </w:pPr>
      <w:r>
        <w:t xml:space="preserve">All of these models have found moderate adoption in various fields, including speech communication</w:t>
      </w:r>
      <w:r>
        <w:t xml:space="preserve"> </w:t>
      </w:r>
      <w:r>
        <w:t xml:space="preserve">(Boonen et al. 2023)</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(2023)</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This study employed Bayesian procedures for three main reasons. Firstly, prior research have consistently demonstrated the superiority of Bayesian methods over frequentist methods, especially with complex and overparameterized models</w:t>
      </w:r>
      <w:r>
        <w:t xml:space="preserve"> </w:t>
      </w:r>
      <w:r>
        <w:t xml:space="preserve">(Baker 1998; Kim and Cohen 1999)</w:t>
      </w:r>
      <w:r>
        <w:t xml:space="preserve">, such as the GLLAMM used in this study. Overparameterized models are those with more parameters than observations for estimation</w:t>
      </w:r>
      <w:r>
        <w:t xml:space="preserve"> </w:t>
      </w:r>
      <w:r>
        <w:t xml:space="preserve">(Everitt and Skrondal 2010)</w:t>
      </w:r>
      <w:r>
        <w:t xml:space="preserve">. Secondly, the Bayesian approach enabled the incorporation of prior information, thereby constraining certain parameters within specified bounds. This feature addressed issues such as non-convergence or improper parameter estimation common in complex models under frequentist methods</w:t>
      </w:r>
      <w:r>
        <w:t xml:space="preserve"> </w:t>
      </w:r>
      <w:r>
        <w:t xml:space="preserve">(Martin and McDonald 1975; Seaman III, Seaman Jr., and Stamey 2011)</w:t>
      </w:r>
      <w:r>
        <w:t xml:space="preserve">. An example is the estimation of negative variances for random effects in hierarchical models</w:t>
      </w:r>
      <w:r>
        <w:t xml:space="preserve"> </w:t>
      </w:r>
      <w:r>
        <w:t xml:space="preserve">(Holmes, Bolin, and Kelley 2019)</w:t>
      </w:r>
      <w:r>
        <w:t xml:space="preserve">, a problem resolved in this study through the utilization of prior distributions. Lastly, Bayesian methods have exhibited proficiency in drawing inferences from small sample sizes</w:t>
      </w:r>
      <w:r>
        <w:t xml:space="preserve"> </w:t>
      </w:r>
      <w:r>
        <w:t xml:space="preserve">(Baldwin and Fellingham 2013; Lambert et al. 2006; Depaoli 2014)</w:t>
      </w:r>
      <w:r>
        <w:t xml:space="preserve">. This feature of the Bayesian methods holds relevance for this study, as it also grapples with a small sample size, where reliance on the asymptotic properties of frequentist methods may not be justified.</w:t>
      </w:r>
    </w:p>
    <w:bookmarkStart w:id="20" w:name="sec-I-RQ"/>
    <w:p>
      <w:pPr>
        <w:pStyle w:val="Heading2"/>
      </w:pPr>
      <w:r>
        <w:t xml:space="preserve">Research questions</w:t>
      </w:r>
    </w:p>
    <w:p>
      <w:pPr>
        <w:pStyle w:val="FirstParagraph"/>
      </w:pPr>
      <w:r>
        <w:t xml:space="preserve">Considering the imperative need to comprehensively address all features of the data when investigating unobservable and complex traits, this investigation aimed to demonstrate the efficacy of the Generalized Linear Latent and Mixed Model (GLLAMM) in handling entropy score features when exploring research hypotheses concerning speech intelligibility. To achieve this objective, the study reexamined data originating from transcriptions of spontaneous speech samples, initially collected by</w:t>
      </w:r>
      <w:r>
        <w:t xml:space="preserve"> </w:t>
      </w:r>
      <w:r>
        <w:t xml:space="preserve">Boonen et al. (2023)</w:t>
      </w:r>
      <w:r>
        <w:t xml:space="preserve">. The data was aggregated into entropy scores and subjected to modelling through the Bayesian Beta-proportion GLLAMM.</w:t>
      </w:r>
    </w:p>
    <w:p>
      <w:pPr>
        <w:pStyle w:val="BodyText"/>
      </w:pPr>
      <w:r>
        <w:t xml:space="preserve">To address the primary objective, the study posed three key research questions. First, given the importance of accurate predictions in developing useful practical models and testing research hypotheses</w:t>
      </w:r>
      <w:r>
        <w:t xml:space="preserve"> </w:t>
      </w:r>
      <w:r>
        <w:t xml:space="preserve">(Shmueli and Koppius 2011)</w:t>
      </w:r>
      <w:r>
        <w:t xml:space="preserve">,</w:t>
      </w:r>
      <w:r>
        <w:t xml:space="preserve"> </w:t>
      </w:r>
      <w:r>
        <w:rPr>
          <w:i/>
          <w:iCs/>
        </w:rPr>
        <w:t xml:space="preserve">Research Question 1 (RQ1)</w:t>
      </w:r>
      <w:r>
        <w:t xml:space="preserve"> </w:t>
      </w:r>
      <w:r>
        <w:t xml:space="preserve">evaluated whether the Beta-proportion GLLAMM yielded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(Kent, Miolo, and Bloedel 1994)</w:t>
      </w:r>
      <w:r>
        <w:t xml:space="preserve">,</w:t>
      </w:r>
      <w:r>
        <w:t xml:space="preserve"> </w:t>
      </w:r>
      <w:r>
        <w:rPr>
          <w:i/>
          <w:iCs/>
        </w:rPr>
        <w:t xml:space="preserve">Research Question 2 (RQ2)</w:t>
      </w:r>
      <w:r>
        <w:t xml:space="preserve"> </w:t>
      </w:r>
      <w:r>
        <w:t xml:space="preserve">investigated how the proposed model can estimate speakers’ latent intelligibility from manifest entropy scores. Thirdly, recognizing that research involves developing and comparing hypotheses,</w:t>
      </w:r>
      <w:r>
        <w:t xml:space="preserve"> </w:t>
      </w:r>
      <w:r>
        <w:rPr>
          <w:i/>
          <w:iCs/>
        </w:rPr>
        <w:t xml:space="preserve">Research Question 3 (RQ3)</w:t>
      </w:r>
      <w:r>
        <w:t xml:space="preserve"> </w:t>
      </w:r>
      <w:r>
        <w:t xml:space="preserve">illustrated how these research hypotheses can be examined within the model’s framework. Specifically, RQ3 assessed the influence of speaker-related factors on the newly estimated latent intelligibility.</w:t>
      </w:r>
    </w:p>
    <w:p>
      <w:pPr>
        <w:pStyle w:val="BodyText"/>
      </w:pPr>
      <w:r>
        <w:t xml:space="preserve">Ultimately, this study offers researchers studying speech intelligibility through entropy scores and those in similar or different fields facing analogous data challenges with a statistical tool that improves upon current research models. This tool assess the predictability of empirical phenomena and develops a quantitative measure for the latent variable of interest. This quantitative measure, in turn, facilitates the appropriate comparison of existing hypotheses related to the latent variable, and even encourages the formulation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(2023)</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(2023)</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w:t>
      </w:r>
      <w:r>
        <w:t xml:space="preserve"> </w:t>
      </w:r>
      <w:r>
        <w:t xml:space="preserve">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the actual recording, the children were allowed to skim over the booklet and examine the pictures. Prior to the selection of the samples, the recordings were orthographically transcribed using the CHAT format in the CLAN editor</w:t>
      </w:r>
      <w:r>
        <w:t xml:space="preserve"> </w:t>
      </w:r>
      <w:r>
        <w:t xml:space="preserve">(MacWhinney 2020)</w:t>
      </w:r>
      <w:r>
        <w:t xml:space="preserve">. These transcriptions were exclusively used in the selection of appropriate speech samples.</w:t>
      </w:r>
      <w:r>
        <w:t xml:space="preserve"> </w:t>
      </w:r>
      <w:r>
        <w:t xml:space="preserve">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(2023)</w:t>
      </w:r>
      <w:r>
        <w:t xml:space="preserve"> </w:t>
      </w:r>
      <w:r>
        <w:t xml:space="preserve">distributed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through random allocation. Each block comprised</w:t>
      </w:r>
      <w:r>
        <w:t xml:space="preserve"> </w:t>
      </w:r>
      <m:oMath>
        <m:r>
          <m:t>21</m:t>
        </m:r>
      </m:oMath>
      <w:r>
        <w:t xml:space="preserve"> </w:t>
      </w:r>
      <w:r>
        <w:t xml:space="preserve">listeners and</w:t>
      </w:r>
      <w:r>
        <w:t xml:space="preserve"> </w:t>
      </w:r>
      <m:oMath>
        <m:r>
          <m:t>64</m:t>
        </m:r>
      </m:oMath>
      <w:r>
        <w:t xml:space="preserve"> </w:t>
      </w:r>
      <w:r>
        <w:t xml:space="preserve">sentences with no overlap between the blocks. The listeners were tasked with transcribing each sentence, which were presented to them in a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available in the speech samples. These orthographic transcriptions were automatically aligned with a python script</w:t>
      </w:r>
      <w:r>
        <w:t xml:space="preserve"> </w:t>
      </w:r>
      <w:r>
        <w:t xml:space="preserve">(Boonen et al. 2023)</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from every speaker, and the output was manually checked and adjusted (if needed) in order to appropriately align the words. For more details on the random assignment and alignment procedures refer to the original authors.</w:t>
      </w:r>
    </w:p>
    <w:p>
      <w:pPr>
        <w:pStyle w:val="BodyText"/>
      </w:pPr>
      <w:r>
        <w:t xml:space="preserve">Next, the aligned transcriptions were aggregated by listener, yielding</w:t>
      </w:r>
      <w:r>
        <w:t xml:space="preserve"> </w:t>
      </w:r>
      <m:oMath>
        <m:r>
          <m:t>2</m:t>
        </m:r>
        <m:r>
          <m:rPr>
            <m:sty m:val="p"/>
          </m:rPr>
          <m:t>,</m:t>
        </m:r>
        <m:r>
          <m:t>2634</m:t>
        </m:r>
      </m:oMath>
      <w:r>
        <w:t xml:space="preserve"> </w:t>
      </w:r>
      <w:r>
        <w:t xml:space="preserve">entropy scores, one score per word for every sentence.</w:t>
      </w:r>
      <w:r>
        <w:t xml:space="preserve"> </w:t>
      </w:r>
      <w:r>
        <w:t xml:space="preserve">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In addition,</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an example of how entropy scores are computed.</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2023; Faes, De Maeyer, and Gillis 2022)</w:t>
      </w:r>
      <w:r>
        <w:t xml:space="preserve">. Furthermore, no score was excluded from the modelling process using univariate procedures, rather, the identification of highly influential observations was performed within the context of the proposed models, as recommended by</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b/>
                <w:bCs/>
                <w:i/>
                <w:iCs/>
              </w:rPr>
              <w:t xml:space="preserve">Note:</w:t>
            </w:r>
            <w:r>
              <w:t xml:space="preserve"> </w:t>
            </w:r>
            <w:r>
              <w:t xml:space="preserve">Extracted from Boonen et al.</w:t>
            </w:r>
            <w:r>
              <w:t xml:space="preserve"> </w:t>
            </w:r>
            <w:r>
              <w:t xml:space="preserve">(2023)</w:t>
            </w:r>
            <w:r>
              <w:t xml:space="preserve">, and slightly modified for illustrative purposes.</w:t>
            </w:r>
            <w:r>
              <w:t xml:space="preserve"> </w:t>
            </w:r>
            <w:r>
              <w:t xml:space="preserve">Entropy scores were calculated from words of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w:t>
            </w:r>
            <w:r>
              <w:t xml:space="preserve"> </w:t>
            </w:r>
            <w:r>
              <w:t xml:space="preserve">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denotes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
          <w:iCs/>
        </w:rPr>
        <w:t xml:space="preserve">robustness</w:t>
      </w:r>
      <w:r>
        <w:t xml:space="preserve"> </w:t>
      </w:r>
      <w:r>
        <w:t xml:space="preserve">to mild or moderate data departures from the normal distribution assumption, such as in the presence of heteroscedasticity or outliers.</w:t>
      </w:r>
      <w:r>
        <w:t xml:space="preserve"> </w:t>
      </w:r>
      <w:r>
        <w:t xml:space="preserve">Secondly,</w:t>
      </w:r>
      <w:r>
        <w:t xml:space="preserve"> </w:t>
      </w:r>
      <w:hyperlink w:anchor="eq-normal-LMM-linearpred">
        <w:r>
          <w:rPr>
            <w:rStyle w:val="Hyperlink"/>
          </w:rPr>
          <w:t xml:space="preserve">Equation 3</w:t>
        </w:r>
      </w:hyperlink>
      <w:r>
        <w:t xml:space="preserve"> </w:t>
      </w:r>
      <w:r>
        <w:t xml:space="preserve">reveals that the model assumes that no transformation is applied to the relationship between the average entropy and the linear combination of speakers’ characteristics. This is commonly known as a direct link function. In addition, the equation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Also, the equation implies the model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Lastly, the presence of a general intercept</w:t>
      </w:r>
      <w:r>
        <w:t xml:space="preserve"> </w:t>
      </w:r>
      <m:oMath>
        <m:r>
          <m:t>α</m:t>
        </m:r>
      </m:oMath>
      <w:r>
        <w:t xml:space="preserve"> </w:t>
      </w:r>
      <w:r>
        <w:t xml:space="preserve">in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in this study, the overparameterized model facilitates: (1) the comparison between the specific parameter interpretations of the Normal LMM and the Beta-proportion GLLAMM, with</w:t>
      </w:r>
      <w:r>
        <w:t xml:space="preserve"> </w:t>
      </w:r>
      <m:oMath>
        <m:r>
          <m:t>α</m:t>
        </m:r>
      </m:oMath>
      <w:r>
        <w:t xml:space="preserve"> </w:t>
      </w:r>
      <w:r>
        <w:t xml:space="preserve">serving no particular purpose in the former case,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the response model posits that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w:r>
        <w:t xml:space="preserve"> </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within sentences for each speaker, with</w:t>
      </w:r>
      <w:r>
        <w:t xml:space="preserve"> </w:t>
      </w:r>
      <m:oMath>
        <m:r>
          <m:t>S</m:t>
        </m:r>
      </m:oMath>
      <w:r>
        <w:t xml:space="preserve"> </w:t>
      </w:r>
      <w:r>
        <w:t xml:space="preserve">denoting the total number of sentences per speaker.</w:t>
      </w:r>
    </w:p>
    <w:p>
      <w:pPr>
        <w:pStyle w:val="BodyText"/>
      </w:pPr>
      <w:r>
        <w:t xml:space="preserve">Several features are evident in the probabilistic representation of the model.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w:t>
      </w:r>
      <w:r>
        <w:t xml:space="preserve"> </w:t>
      </w:r>
      <w:r>
        <w:t xml:space="preserve">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 has a negative non-linear relationship with the entropy scores. The negative relationship explicitly highlights the inverse relationship between intelligibility and entropy, while the non-linear relationship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In addition, it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 The term</w:t>
      </w:r>
      <w:r>
        <w:t xml:space="preserve"> </w:t>
      </w:r>
      <m:oMath>
        <m:sSub>
          <m:e>
            <m:r>
              <m:t>e</m:t>
            </m:r>
          </m:e>
          <m:sub>
            <m:r>
              <m:t>i</m:t>
            </m:r>
          </m:sub>
        </m:sSub>
      </m:oMath>
      <w:r>
        <w:t xml:space="preserve"> </w:t>
      </w:r>
      <w:r>
        <w:t xml:space="preserve">represents inherent differences in potential intelligibility among different speakers. The term</w:t>
      </w:r>
      <w:r>
        <w:t xml:space="preserve"> </w:t>
      </w:r>
      <m:oMath>
        <m:sSub>
          <m:e>
            <m:r>
              <m:t>u</m:t>
            </m:r>
          </m:e>
          <m:sub>
            <m:r>
              <m:t>i</m:t>
            </m:r>
          </m:sub>
        </m:sSub>
      </m:oMath>
      <w:r>
        <w:t xml:space="preserve"> </w:t>
      </w:r>
      <w:r>
        <w:t xml:space="preserve">assumes that different sentences measure potential intelligibility differently due to variations in word difficulties and their interplay within the sentence.</w:t>
      </w:r>
    </w:p>
    <w:bookmarkEnd w:id="35"/>
    <w:bookmarkStart w:id="41"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established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The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(see</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were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were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40" w:name="sec-M-SM-P-BGLLAMM"/>
    <w:p>
      <w:pPr>
        <w:pStyle w:val="Heading4"/>
      </w:pPr>
      <w:r>
        <w:t xml:space="preserve">Beta-proportion GLLAMM</w:t>
      </w:r>
    </w:p>
    <w:p>
      <w:pPr>
        <w:pStyle w:val="FirstParagraph"/>
      </w:pPr>
      <w:r>
        <w:t xml:space="preserve">For the parameters of the Beta-proportion GLLAMM, weakly informative priors and hyperpriors were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were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tbl>
      <w:tblPr>
        <w:tblStyle w:val="Table"/>
        <w:tblW w:type="pct" w:w="5000"/>
        <w:tblLayout w:type="fixed"/>
        <w:tblLook w:firstRow="0" w:lastRow="0" w:firstColumn="0" w:lastColumn="0" w:noHBand="0" w:noVBand="0" w:val="0000"/>
      </w:tblPr>
      <w:tblGrid>
        <w:gridCol w:w="7920"/>
      </w:tblGrid>
      <w:tr>
        <w:tc>
          <w:tcPr/>
          <w:bookmarkStart w:id="39" w:name="tbl-fitted"/>
          <w:p>
            <w:pPr>
              <w:jc w:val="center"/>
            </w:pPr>
            <w:pPr>
              <w:jc w:val="start"/>
              <w:spacing w:before="200"/>
              <w:pStyle w:val="ImageCaption"/>
            </w:pPr>
            <w:r>
              <w:t xml:space="preserve">Table 2: Fitted models.</w:t>
            </w:r>
            <w:r>
              <w:t xml:space="preserve"> </w:t>
            </w:r>
            <w:r>
              <w:rPr>
                <w:b/>
                <w:bCs/>
                <w:i/>
                <w:iCs/>
              </w:rPr>
              <w:t xml:space="preserve">Note:</w:t>
            </w:r>
            <w:r>
              <w:t xml:space="preserve"> </w:t>
            </w:r>
            <w:r>
              <w:rPr>
                <w:i/>
                <w:iCs/>
              </w:rPr>
              <w:t xml:space="preserve">Yes</w:t>
            </w:r>
            <w:r>
              <w:t xml:space="preserve"> </w:t>
            </w:r>
            <w:r>
              <w:t xml:space="preserve">indicates the feature or parameter is included in the model.</w:t>
            </w:r>
          </w:p>
          <w:tbl>
            <w:tblPr>
              <w:tblStyle w:val="Table"/>
              <w:tblW w:type="pct" w:w="4747"/>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39"/>
          <w:p/>
        </w:tc>
      </w:tr>
    </w:tbl>
    <w:bookmarkEnd w:id="40"/>
    <w:bookmarkEnd w:id="41"/>
    <w:bookmarkStart w:id="42" w:name="sec-M-SM-FM"/>
    <w:p>
      <w:pPr>
        <w:pStyle w:val="Heading3"/>
      </w:pPr>
      <w:r>
        <w:t xml:space="preserve">Fitted models</w:t>
      </w:r>
    </w:p>
    <w:p>
      <w:pPr>
        <w:pStyle w:val="FirstParagraph"/>
      </w:pPr>
      <w:r>
        <w:t xml:space="preserve">This study evaluated the comparative predictive capabilities of both the Normal LMM and the Beta-proportion GLLAMM (RQ1) while simultaneously examined various formulations regarding how speaker-related factors influence intelligibility (RQ3). In this context, the predictive capabilities of the models were intricately connected to these formulations. As a result, the study required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incorporated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were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(see</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This study compared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
          <w:iCs/>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
          <w:iCs/>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
          <w:iCs/>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mostly interested in comparing candidate models, it is the distance between the models that is useful, rather than the absolute value of the criteria</w:t>
      </w:r>
      <w:r>
        <w:t xml:space="preserve"> </w:t>
      </w:r>
      <w:r>
        <w:t xml:space="preserve">(see McElreath 2020, 209, 223–24)</w:t>
      </w:r>
      <w:r>
        <w:t xml:space="preserve">. Therefore, this study utilized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
          <w:iCs/>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
          <w:iCs/>
        </w:rPr>
        <w:t xml:space="preserve">approximately correct</w:t>
      </w:r>
      <w:r>
        <w:t xml:space="preserve"> </w:t>
      </w:r>
      <w:r>
        <w:t xml:space="preserve">estimates for the expected accuracy, the criteria are also subject to uncertainty due to the specific sample over which they are computed</w:t>
      </w:r>
      <w:r>
        <w:t xml:space="preserve"> </w:t>
      </w:r>
      <w:r>
        <w:t xml:space="preserve">(see McElreath 2020, 223)</w:t>
      </w:r>
      <w:r>
        <w:t xml:space="preserve">. Thus, this uncertainty should also be taken into account for the criteria and their comparisons. Consequently, this study also presented the associated uncertainty for both criteria calculated as</w:t>
      </w:r>
      <w:r>
        <w:t xml:space="preserve"> </w:t>
      </w:r>
      <w:r>
        <w:rPr>
          <w:rStyle w:val="VerbatimChar"/>
        </w:rPr>
        <w:t xml:space="preserve">WAIC</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PSIS</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reported the models’ complexity penalization, as well as their associated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w:t>
      </w:r>
      <w:r>
        <w:t xml:space="preserve"> </w:t>
      </w:r>
      <w:r>
        <w:t xml:space="preserve">The digital walk-through is available at the following 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evaluated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were specifically chosen for this comparison because their assumptions exclusively addressed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was a Normal LMM that solely addresses data clustering. Building upon this, Model</w:t>
      </w:r>
      <w:r>
        <w:t xml:space="preserve"> </w:t>
      </w:r>
      <m:oMath>
        <m:r>
          <m:t>4</m:t>
        </m:r>
      </m:oMath>
      <w:r>
        <w:t xml:space="preserve"> </w:t>
      </w:r>
      <w:r>
        <w:t xml:space="preserve">introduced a robust feature. Conversely, Model</w:t>
      </w:r>
      <w:r>
        <w:t xml:space="preserve"> </w:t>
      </w:r>
      <m:oMath>
        <m:r>
          <m:t>7</m:t>
        </m:r>
      </m:oMath>
      <w:r>
        <w:t xml:space="preserve"> </w:t>
      </w:r>
      <w:r>
        <w:t xml:space="preserve">was a Beta-proportion GLLAMM that deals with boundedness, measurement error and data clustering, and Model</w:t>
      </w:r>
      <w:r>
        <w:t xml:space="preserve"> </w:t>
      </w:r>
      <m:oMath>
        <m:r>
          <m:t>10</m:t>
        </m:r>
      </m:oMath>
      <w:r>
        <w:t xml:space="preserve"> </w:t>
      </w:r>
      <w:r>
        <w:t xml:space="preserve">extended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w:t>
      </w:r>
      <w:r>
        <w:t xml:space="preserve"> </w:t>
      </w:r>
      <w:r>
        <w:t xml:space="preserve">Overall, all criteria consistently pointed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w:t>
      </w:r>
      <w:r>
        <w:t xml:space="preserve"> </w:t>
      </w:r>
      <w:r>
        <w:t xml:space="preserve">Additionally,</w:t>
      </w:r>
      <w:r>
        <w:t xml:space="preserve"> </w:t>
      </w:r>
      <w:hyperlink w:anchor="fig-rq1-waic-psis">
        <w:r>
          <w:rPr>
            <w:rStyle w:val="Hyperlink"/>
          </w:rPr>
          <w:t xml:space="preserve">Figure 1</w:t>
        </w:r>
      </w:hyperlink>
      <w:r>
        <w:t xml:space="preserve"> </w:t>
      </w:r>
      <w:r>
        <w:t xml:space="preserve">visually demonstrates the non-overlapping uncertainty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w:t>
      </w:r>
      <w:r>
        <w:t xml:space="preserve"> </w:t>
      </w:r>
      <w:r>
        <w:t xml:space="preserve">This indicates that Model</w:t>
      </w:r>
      <w:r>
        <w:t xml:space="preserve"> </w:t>
      </w:r>
      <m:oMath>
        <m:r>
          <m:t>10</m:t>
        </m:r>
      </m:oMath>
      <w:r>
        <w:t xml:space="preserve"> </w:t>
      </w:r>
      <w:r>
        <w:t xml:space="preserve">significantly deviateed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underscored that</w:t>
      </w:r>
      <w:r>
        <w:t xml:space="preserve"> </w:t>
      </w:r>
      <m:oMath>
        <m:r>
          <m:t>100</m:t>
        </m:r>
        <m:r>
          <m:rPr>
            <m:sty m:val="p"/>
          </m:rPr>
          <m:t>%</m:t>
        </m:r>
      </m:oMath>
      <w:r>
        <w:t xml:space="preserve"> </w:t>
      </w:r>
      <w:r>
        <w:t xml:space="preserve">of the evidence aligned with and supported Model</w:t>
      </w:r>
      <w:r>
        <w:t xml:space="preserve"> </w:t>
      </w:r>
      <m:oMath>
        <m:r>
          <m:t>10</m:t>
        </m:r>
      </m:oMath>
      <w:r>
        <w:t xml:space="preserve">.</w:t>
      </w:r>
    </w:p>
    <w:bookmarkStart w:id="53" w:name="cell-fig-rq1-waic-psis"/>
    <w:tbl>
      <w:tblPr>
        <w:tblStyle w:val="Table"/>
        <w:tblW w:type="pct" w:w="5000"/>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t xml:space="preserve">Comparison plot for selected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52"/>
        </w:tc>
      </w:tr>
    </w:tbl>
    <w:bookmarkEnd w:id="53"/>
    <w:p>
      <w:pPr>
        <w:pStyle w:val="BodyText"/>
      </w:pPr>
      <w:r>
        <w:t xml:space="preserve">Upon closer examination, the reasons behind the observed disparities in the models become more apparent.</w:t>
      </w:r>
      <w:r>
        <w:t xml:space="preserve"> </w:t>
      </w:r>
      <w:r>
        <w:t xml:space="preserve">Specifically,</w:t>
      </w:r>
      <w:r>
        <w:t xml:space="preserve"> </w:t>
      </w:r>
      <w:hyperlink w:anchor="fig-rq1-pred-speaker">
        <w:r>
          <w:rPr>
            <w:rStyle w:val="Hyperlink"/>
          </w:rPr>
          <w:t xml:space="preserve">Figure 2</w:t>
        </w:r>
      </w:hyperlink>
      <w:r>
        <w:t xml:space="preserve"> </w:t>
      </w:r>
      <w:r>
        <w:t xml:space="preserve">demonstrates that the Normal LMM, as outlined in Model</w:t>
      </w:r>
      <w:r>
        <w:t xml:space="preserve"> </w:t>
      </w:r>
      <m:oMath>
        <m:r>
          <m:t>4</m:t>
        </m:r>
      </m:oMath>
      <w:r>
        <w:t xml:space="preserve">, failed to adequately capture the data’s underlying patterns, resulting in predictions that were physically inconsistent. This issue is illustrated by the</w:t>
      </w:r>
      <w:r>
        <w:t xml:space="preserve"> </w:t>
      </w:r>
      <m:oMath>
        <m:r>
          <m:t>95</m:t>
        </m:r>
        <m:r>
          <m:rPr>
            <m:sty m:val="p"/>
          </m:rPr>
          <m:t>%</m:t>
        </m:r>
      </m:oMath>
      <w:r>
        <w:t xml:space="preserve"> </w:t>
      </w:r>
      <w:r>
        <w:t xml:space="preserve">Highest Probability Density Intervals (HPDI) extending beyond the expected zero to one outcome range. Further insight into this lack of fit is provided by</w:t>
      </w:r>
      <w:r>
        <w:t xml:space="preserve"> </w:t>
      </w:r>
      <w:hyperlink w:anchor="fig-rq1-pred-speaker_model04">
        <w:r>
          <w:rPr>
            <w:rStyle w:val="Hyperlink"/>
          </w:rPr>
          <w:t xml:space="preserve">Figure 9</w:t>
        </w:r>
      </w:hyperlink>
      <w:r>
        <w:t xml:space="preserve">. The figure displays score prediction densities for Model</w:t>
      </w:r>
      <w:r>
        <w:t xml:space="preserve"> </w:t>
      </w:r>
      <m:oMath>
        <m:r>
          <m:t>4</m:t>
        </m:r>
      </m:oMath>
      <w:r>
        <w:t xml:space="preserve"> </w:t>
      </w:r>
      <w:r>
        <w:t xml:space="preserve">that bore no resemblance to the actual data densities.</w:t>
      </w:r>
      <w:r>
        <w:t xml:space="preserve"> </w:t>
      </w:r>
      <w:r>
        <w:t xml:space="preserve">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causeed the model to be</w:t>
      </w:r>
      <w:r>
        <w:t xml:space="preserve"> </w:t>
      </w:r>
      <w:r>
        <w:rPr>
          <w:i/>
          <w:iCs/>
        </w:rPr>
        <w:t xml:space="preserve">more surprised</w:t>
      </w:r>
      <w:r>
        <w:t xml:space="preserve"> </w:t>
      </w:r>
      <w:r>
        <w:t xml:space="preserve">by extreme entropy scores, leading to their identification as highly unlikely and influential observations. Consequently, the model was rendered unreliable due to the potential biases present in the parameter estimates. In contrast, the Beta-proportion GLLAMM appeared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displayed prediction densities that bore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was</w:t>
      </w:r>
      <w:r>
        <w:t xml:space="preserve"> </w:t>
      </w:r>
      <w:r>
        <w:rPr>
          <w:i/>
          <w:iCs/>
        </w:rPr>
        <w:t xml:space="preserve">less surprised</w:t>
      </w:r>
      <w:r>
        <w:t xml:space="preserve"> </w:t>
      </w:r>
      <w:r>
        <w:t xml:space="preserve">by extreme scores, fostering more trust in the model’s estimates.</w:t>
      </w:r>
    </w:p>
    <w:bookmarkStart w:id="58" w:name="cell-fig-rq1-pred-speaker"/>
    <w:tbl>
      <w:tblPr>
        <w:tblStyle w:val="Table"/>
        <w:tblW w:type="pct" w:w="5000"/>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following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provided the complete posterior distribution of the speakers’ potential intelligibility scores. This provision, in turn, (1) enabled the calculation of summaries, facilitating the ranking of individuals, and (2) supported the assessment of differences among selected speakers. In both cases, the model considered the inherent uncertainty of the estimates resulting from its measurement using multiple entropy scores.</w:t>
      </w:r>
    </w:p>
    <w:bookmarkStart w:id="65" w:name="cell-fig-rq2-si-model10"/>
    <w:tbl>
      <w:tblPr>
        <w:tblStyle w:val="Table"/>
        <w:tblW w:type="pct" w:w="5000"/>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b/>
                <w:bCs/>
                <w:i/>
                <w:iCs/>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 The figure indicates that speaker</w:t>
      </w:r>
      <w:r>
        <w:t xml:space="preserve"> </w:t>
      </w:r>
      <m:oMath>
        <m:r>
          <m:t>6</m:t>
        </m:r>
      </m:oMath>
      <w:r>
        <w:t xml:space="preserve"> </w:t>
      </w:r>
      <w:r>
        <w:t xml:space="preserve">stands out as the least intelligible in the sample, followed further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w:t>
      </w:r>
      <w:r>
        <w:t xml:space="preserve"> </w:t>
      </w:r>
      <w:r>
        <w:t xml:space="preserve">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w:t>
      </w:r>
      <w:r>
        <w:t xml:space="preserve"> </w:t>
      </w:r>
      <w:r>
        <w:t xml:space="preserve">Conversely, the full posterior distribution for comparing potential intelligibility between the least and most intelligible speakers against other selected speakers is shown in</w:t>
      </w:r>
      <w:r>
        <w:t xml:space="preserve"> </w:t>
      </w:r>
      <w:hyperlink w:anchor="fig-si_contr_model10">
        <w:r>
          <w:rPr>
            <w:rStyle w:val="Hyperlink"/>
          </w:rPr>
          <w:t xml:space="preserve">Figure 4</w:t>
        </w:r>
      </w:hyperlink>
      <w:r>
        <w:t xml:space="preserve">.</w:t>
      </w:r>
      <w:r>
        <w:t xml:space="preserve"> </w:t>
      </w:r>
      <w:r>
        <w:t xml:space="preserve">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(see</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b/>
                <w:bCs/>
                <w:i/>
                <w:iCs/>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illustrated how hypotheses on intelligibility can be examined within the model’s framework.</w:t>
      </w:r>
      <w:r>
        <w:t xml:space="preserve"> </w:t>
      </w:r>
      <w:r>
        <w:t xml:space="preserve">Specifically, the focus centered on assessing the influence of speaker-related factors on intelligibility, such as chronological age and hearing status.</w:t>
      </w:r>
      <w:r>
        <w:t xml:space="preserve"> </w:t>
      </w:r>
      <w:r>
        <w:t xml:space="preserve">Notably, despite RQ1 indicating the suitability of the Beta-proportion GLLAMM for entropy scores, existing statistical literature suggests that, in certain scenarios, models incorporating covariate adjustment exhibit robustness to misspecification in the functional form of the covariate-outcome relationship</w:t>
      </w:r>
      <w:r>
        <w:t xml:space="preserve"> </w:t>
      </w:r>
      <w:r>
        <w:t xml:space="preserve">(Tackney et al. 2023)</w:t>
      </w:r>
      <w:r>
        <w:t xml:space="preserve">. Consequently, this study compared all models detailed in Table 2. These models were characterized by different covariate adjustments on entropy scores or the latent potential intelligibility of speakers, namely chronological age and hearing status. Furthermore, some models like the Normal LMMs, potentially exhibited misspecification in the covariate-outcome relationship.</w:t>
      </w:r>
    </w:p>
    <w:p>
      <w:pPr>
        <w:pStyle w:val="BodyText"/>
      </w:pPr>
      <w:r>
        <w:t xml:space="preserve">Similar to RQ1, all criteria consistently identified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exhibited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In addition,</w:t>
      </w:r>
      <w:r>
        <w:t xml:space="preserve"> </w:t>
      </w:r>
      <w:hyperlink w:anchor="fig-rq3-waic-psis">
        <w:r>
          <w:rPr>
            <w:rStyle w:val="Hyperlink"/>
          </w:rPr>
          <w:t xml:space="preserve">Figure 5</w:t>
        </w:r>
      </w:hyperlink>
      <w:r>
        <w:t xml:space="preserve"> </w:t>
      </w:r>
      <w:r>
        <w:t xml:space="preserve">depicts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horizontal blue lines. This reveals that, when compared to Model</w:t>
      </w:r>
      <w:r>
        <w:t xml:space="preserve"> </w:t>
      </w:r>
      <m:oMath>
        <m:r>
          <m:t>11</m:t>
        </m:r>
      </m:oMath>
      <w:r>
        <w:t xml:space="preserve">, most models exhibited significantly distinct predictive capabilities. Models</w:t>
      </w:r>
      <w:r>
        <w:t xml:space="preserve"> </w:t>
      </w:r>
      <m:oMath>
        <m:r>
          <m:t>12</m:t>
        </m:r>
      </m:oMath>
      <w:r>
        <w:t xml:space="preserve"> </w:t>
      </w:r>
      <w:r>
        <w:t xml:space="preserve">and</w:t>
      </w:r>
      <w:r>
        <w:t xml:space="preserve"> </w:t>
      </w:r>
      <m:oMath>
        <m:r>
          <m:t>10</m:t>
        </m:r>
      </m:oMath>
      <w:r>
        <w:t xml:space="preserve">, however, stood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displayed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9</w:t>
        </w:r>
      </w:hyperlink>
      <w:r>
        <w:t xml:space="preserve">, underscored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Comparison plot for all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75"/>
        </w:tc>
      </w:tr>
    </w:tbl>
    <w:bookmarkEnd w:id="76"/>
    <w:p>
      <w:pPr>
        <w:pStyle w:val="BodyText"/>
      </w:pPr>
      <w:r>
        <w:t xml:space="preserve">A closer examination of two models within this comparison set reveals the reasons behind the largest observed disparities. The Normal LMM, as outlined in Model</w:t>
      </w:r>
      <w:r>
        <w:t xml:space="preserve"> </w:t>
      </w:r>
      <m:oMath>
        <m:r>
          <m:t>6</m:t>
        </m:r>
      </m:oMath>
      <w:r>
        <w:t xml:space="preserve">, continueed to face challenges in capturing underlying data patterns, resulting in predictions that are physically inconsistent, falling outside the outcome’s range. Additionally, the model persisted in identifying highly unlikely and influential observations, making it inherently unreliable. In contrast, the Beta-proportion GLLAMM described by Model</w:t>
      </w:r>
      <w:r>
        <w:t xml:space="preserve"> </w:t>
      </w:r>
      <m:oMath>
        <m:r>
          <m:t>12</m:t>
        </m:r>
      </m:oMath>
      <w:r>
        <w:t xml:space="preserve"> </w:t>
      </w:r>
      <w:r>
        <w:t xml:space="preserve">appeared to be less susceptible to extreme 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13</w:t>
        </w:r>
      </w:hyperlink>
      <w:r>
        <w:t xml:space="preserve">,</w:t>
      </w:r>
      <w:r>
        <w:t xml:space="preserve"> </w:t>
      </w:r>
      <w:hyperlink w:anchor="fig-rq3-pred-speaker_model12">
        <w:r>
          <w:rPr>
            <w:rStyle w:val="Hyperlink"/>
          </w:rPr>
          <w:t xml:space="preserve">14</w:t>
        </w:r>
      </w:hyperlink>
      <w:r>
        <w:t xml:space="preserve">, and</w:t>
      </w:r>
      <w:r>
        <w:t xml:space="preserve"> </w:t>
      </w:r>
      <w:hyperlink w:anchor="fig-rq3-model-outliers">
        <w:r>
          <w:rPr>
            <w:rStyle w:val="Hyperlink"/>
          </w:rPr>
          <w:t xml:space="preserve">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favored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estimated a single intercept</w:t>
      </w:r>
      <w:r>
        <w:t xml:space="preserve"> </w:t>
      </w:r>
      <m:oMath>
        <m:r>
          <m:t>α</m:t>
        </m:r>
      </m:oMath>
      <w:r>
        <w:t xml:space="preserve"> </w:t>
      </w:r>
      <w:r>
        <w:t xml:space="preserve">and no slope to explain the potential intelligibility of speakers (see</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estimated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revealed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estimated different intercepts and slopes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revealed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yielded conflicting conclusions regarding the influence of chronological age and hearing status on intelligibility. Model</w:t>
      </w:r>
      <w:r>
        <w:t xml:space="preserve"> </w:t>
      </w:r>
      <m:oMath>
        <m:r>
          <m:t>10</m:t>
        </m:r>
      </m:oMath>
      <w:r>
        <w:t xml:space="preserve"> </w:t>
      </w:r>
      <w:r>
        <w:t xml:space="preserve">implied no influence of chronological age and hearing status on the potential intelligibility of speakers.</w:t>
      </w:r>
      <w:r>
        <w:t xml:space="preserve"> </w:t>
      </w:r>
      <w:hyperlink w:anchor="fig-rq3-intelligibility-model10">
        <w:r>
          <w:rPr>
            <w:rStyle w:val="Hyperlink"/>
          </w:rPr>
          <w:t xml:space="preserve">Figure 6</w:t>
        </w:r>
      </w:hyperlink>
      <w:r>
        <w:t xml:space="preserve">, however, revealed the reason for the model’s low support. Model</w:t>
      </w:r>
      <w:r>
        <w:t xml:space="preserve"> </w:t>
      </w:r>
      <m:oMath>
        <m:r>
          <m:t>10</m:t>
        </m:r>
      </m:oMath>
      <w:r>
        <w:t xml:space="preserve"> </w:t>
      </w:r>
      <w:r>
        <w:t xml:space="preserve">failed to capture the prevalent increasing age pattern observed in potential intelligibility estimates. In contrast, Model</w:t>
      </w:r>
      <w:r>
        <w:t xml:space="preserve"> </w:t>
      </w:r>
      <m:oMath>
        <m:r>
          <m:t>11</m:t>
        </m:r>
      </m:oMath>
      <w:r>
        <w:t xml:space="preserve"> </w:t>
      </w:r>
      <w:r>
        <w:t xml:space="preserve">identified significant differences in potential intelligibility between NH and HI/CI speakers. The model further suggested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indicated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revealed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w:t>
            </w:r>
            <w:r>
              <w:t xml:space="preserve"> </w:t>
            </w:r>
            <w:r>
              <w:t xml:space="preserve">Model 10,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w:t>
            </w:r>
            <w:r>
              <w:t xml:space="preserve"> </w:t>
            </w:r>
            <w:r>
              <w:t xml:space="preserve">Model 11,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w:t>
            </w:r>
            <w:r>
              <w:t xml:space="preserve"> </w:t>
            </w:r>
            <w:r>
              <w:t xml:space="preserve">Model 12,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hypotheses related to speech intelligibility using entropy scores.</w:t>
      </w:r>
      <w:r>
        <w:t xml:space="preserve"> </w:t>
      </w:r>
      <w:r>
        <w:t xml:space="preserve">The initial findings supported the assertion that Beta-proportion GLLAMMs consistently outperformed Normal LMMs in predicting entropy scores, underscoring its superior predictive performance.</w:t>
      </w:r>
      <w:r>
        <w:t xml:space="preserve"> </w:t>
      </w:r>
      <w:r>
        <w:t xml:space="preserve">The results also emphasized that models neglecting measurement error and boundedness in the outcomes lead to underfitting and misspecification issues, even when robust features are integrated.</w:t>
      </w:r>
      <w:r>
        <w:t xml:space="preserve"> </w:t>
      </w:r>
      <w:r>
        <w:t xml:space="preserve">This was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 the construction of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w:t>
      </w:r>
      <w:r>
        <w:t xml:space="preserve"> </w:t>
      </w:r>
      <w:r>
        <w:t xml:space="preserve">The results suggested that multiple models were plausible for the observed entropy scores. This indicated that different speaker-related factor hypotheses were viable for the data, with some presenting contradictory conclusions about the influence of these factors on intelligibility. However, even without unequivocal support for one hypothesis, the divided support among these models informed that certain statistical issues may be hindering the models’ ability to distinguish among individuals and, ultimately, among models. These issues may be attributed to factors such as the insufficient sample size of speakers, the inadequate representation of the population of speakers, referred to as selection bias, and the imprecise measurement of the latent variable of interest.</w:t>
      </w:r>
    </w:p>
    <w:p>
      <w:pPr>
        <w:pStyle w:val="BodyText"/>
      </w:pPr>
      <w:r>
        <w:t xml:space="preserve">Ultimately, this study introduced researchers to innovative statistical tools that enhanced existing research models.</w:t>
      </w:r>
      <w:r>
        <w:t xml:space="preserve"> </w:t>
      </w:r>
      <w:r>
        <w:t xml:space="preserve">These tools not only assessed the predictability of empirical phenomena but also quantitatively measured the latent trait of interest, namely potential intelligibility, facilitating the comparison of research hypotheses related to this trait.</w:t>
      </w:r>
      <w:r>
        <w:t xml:space="preserve"> </w:t>
      </w:r>
      <w:r>
        <w:t xml:space="preserve">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models.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addressed both challenges by providing comprehensive, step-by-step guidance in the form of a digital walk-through document (see</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provided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interpreted potential intelligibility as an unobserved latent trait of speakers influencing the likelihood of observing a set of entropy scores. These scores, in turn, reflected the transcribers’ ability to decode words in sentences produced by the speakers. Despite this practical approach, the construct validity of the latent trait heavily depended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assumed the transcription task set by</w:t>
      </w:r>
      <w:r>
        <w:t xml:space="preserve"> </w:t>
      </w:r>
      <w:r>
        <w:t xml:space="preserve">Boonen et al. (2023)</w:t>
      </w:r>
      <w:r>
        <w:t xml:space="preserve"> </w:t>
      </w:r>
      <w:r>
        <w:t xml:space="preserve">was properly understood and executed, it expected that the potential intelligibility reflected the overall speech intelligibility of speakers. However, the study did not delved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w:t>
      </w:r>
      <w:r>
        <w:t xml:space="preserve"> </w:t>
      </w:r>
      <w:r>
        <w:t xml:space="preserve">Consequently, future research should consider extending this study by conducting formal sample size planning. This entails assessing the impact of expanding the speakers’ pool on testing research hypotheses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w:t>
      </w:r>
      <w:r>
        <w:t xml:space="preserve"> </w:t>
      </w:r>
      <w:r>
        <w:t xml:space="preserve">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hypotheses within the model’s framework.</w:t>
      </w:r>
      <w:r>
        <w:t xml:space="preserve"> </w:t>
      </w:r>
      <w:r>
        <w:t xml:space="preserve">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could 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w:t>
      </w:r>
      <w:r>
        <w:t xml:space="preserve"> </w:t>
      </w:r>
      <w:r>
        <w:t xml:space="preserve">One example of such a method is Comparative Judgment (CJ), where judges compare and score the perceived intensity of a trait between two stimuli</w:t>
      </w:r>
      <w:r>
        <w:t xml:space="preserve"> </w:t>
      </w:r>
      <w:r>
        <w:t xml:space="preserve">(Thurstone 1927)</w:t>
      </w:r>
      <w:r>
        <w:t xml:space="preserve">. CJ has gained increasing attention in educational assessment, with several studies demonstrating its validity in assessing various tasks within student work, as shown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 The work of</w:t>
      </w:r>
      <w:r>
        <w:t xml:space="preserve"> </w:t>
      </w:r>
      <w:r>
        <w:t xml:space="preserve">Boonen, Kloots, and Gillis (2020)</w:t>
      </w:r>
      <w:r>
        <w:t xml:space="preserve"> </w:t>
      </w:r>
      <w:r>
        <w:t xml:space="preserve">illustrates the potential of this methodology to assess intelligibility. In their study, the authors assessed the overall speech quality of hearing-impaired children using pairwise comparisons of uttered speech samples, while scoring the results in a dichotomous manner. Nevertheless, there is significant room for extending their application. For instance, researchers can perform retrospective power analysis to ascertain the power of the study’s claims</w:t>
      </w:r>
      <w:r>
        <w:t xml:space="preserve"> </w:t>
      </w:r>
      <w:r>
        <w:t xml:space="preserve">(see Kruschke 2015, 393–94)</w:t>
      </w:r>
      <w:r>
        <w:t xml:space="preserve">. Furthermore, the application can be extended to other unexplored variants of the CJ method, such as Ordered CJ</w:t>
      </w:r>
      <w:r>
        <w:t xml:space="preserve"> </w:t>
      </w:r>
      <w:r>
        <w:t xml:space="preserve">(Pritikin 2020)</w:t>
      </w:r>
      <w:r>
        <w:t xml:space="preserve"> </w:t>
      </w:r>
      <w:r>
        <w:t xml:space="preserve">or Multidimensional Dichotomous CJ.</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have highlighted the effectiveness of the Bayesian Beta-proportion GLLAMM to collectively address several key data features when investigating unobservable and complex traits. The study used speech intelligibility and entropy scores as a motivating example. The results have demonstrated that the proposed model consistently outperforms the Normal LMM in predicting the empirical phenomena. Moreover, the model exhibits the ability to quantify the latent potential intelligibility of speakers, allowing for the ranking and comparison of individuals based on the latent trait while accommodating associated uncertainties. Additionally, the proposed model have facilitated the exploration of research hypotheses concerning the influence of speaker-related factors on potential intelligibility, where the integration and comparison of these hypotheses within the model’s framework was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w:t>
      </w:r>
      <w:r>
        <w:t xml:space="preserve"> </w:t>
      </w:r>
      <w:r>
        <w:t xml:space="preserve">Nevertheless, the study suggests several promising avenues for future research, including causal hypothesis formulation, and the exploration and integration of novel evaluation methods for assessing intelligibility. The insights derived from this study hold implications for both researchers and data analysts interested in quantitatively measuring intricate, unobservable constructs, while predicting accurately the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pPr>
        <w:pStyle w:val="BodyText"/>
      </w:pPr>
      <w:r>
        <w:rPr>
          <w:b/>
          <w:bCs/>
        </w:rPr>
        <w:t xml:space="preserve">Acknowledgements:</w:t>
      </w:r>
      <w:r>
        <w:t xml:space="preserve"> </w:t>
      </w:r>
      <w:r>
        <w:t xml:space="preserve">We express gratitude to Renaat van Uffelen for providing timely expertise in enhancing the writing of this document.</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exemplified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w:t>
      </w:r>
      <w:r>
        <w:t xml:space="preserve"> </w:t>
      </w:r>
      <w:r>
        <w:t xml:space="preserve">In addition, a blank space</w:t>
      </w:r>
      <w:r>
        <w:t xml:space="preserve"> </w:t>
      </w:r>
      <w:r>
        <w:rPr>
          <w:i/>
          <w:iCs/>
        </w:rPr>
        <w:t xml:space="preserve">[B]</w:t>
      </w:r>
      <w:r>
        <w:t xml:space="preserve"> </w:t>
      </w:r>
      <w:r>
        <w:t xml:space="preserve">is a symbol that defined the absence of a word in a space where a word was expected during the alignment procedure, as compared with other transcriptions. Notice that for calculation purposes, because the blank space was not expected in such position, it was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with an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w:t>
      </w:r>
      <w:r>
        <w:t xml:space="preserve"> </w:t>
      </w:r>
      <w:r>
        <w:t xml:space="preserve">It is important to highlight that when a listener did not identify a complete word, or part of it, (s)he was instructed to write</w:t>
      </w:r>
      <w:r>
        <w:t xml:space="preserve"> </w:t>
      </w:r>
      <w:r>
        <w:rPr>
          <w:i/>
          <w:iCs/>
        </w:rPr>
        <w:t xml:space="preserve">[X]</w:t>
      </w:r>
      <w:r>
        <w:t xml:space="preserve"> </w:t>
      </w:r>
      <w:r>
        <w:t xml:space="preserve">in that position. However, for the calculation of the entropy score, if more than one listener marked an unidentifiable word with</w:t>
      </w:r>
      <w:r>
        <w:t xml:space="preserve"> </w:t>
      </w:r>
      <w:r>
        <w:rPr>
          <w:i/>
          <w:iCs/>
        </w:rPr>
        <w:t xml:space="preserve">[X]</w:t>
      </w:r>
      <w:r>
        <w:t xml:space="preserve">, each one of them was considered a different word type. This was done to avoid the artificial reduction of the entropy score, as</w:t>
      </w:r>
      <w:r>
        <w:t xml:space="preserve"> </w:t>
      </w:r>
      <w:r>
        <w:rPr>
          <w:i/>
          <w:iCs/>
        </w:rPr>
        <w:t xml:space="preserve">[X]</w:t>
      </w:r>
      <w:r>
        <w:t xml:space="preserve"> </w:t>
      </w:r>
      <w:r>
        <w:t xml:space="preserve">values already indicated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with an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with an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the last example showcased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2023)</w:t>
      </w:r>
      <w:r>
        <w:t xml:space="preserve">. In contrast, the percentage of (un)intelligible words discards most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13" w:name="references"/>
    <w:p>
      <w:pPr>
        <w:pStyle w:val="Heading1"/>
      </w:pPr>
      <w:r>
        <w:t xml:space="preserve">References</w:t>
      </w:r>
    </w:p>
    <w:bookmarkStart w:id="312"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51">
        <w:r>
          <w:rPr>
            <w:rStyle w:val="Hyperlink"/>
          </w:rPr>
          <w:t xml:space="preserve">https://doi.org/10.1016/j.jcomdis.2019.105969</w:t>
        </w:r>
      </w:hyperlink>
      <w:r>
        <w:t xml:space="preserve">.</w:t>
      </w:r>
    </w:p>
    <w:bookmarkEnd w:id="152"/>
    <w:bookmarkStart w:id="154" w:name="ref-Boonen_et_al_2023"/>
    <w:p>
      <w:pPr>
        <w:pStyle w:val="Bibliography"/>
      </w:pPr>
      <w:r>
        <w:t xml:space="preserve">Boonen, N., H. Kloots, P. Nurzia, and S. Gillis. 2023.</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w:t>
      </w:r>
      <w:r>
        <w:t xml:space="preserve">50 (1): 78–103.</w:t>
      </w:r>
      <w:r>
        <w:t xml:space="preserve"> </w:t>
      </w:r>
      <w:hyperlink r:id="rId153">
        <w:r>
          <w:rPr>
            <w:rStyle w:val="Hyperlink"/>
          </w:rPr>
          <w:t xml:space="preserve">https://doi.org/10.1017/S0305000921000714</w:t>
        </w:r>
      </w:hyperlink>
      <w:r>
        <w:t xml:space="preserve">.</w:t>
      </w:r>
    </w:p>
    <w:bookmarkEnd w:id="154"/>
    <w:bookmarkStart w:id="156"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5">
        <w:r>
          <w:rPr>
            <w:rStyle w:val="Hyperlink"/>
          </w:rPr>
          <w:t xml:space="preserve">https://doi.org/10.1097/AUD.0b013e3182503e47</w:t>
        </w:r>
      </w:hyperlink>
      <w:r>
        <w:t xml:space="preserve">.</w:t>
      </w:r>
    </w:p>
    <w:bookmarkEnd w:id="156"/>
    <w:bookmarkStart w:id="158"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7">
        <w:r>
          <w:rPr>
            <w:rStyle w:val="Hyperlink"/>
          </w:rPr>
          <w:t xml:space="preserve">https://arxiv.org/abs/1212.0870</w:t>
        </w:r>
      </w:hyperlink>
      <w:r>
        <w:t xml:space="preserve">.</w:t>
      </w:r>
    </w:p>
    <w:bookmarkEnd w:id="158"/>
    <w:bookmarkStart w:id="160"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9">
        <w:r>
          <w:rPr>
            <w:rStyle w:val="Hyperlink"/>
          </w:rPr>
          <w:t xml:space="preserve">https://doi.org/10.1179/1754762813Y.0000000043</w:t>
        </w:r>
      </w:hyperlink>
      <w:r>
        <w:t xml:space="preserve">.</w:t>
      </w:r>
    </w:p>
    <w:bookmarkEnd w:id="160"/>
    <w:bookmarkStart w:id="162"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61">
        <w:r>
          <w:rPr>
            <w:rStyle w:val="Hyperlink"/>
          </w:rPr>
          <w:t xml:space="preserve">https://doi.org/10.1016/j.jcomdis.2012.05.003</w:t>
        </w:r>
      </w:hyperlink>
      <w:r>
        <w:t xml:space="preserve">.</w:t>
      </w:r>
    </w:p>
    <w:bookmarkEnd w:id="162"/>
    <w:bookmarkStart w:id="164"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3">
        <w:r>
          <w:rPr>
            <w:rStyle w:val="Hyperlink"/>
          </w:rPr>
          <w:t xml:space="preserve">https://doi.org/10.3109/02699206.2014.926997</w:t>
        </w:r>
      </w:hyperlink>
      <w:r>
        <w:t xml:space="preserve">.</w:t>
      </w:r>
    </w:p>
    <w:bookmarkEnd w:id="164"/>
    <w:bookmarkStart w:id="166"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5">
        <w:r>
          <w:rPr>
            <w:rStyle w:val="Hyperlink"/>
          </w:rPr>
          <w:t xml:space="preserve">https://doi.org/10.1007/s12564-023-09907-4</w:t>
        </w:r>
      </w:hyperlink>
      <w:r>
        <w:t xml:space="preserve">.</w:t>
      </w:r>
    </w:p>
    <w:bookmarkEnd w:id="166"/>
    <w:bookmarkStart w:id="168"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7">
        <w:r>
          <w:rPr>
            <w:rStyle w:val="Hyperlink"/>
          </w:rPr>
          <w:t xml:space="preserve">https://doi.org/10.2139/ssrn.3689437</w:t>
        </w:r>
      </w:hyperlink>
      <w:r>
        <w:t xml:space="preserve">.</w:t>
      </w:r>
    </w:p>
    <w:bookmarkEnd w:id="168"/>
    <w:bookmarkStart w:id="170"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9">
        <w:r>
          <w:rPr>
            <w:rStyle w:val="Hyperlink"/>
          </w:rPr>
          <w:t xml:space="preserve">https://doi.org/10.1044/jshr.3202.347</w:t>
        </w:r>
      </w:hyperlink>
      <w:r>
        <w:t xml:space="preserve">.</w:t>
      </w:r>
    </w:p>
    <w:bookmarkEnd w:id="170"/>
    <w:bookmarkStart w:id="172"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71">
        <w:r>
          <w:rPr>
            <w:rStyle w:val="Hyperlink"/>
          </w:rPr>
          <w:t xml:space="preserve">https://doi.org/10.1037/h0040957</w:t>
        </w:r>
      </w:hyperlink>
      <w:r>
        <w:t xml:space="preserve">.</w:t>
      </w:r>
    </w:p>
    <w:bookmarkEnd w:id="172"/>
    <w:bookmarkStart w:id="174"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3">
        <w:r>
          <w:rPr>
            <w:rStyle w:val="Hyperlink"/>
          </w:rPr>
          <w:t xml:space="preserve">https://doi.org/10.1371/journal.pone.0254103</w:t>
        </w:r>
      </w:hyperlink>
      <w:r>
        <w:t xml:space="preserve">.</w:t>
      </w:r>
    </w:p>
    <w:bookmarkEnd w:id="174"/>
    <w:bookmarkStart w:id="176"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5">
        <w:r>
          <w:rPr>
            <w:rStyle w:val="Hyperlink"/>
          </w:rPr>
          <w:t xml:space="preserve">https://doi.org/10.1177/25152459221106366</w:t>
        </w:r>
      </w:hyperlink>
      <w:r>
        <w:t xml:space="preserve">.</w:t>
      </w:r>
    </w:p>
    <w:bookmarkEnd w:id="176"/>
    <w:bookmarkStart w:id="178"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7">
        <w:r>
          <w:rPr>
            <w:rStyle w:val="Hyperlink"/>
          </w:rPr>
          <w:t xml:space="preserve">https://doi.org/10.1080/10705511.2014.882686</w:t>
        </w:r>
      </w:hyperlink>
      <w:r>
        <w:t xml:space="preserve">.</w:t>
      </w:r>
    </w:p>
    <w:bookmarkEnd w:id="178"/>
    <w:bookmarkStart w:id="180" w:name="ref-Depaoli_2021"/>
    <w:p>
      <w:pPr>
        <w:pStyle w:val="Bibliography"/>
      </w:pPr>
      <w:r>
        <w:t xml:space="preserve">———. 2021.</w:t>
      </w:r>
      <w:r>
        <w:t xml:space="preserve"> </w:t>
      </w:r>
      <w:hyperlink r:id="rId179">
        <w:r>
          <w:rPr>
            <w:rStyle w:val="Hyperlink"/>
            <w:i/>
            <w:iCs/>
          </w:rPr>
          <w:t xml:space="preserve">Bayesian Structural Equation Modeling</w:t>
        </w:r>
      </w:hyperlink>
      <w:r>
        <w:t xml:space="preserve">. Methodology in the Social Sciences. The Guilford Press.</w:t>
      </w:r>
    </w:p>
    <w:bookmarkEnd w:id="180"/>
    <w:bookmarkStart w:id="182"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81">
        <w:r>
          <w:rPr>
            <w:rStyle w:val="Hyperlink"/>
          </w:rPr>
          <w:t xml:space="preserve">https://doi.org/10.1037/met0000065</w:t>
        </w:r>
      </w:hyperlink>
      <w:r>
        <w:t xml:space="preserve">.</w:t>
      </w:r>
    </w:p>
    <w:bookmarkEnd w:id="182"/>
    <w:bookmarkStart w:id="184"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3">
        <w:r>
          <w:rPr>
            <w:rStyle w:val="Hyperlink"/>
          </w:rPr>
          <w:t xml:space="preserve">https://doi.org/10.1007/s10198-022-01554-7</w:t>
        </w:r>
      </w:hyperlink>
      <w:r>
        <w:t xml:space="preserve">.</w:t>
      </w:r>
    </w:p>
    <w:bookmarkEnd w:id="184"/>
    <w:bookmarkStart w:id="186"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5">
        <w:r>
          <w:rPr>
            <w:rStyle w:val="Hyperlink"/>
          </w:rPr>
          <w:t xml:space="preserve">https://doi.org/10.1044/0161-1461(2010/09-0081)</w:t>
        </w:r>
      </w:hyperlink>
      <w:r>
        <w:t xml:space="preserve">.</w:t>
      </w:r>
    </w:p>
    <w:bookmarkEnd w:id="186"/>
    <w:bookmarkStart w:id="187" w:name="ref-Everitt_et_al_2010"/>
    <w:p>
      <w:pPr>
        <w:pStyle w:val="Bibliography"/>
      </w:pPr>
      <w:r>
        <w:t xml:space="preserve">Everitt, B., and A. Skrondal. 2010.</w:t>
      </w:r>
      <w:r>
        <w:t xml:space="preserve"> </w:t>
      </w:r>
      <w:hyperlink r:id="rId179">
        <w:r>
          <w:rPr>
            <w:rStyle w:val="Hyperlink"/>
            <w:i/>
            <w:iCs/>
          </w:rPr>
          <w:t xml:space="preserve">The Cambridge Dictionary of Statistics</w:t>
        </w:r>
      </w:hyperlink>
      <w:r>
        <w:t xml:space="preserve">. Cambridge University Press.</w:t>
      </w:r>
    </w:p>
    <w:bookmarkEnd w:id="187"/>
    <w:bookmarkStart w:id="189"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8">
        <w:r>
          <w:rPr>
            <w:rStyle w:val="Hyperlink"/>
          </w:rPr>
          <w:t xml:space="preserve">https://doi.org/10.1080/02699206.2021.1988148</w:t>
        </w:r>
      </w:hyperlink>
      <w:r>
        <w:t xml:space="preserve">.</w:t>
      </w:r>
    </w:p>
    <w:bookmarkEnd w:id="189"/>
    <w:bookmarkStart w:id="191"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90">
        <w:r>
          <w:rPr>
            <w:rStyle w:val="Hyperlink"/>
          </w:rPr>
          <w:t xml:space="preserve">https://doi.org/10.1093/oxfordhb/9780190054045.013.3</w:t>
        </w:r>
      </w:hyperlink>
      <w:r>
        <w:t xml:space="preserve">.</w:t>
      </w:r>
    </w:p>
    <w:bookmarkEnd w:id="191"/>
    <w:bookmarkStart w:id="193"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2">
        <w:r>
          <w:rPr>
            <w:rStyle w:val="Hyperlink"/>
          </w:rPr>
          <w:t xml:space="preserve">https://doi.org/10.1080/0266476042000214501</w:t>
        </w:r>
      </w:hyperlink>
      <w:r>
        <w:t xml:space="preserve">.</w:t>
      </w:r>
    </w:p>
    <w:bookmarkEnd w:id="193"/>
    <w:bookmarkStart w:id="195"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4">
        <w:r>
          <w:rPr>
            <w:rStyle w:val="Hyperlink"/>
          </w:rPr>
          <w:t xml:space="preserve">https://doi.org/10.1016/j.csda.2012.12.002</w:t>
        </w:r>
      </w:hyperlink>
      <w:r>
        <w:t xml:space="preserve">.</w:t>
      </w:r>
    </w:p>
    <w:bookmarkEnd w:id="195"/>
    <w:bookmarkStart w:id="197"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6">
        <w:r>
          <w:rPr>
            <w:rStyle w:val="Hyperlink"/>
          </w:rPr>
          <w:t xml:space="preserve">https://doi.org/10.1007/s00362-021-01260-1</w:t>
        </w:r>
      </w:hyperlink>
      <w:r>
        <w:t xml:space="preserve">.</w:t>
      </w:r>
    </w:p>
    <w:bookmarkEnd w:id="197"/>
    <w:bookmarkStart w:id="199"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8">
        <w:r>
          <w:rPr>
            <w:rStyle w:val="Hyperlink"/>
          </w:rPr>
          <w:t xml:space="preserve">https://doi.org/10.1214/17-bjps354</w:t>
        </w:r>
      </w:hyperlink>
      <w:r>
        <w:t xml:space="preserve">.</w:t>
      </w:r>
    </w:p>
    <w:bookmarkEnd w:id="199"/>
    <w:bookmarkStart w:id="201"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200">
        <w:r>
          <w:rPr>
            <w:rStyle w:val="Hyperlink"/>
          </w:rPr>
          <w:t xml:space="preserve">https://doi.org/10.1080/02699200400024863</w:t>
        </w:r>
      </w:hyperlink>
      <w:r>
        <w:t xml:space="preserve">.</w:t>
      </w:r>
    </w:p>
    <w:bookmarkEnd w:id="201"/>
    <w:bookmarkStart w:id="203"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2">
        <w:r>
          <w:rPr>
            <w:rStyle w:val="Hyperlink"/>
          </w:rPr>
          <w:t xml:space="preserve">https://doi.org/10.1093/deafed/enx001</w:t>
        </w:r>
      </w:hyperlink>
      <w:r>
        <w:t xml:space="preserve">.</w:t>
      </w:r>
    </w:p>
    <w:bookmarkEnd w:id="203"/>
    <w:bookmarkStart w:id="204" w:name="ref-Gelman_et_al_2014"/>
    <w:p>
      <w:pPr>
        <w:pStyle w:val="Bibliography"/>
      </w:pPr>
      <w:r>
        <w:t xml:space="preserve">Gelman, A., J. Carlin, H. Stern, D. Dunson, A. Vehtari, and D. Rubin. 2014.</w:t>
      </w:r>
      <w:r>
        <w:t xml:space="preserve"> </w:t>
      </w:r>
      <w:hyperlink r:id="rId179">
        <w:r>
          <w:rPr>
            <w:rStyle w:val="Hyperlink"/>
            <w:i/>
            <w:iCs/>
          </w:rPr>
          <w:t xml:space="preserve">Bayesian Data Analysis</w:t>
        </w:r>
      </w:hyperlink>
      <w:r>
        <w:t xml:space="preserve">. 3rd ed. Texts in Statistical Science. Chapman; Hall/CRC.</w:t>
      </w:r>
    </w:p>
    <w:bookmarkEnd w:id="204"/>
    <w:bookmarkStart w:id="206"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5">
        <w:r>
          <w:rPr>
            <w:rStyle w:val="Hyperlink"/>
          </w:rPr>
          <w:t xml:space="preserve">https://doi.org/10.1177/0962280217738142</w:t>
        </w:r>
      </w:hyperlink>
      <w:r>
        <w:t xml:space="preserve">.</w:t>
      </w:r>
    </w:p>
    <w:bookmarkEnd w:id="206"/>
    <w:bookmarkStart w:id="208"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7">
        <w:r>
          <w:rPr>
            <w:rStyle w:val="Hyperlink"/>
          </w:rPr>
          <w:t xml:space="preserve">https://doi.org/10.1515/9781614514909-038</w:t>
        </w:r>
      </w:hyperlink>
      <w:r>
        <w:t xml:space="preserve">.</w:t>
      </w:r>
    </w:p>
    <w:bookmarkEnd w:id="208"/>
    <w:bookmarkStart w:id="210"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9">
        <w:r>
          <w:rPr>
            <w:rStyle w:val="Hyperlink"/>
          </w:rPr>
          <w:t xml:space="preserve">https://doi.org/10.1080/00401706.1969.10490657</w:t>
        </w:r>
      </w:hyperlink>
      <w:r>
        <w:t xml:space="preserve">.</w:t>
      </w:r>
    </w:p>
    <w:bookmarkEnd w:id="210"/>
    <w:bookmarkStart w:id="212"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11">
        <w:r>
          <w:rPr>
            <w:rStyle w:val="Hyperlink"/>
          </w:rPr>
          <w:t xml:space="preserve">https://doi.org/10.1201/9781351062268</w:t>
        </w:r>
      </w:hyperlink>
      <w:r>
        <w:t xml:space="preserve">.</w:t>
      </w:r>
    </w:p>
    <w:bookmarkEnd w:id="212"/>
    <w:bookmarkStart w:id="213" w:name="ref-Jeffreys_1998"/>
    <w:p>
      <w:pPr>
        <w:pStyle w:val="Bibliography"/>
      </w:pPr>
      <w:r>
        <w:t xml:space="preserve">Jeffreys, H. 1998.</w:t>
      </w:r>
      <w:r>
        <w:t xml:space="preserve"> </w:t>
      </w:r>
      <w:hyperlink r:id="rId179">
        <w:r>
          <w:rPr>
            <w:rStyle w:val="Hyperlink"/>
            <w:i/>
            <w:iCs/>
          </w:rPr>
          <w:t xml:space="preserve">Theory of Probability</w:t>
        </w:r>
      </w:hyperlink>
      <w:r>
        <w:t xml:space="preserve">. Oxford University Press.</w:t>
      </w:r>
    </w:p>
    <w:bookmarkEnd w:id="213"/>
    <w:bookmarkStart w:id="215"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4">
        <w:r>
          <w:rPr>
            <w:rStyle w:val="Hyperlink"/>
          </w:rPr>
          <w:t xml:space="preserve">https://doi.org/10.1016/S0147-1767(00)00011-0</w:t>
        </w:r>
      </w:hyperlink>
      <w:r>
        <w:t xml:space="preserve">.</w:t>
      </w:r>
    </w:p>
    <w:bookmarkEnd w:id="215"/>
    <w:bookmarkStart w:id="217"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6">
        <w:r>
          <w:rPr>
            <w:rStyle w:val="Hyperlink"/>
          </w:rPr>
          <w:t xml:space="preserve">https://doi.org/10.1007/s40615-023-01809-w</w:t>
        </w:r>
      </w:hyperlink>
      <w:r>
        <w:t xml:space="preserve">.</w:t>
      </w:r>
    </w:p>
    <w:bookmarkEnd w:id="217"/>
    <w:bookmarkStart w:id="219" w:name="ref-Kent_et_al_1994"/>
    <w:p>
      <w:pPr>
        <w:pStyle w:val="Bibliography"/>
      </w:pPr>
      <w:r>
        <w:t xml:space="preserve">Kent, R., G. Miolo, and S. Bloedel. 1994.</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8">
        <w:r>
          <w:rPr>
            <w:rStyle w:val="Hyperlink"/>
          </w:rPr>
          <w:t xml:space="preserve">https://doi.org/10.1044/1058-0360.0302.81</w:t>
        </w:r>
      </w:hyperlink>
      <w:r>
        <w:t xml:space="preserve">.</w:t>
      </w:r>
    </w:p>
    <w:bookmarkEnd w:id="219"/>
    <w:bookmarkStart w:id="221"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20">
        <w:r>
          <w:rPr>
            <w:rStyle w:val="Hyperlink"/>
          </w:rPr>
          <w:t xml:space="preserve">https://doi.org/10.1044/jshd.5404.482</w:t>
        </w:r>
      </w:hyperlink>
      <w:r>
        <w:t xml:space="preserve">.</w:t>
      </w:r>
    </w:p>
    <w:bookmarkEnd w:id="221"/>
    <w:bookmarkStart w:id="223"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2">
        <w:r>
          <w:rPr>
            <w:rStyle w:val="Hyperlink"/>
          </w:rPr>
          <w:t xml:space="preserve">https://doi.org/10.3109/02699206.2010.490003</w:t>
        </w:r>
      </w:hyperlink>
      <w:r>
        <w:t xml:space="preserve">.</w:t>
      </w:r>
    </w:p>
    <w:bookmarkEnd w:id="223"/>
    <w:bookmarkStart w:id="225"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4">
        <w:r>
          <w:rPr>
            <w:rStyle w:val="Hyperlink"/>
          </w:rPr>
          <w:t xml:space="preserve">https://eric.ed.gov/?id=ED430012</w:t>
        </w:r>
      </w:hyperlink>
      <w:r>
        <w:t xml:space="preserve">.</w:t>
      </w:r>
    </w:p>
    <w:bookmarkEnd w:id="225"/>
    <w:bookmarkStart w:id="227" w:name="ref-Kruschke_2015"/>
    <w:p>
      <w:pPr>
        <w:pStyle w:val="Bibliography"/>
      </w:pPr>
      <w:r>
        <w:t xml:space="preserve">Kruschke, D. 2015.</w:t>
      </w:r>
      <w:r>
        <w:t xml:space="preserve"> </w:t>
      </w:r>
      <w:r>
        <w:rPr>
          <w:i/>
          <w:iCs/>
        </w:rPr>
        <w:t xml:space="preserve">Doing Bayesian Data Analysis: A Tutorial with r, JAGS, and Stan</w:t>
      </w:r>
      <w:r>
        <w:t xml:space="preserve">. Elsevier.</w:t>
      </w:r>
      <w:r>
        <w:t xml:space="preserve"> </w:t>
      </w:r>
      <w:hyperlink r:id="rId226">
        <w:r>
          <w:rPr>
            <w:rStyle w:val="Hyperlink"/>
          </w:rPr>
          <w:t xml:space="preserve">https://www.sciencedirect.com/book/9780124058880/doing-bayesian-data-analysis</w:t>
        </w:r>
      </w:hyperlink>
      <w:r>
        <w:t xml:space="preserve">.</w:t>
      </w:r>
    </w:p>
    <w:bookmarkEnd w:id="227"/>
    <w:bookmarkStart w:id="229"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8">
        <w:r>
          <w:rPr>
            <w:rStyle w:val="Hyperlink"/>
          </w:rPr>
          <w:t xml:space="preserve">http://www.jstor.org/stable/2236703</w:t>
        </w:r>
      </w:hyperlink>
      <w:r>
        <w:t xml:space="preserve">.</w:t>
      </w:r>
    </w:p>
    <w:bookmarkEnd w:id="229"/>
    <w:bookmarkStart w:id="231"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30">
        <w:r>
          <w:rPr>
            <w:rStyle w:val="Hyperlink"/>
          </w:rPr>
          <w:t xml:space="preserve">https://doi.org/10.1111/1460-6984.12067</w:t>
        </w:r>
      </w:hyperlink>
      <w:r>
        <w:t xml:space="preserve">.</w:t>
      </w:r>
    </w:p>
    <w:bookmarkEnd w:id="231"/>
    <w:bookmarkStart w:id="233"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32">
        <w:r>
          <w:rPr>
            <w:rStyle w:val="Hyperlink"/>
          </w:rPr>
          <w:t xml:space="preserve">https://doi.org/10.1002/sim.2112</w:t>
        </w:r>
      </w:hyperlink>
      <w:r>
        <w:t xml:space="preserve">.</w:t>
      </w:r>
    </w:p>
    <w:bookmarkEnd w:id="233"/>
    <w:bookmarkStart w:id="235"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4">
        <w:r>
          <w:rPr>
            <w:rStyle w:val="Hyperlink"/>
          </w:rPr>
          <w:t xml:space="preserve">https://www.jirka.org/ra/html/frontmatter-1.html</w:t>
        </w:r>
      </w:hyperlink>
      <w:r>
        <w:t xml:space="preserve">.</w:t>
      </w:r>
    </w:p>
    <w:bookmarkEnd w:id="235"/>
    <w:bookmarkStart w:id="236"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6"/>
    <w:bookmarkStart w:id="238"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7">
        <w:r>
          <w:rPr>
            <w:rStyle w:val="Hyperlink"/>
          </w:rPr>
          <w:t xml:space="preserve">https://doi.org/10.1007/s12671-023-02165-w</w:t>
        </w:r>
      </w:hyperlink>
      <w:r>
        <w:t xml:space="preserve">.</w:t>
      </w:r>
    </w:p>
    <w:bookmarkEnd w:id="238"/>
    <w:bookmarkStart w:id="240"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9">
        <w:r>
          <w:rPr>
            <w:rStyle w:val="Hyperlink"/>
          </w:rPr>
          <w:t xml:space="preserve">https://doi.org/10.21415/3mhn-0z89</w:t>
        </w:r>
      </w:hyperlink>
      <w:r>
        <w:t xml:space="preserve">.</w:t>
      </w:r>
    </w:p>
    <w:bookmarkEnd w:id="240"/>
    <w:bookmarkStart w:id="242"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41">
        <w:r>
          <w:rPr>
            <w:rStyle w:val="Hyperlink"/>
          </w:rPr>
          <w:t xml:space="preserve">https://doi.org/10.1007/BF02291552</w:t>
        </w:r>
      </w:hyperlink>
      <w:r>
        <w:t xml:space="preserve">.</w:t>
      </w:r>
    </w:p>
    <w:bookmarkEnd w:id="242"/>
    <w:bookmarkStart w:id="244"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43">
        <w:r>
          <w:rPr>
            <w:rStyle w:val="Hyperlink"/>
          </w:rPr>
          <w:t xml:space="preserve">https://books.google.be/books?id=Asi5KQAACAAJ</w:t>
        </w:r>
      </w:hyperlink>
      <w:r>
        <w:t xml:space="preserve">.</w:t>
      </w:r>
    </w:p>
    <w:bookmarkEnd w:id="244"/>
    <w:bookmarkStart w:id="245" w:name="ref-McElreath_2020"/>
    <w:p>
      <w:pPr>
        <w:pStyle w:val="Bibliography"/>
      </w:pPr>
      <w:r>
        <w:t xml:space="preserve">McElreath, R. 2020.</w:t>
      </w:r>
      <w:r>
        <w:t xml:space="preserve"> </w:t>
      </w:r>
      <w:hyperlink r:id="rId179">
        <w:r>
          <w:rPr>
            <w:rStyle w:val="Hyperlink"/>
            <w:i/>
            <w:iCs/>
          </w:rPr>
          <w:t xml:space="preserve">Statistical Rethinking: A Bayesian Course with Examples in r and STAN</w:t>
        </w:r>
      </w:hyperlink>
      <w:r>
        <w:t xml:space="preserve">. Chapman; Hall/CRC.</w:t>
      </w:r>
    </w:p>
    <w:bookmarkEnd w:id="245"/>
    <w:bookmarkStart w:id="247"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6">
        <w:r>
          <w:rPr>
            <w:rStyle w:val="Hyperlink"/>
          </w:rPr>
          <w:t xml:space="preserve">https://doi.org/10.1044/2014\_JSLHR-H-14-0190</w:t>
        </w:r>
      </w:hyperlink>
      <w:r>
        <w:t xml:space="preserve">.</w:t>
      </w:r>
    </w:p>
    <w:bookmarkEnd w:id="247"/>
    <w:bookmarkStart w:id="249"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8">
        <w:r>
          <w:rPr>
            <w:rStyle w:val="Hyperlink"/>
          </w:rPr>
          <w:t xml:space="preserve">https://doi.org/10.1017/S0272263198002022</w:t>
        </w:r>
      </w:hyperlink>
      <w:r>
        <w:t xml:space="preserve">.</w:t>
      </w:r>
    </w:p>
    <w:bookmarkEnd w:id="249"/>
    <w:bookmarkStart w:id="251"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50">
        <w:r>
          <w:rPr>
            <w:rStyle w:val="Hyperlink"/>
          </w:rPr>
          <w:t xml:space="preserve">https://doi.org/10.1111/1467-9922.00038</w:t>
        </w:r>
      </w:hyperlink>
      <w:r>
        <w:t xml:space="preserve">.</w:t>
      </w:r>
    </w:p>
    <w:bookmarkEnd w:id="251"/>
    <w:bookmarkStart w:id="253"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52">
        <w:r>
          <w:rPr>
            <w:rStyle w:val="Hyperlink"/>
          </w:rPr>
          <w:t xml:space="preserve">https://doi.org/10.1037/10409-010</w:t>
        </w:r>
      </w:hyperlink>
      <w:r>
        <w:t xml:space="preserve">.</w:t>
      </w:r>
    </w:p>
    <w:bookmarkEnd w:id="253"/>
    <w:bookmarkStart w:id="255"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4">
        <w:r>
          <w:rPr>
            <w:rStyle w:val="Hyperlink"/>
          </w:rPr>
          <w:t xml:space="preserve">https://doi.org/10.1001/jama.2010.451</w:t>
        </w:r>
      </w:hyperlink>
      <w:r>
        <w:t xml:space="preserve">.</w:t>
      </w:r>
    </w:p>
    <w:bookmarkEnd w:id="255"/>
    <w:bookmarkStart w:id="257"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6">
        <w:r>
          <w:rPr>
            <w:rStyle w:val="Hyperlink"/>
          </w:rPr>
          <w:t xml:space="preserve">https://doi.org/0.1080/10904018.2015.1056877</w:t>
        </w:r>
      </w:hyperlink>
      <w:r>
        <w:t xml:space="preserve">.</w:t>
      </w:r>
    </w:p>
    <w:bookmarkEnd w:id="257"/>
    <w:bookmarkStart w:id="259"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8">
        <w:r>
          <w:rPr>
            <w:rStyle w:val="Hyperlink"/>
          </w:rPr>
          <w:t xml:space="preserve">https://doi.org/10.1111/rssa.12551</w:t>
        </w:r>
      </w:hyperlink>
      <w:r>
        <w:t xml:space="preserve">.</w:t>
      </w:r>
    </w:p>
    <w:bookmarkEnd w:id="259"/>
    <w:bookmarkStart w:id="261"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60">
        <w:r>
          <w:rPr>
            <w:rStyle w:val="Hyperlink"/>
          </w:rPr>
          <w:t xml:space="preserve">https://doi.org/10.1007/s10798-011-9189-x</w:t>
        </w:r>
      </w:hyperlink>
      <w:r>
        <w:t xml:space="preserve">.</w:t>
      </w:r>
    </w:p>
    <w:bookmarkEnd w:id="261"/>
    <w:bookmarkStart w:id="263"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62">
        <w:r>
          <w:rPr>
            <w:rStyle w:val="Hyperlink"/>
          </w:rPr>
          <w:t xml:space="preserve">https://doi.org/10.1080/0969594X.2012.665354</w:t>
        </w:r>
      </w:hyperlink>
      <w:r>
        <w:t xml:space="preserve">.</w:t>
      </w:r>
    </w:p>
    <w:bookmarkEnd w:id="263"/>
    <w:bookmarkStart w:id="265" w:name="ref-Pritikin_2020"/>
    <w:p>
      <w:pPr>
        <w:pStyle w:val="Bibliography"/>
      </w:pPr>
      <w:r>
        <w:t xml:space="preserve">Pritikin, J. 2020.</w:t>
      </w:r>
      <w:r>
        <w:t xml:space="preserve"> </w:t>
      </w:r>
      <w:r>
        <w:t xml:space="preserve">“An Exploratory Factor Model for Ordinal Paired Comparison Indicators.”</w:t>
      </w:r>
      <w:r>
        <w:t xml:space="preserve"> </w:t>
      </w:r>
      <w:r>
        <w:rPr>
          <w:i/>
          <w:iCs/>
        </w:rPr>
        <w:t xml:space="preserve">Heliyon 6</w:t>
      </w:r>
      <w:r>
        <w:t xml:space="preserve"> </w:t>
      </w:r>
      <w:r>
        <w:t xml:space="preserve">6 (9).</w:t>
      </w:r>
      <w:r>
        <w:t xml:space="preserve"> </w:t>
      </w:r>
      <w:hyperlink r:id="rId264">
        <w:r>
          <w:rPr>
            <w:rStyle w:val="Hyperlink"/>
          </w:rPr>
          <w:t xml:space="preserve">https://doi.org/10.1016/j.heliyon.2020.e04821</w:t>
        </w:r>
      </w:hyperlink>
      <w:r>
        <w:t xml:space="preserve">.</w:t>
      </w:r>
    </w:p>
    <w:bookmarkEnd w:id="265"/>
    <w:bookmarkStart w:id="267"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6">
        <w:r>
          <w:rPr>
            <w:rStyle w:val="Hyperlink"/>
          </w:rPr>
          <w:t xml:space="preserve">http://www.R-project.org/</w:t>
        </w:r>
      </w:hyperlink>
      <w:r>
        <w:t xml:space="preserve">.</w:t>
      </w:r>
    </w:p>
    <w:bookmarkEnd w:id="267"/>
    <w:bookmarkStart w:id="269"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8">
        <w:r>
          <w:rPr>
            <w:rStyle w:val="Hyperlink"/>
          </w:rPr>
          <w:t xml:space="preserve">https://www.doi.org/10.1007/BF02295939</w:t>
        </w:r>
      </w:hyperlink>
      <w:r>
        <w:t xml:space="preserve">.</w:t>
      </w:r>
    </w:p>
    <w:bookmarkEnd w:id="269"/>
    <w:bookmarkStart w:id="271"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70">
        <w:r>
          <w:rPr>
            <w:rStyle w:val="Hyperlink"/>
          </w:rPr>
          <w:t xml:space="preserve">http://www.biostat.jhsph.edu/~fdominic/teaching/bio656/software-gllamm.manual.pdf</w:t>
        </w:r>
      </w:hyperlink>
      <w:r>
        <w:t xml:space="preserve">.</w:t>
      </w:r>
    </w:p>
    <w:bookmarkEnd w:id="271"/>
    <w:bookmarkStart w:id="273"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72">
        <w:r>
          <w:rPr>
            <w:rStyle w:val="Hyperlink"/>
          </w:rPr>
          <w:t xml:space="preserve">https://www.doi.org/10.1016/j.jeconom.2004.08.017</w:t>
        </w:r>
      </w:hyperlink>
      <w:r>
        <w:t xml:space="preserve">.</w:t>
      </w:r>
    </w:p>
    <w:bookmarkEnd w:id="273"/>
    <w:bookmarkStart w:id="275"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74">
        <w:r>
          <w:rPr>
            <w:rStyle w:val="Hyperlink"/>
          </w:rPr>
          <w:t xml:space="preserve">https://doi.org/10.1080/00031305.2012.695938</w:t>
        </w:r>
      </w:hyperlink>
      <w:r>
        <w:t xml:space="preserve">.</w:t>
      </w:r>
    </w:p>
    <w:bookmarkEnd w:id="275"/>
    <w:bookmarkStart w:id="277"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6">
        <w:r>
          <w:rPr>
            <w:rStyle w:val="Hyperlink"/>
          </w:rPr>
          <w:t xml:space="preserve">https://doi.org/10.1002/j.1538-7305.1948.tb01338.x</w:t>
        </w:r>
      </w:hyperlink>
      <w:r>
        <w:t xml:space="preserve">.</w:t>
      </w:r>
    </w:p>
    <w:bookmarkEnd w:id="277"/>
    <w:bookmarkStart w:id="279"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8">
        <w:r>
          <w:rPr>
            <w:rStyle w:val="Hyperlink"/>
          </w:rPr>
          <w:t xml:space="preserve">https://doi.org/10.2307/23042796</w:t>
        </w:r>
      </w:hyperlink>
      <w:r>
        <w:t xml:space="preserve">.</w:t>
      </w:r>
    </w:p>
    <w:bookmarkEnd w:id="279"/>
    <w:bookmarkStart w:id="281"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80">
        <w:r>
          <w:rPr>
            <w:rStyle w:val="Hyperlink"/>
          </w:rPr>
          <w:t xml:space="preserve">https://doi.org/10.1016/j.csda.2009.08.017</w:t>
        </w:r>
      </w:hyperlink>
      <w:r>
        <w:t xml:space="preserve">.</w:t>
      </w:r>
    </w:p>
    <w:bookmarkEnd w:id="281"/>
    <w:bookmarkStart w:id="282" w:name="ref-Skrondal_et_al_2004a"/>
    <w:p>
      <w:pPr>
        <w:pStyle w:val="Bibliography"/>
      </w:pPr>
      <w:r>
        <w:t xml:space="preserve">Skrondal, A., and S. Rabe-Hesketh. 2004.</w:t>
      </w:r>
      <w:r>
        <w:t xml:space="preserve"> </w:t>
      </w:r>
      <w:hyperlink r:id="rId179">
        <w:r>
          <w:rPr>
            <w:rStyle w:val="Hyperlink"/>
            <w:i/>
            <w:iCs/>
          </w:rPr>
          <w:t xml:space="preserve">Generalized Latent Variable Modeling: Multilevel, Longitudinal, and Structural Equation Models</w:t>
        </w:r>
      </w:hyperlink>
      <w:r>
        <w:t xml:space="preserve">. Interdisciplinary Statistics. Chapman &amp; Hall/CRC Press.</w:t>
      </w:r>
    </w:p>
    <w:bookmarkEnd w:id="282"/>
    <w:bookmarkStart w:id="284"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83">
        <w:r>
          <w:rPr>
            <w:rStyle w:val="Hyperlink"/>
          </w:rPr>
          <w:t xml:space="preserve">https://doi.org/10.1111/1467-9868.00353</w:t>
        </w:r>
      </w:hyperlink>
      <w:r>
        <w:t xml:space="preserve">.</w:t>
      </w:r>
    </w:p>
    <w:bookmarkEnd w:id="284"/>
    <w:bookmarkStart w:id="286"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85">
        <w:r>
          <w:rPr>
            <w:rStyle w:val="Hyperlink"/>
          </w:rPr>
          <w:t xml:space="preserve">https://mc-stan.org</w:t>
        </w:r>
      </w:hyperlink>
      <w:r>
        <w:t xml:space="preserve">.</w:t>
      </w:r>
    </w:p>
    <w:bookmarkEnd w:id="286"/>
    <w:bookmarkStart w:id="288"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7">
        <w:r>
          <w:rPr>
            <w:rStyle w:val="Hyperlink"/>
          </w:rPr>
          <w:t xml:space="preserve">https://doi.org/10.1186/s13063-022-06967-6</w:t>
        </w:r>
      </w:hyperlink>
      <w:r>
        <w:t xml:space="preserve">.</w:t>
      </w:r>
    </w:p>
    <w:bookmarkEnd w:id="288"/>
    <w:bookmarkStart w:id="29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9">
        <w:r>
          <w:rPr>
            <w:rStyle w:val="Hyperlink"/>
          </w:rPr>
          <w:t xml:space="preserve">https://doi.org/10.1037/h0070288</w:t>
        </w:r>
      </w:hyperlink>
      <w:r>
        <w:t xml:space="preserve">.</w:t>
      </w:r>
    </w:p>
    <w:bookmarkEnd w:id="290"/>
    <w:bookmarkStart w:id="292"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91">
        <w:r>
          <w:rPr>
            <w:rStyle w:val="Hyperlink"/>
          </w:rPr>
          <w:t xml:space="preserve">https://doi.org/10.30931/jetas.321165</w:t>
        </w:r>
      </w:hyperlink>
      <w:r>
        <w:t xml:space="preserve">.</w:t>
      </w:r>
    </w:p>
    <w:bookmarkEnd w:id="292"/>
    <w:bookmarkStart w:id="29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93"/>
    <w:bookmarkStart w:id="295"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94">
        <w:r>
          <w:rPr>
            <w:rStyle w:val="Hyperlink"/>
          </w:rPr>
          <w:t xml:space="preserve">https://doi.org/10.3366/E1753854809000305</w:t>
        </w:r>
      </w:hyperlink>
      <w:r>
        <w:t xml:space="preserve">.</w:t>
      </w:r>
    </w:p>
    <w:bookmarkEnd w:id="295"/>
    <w:bookmarkStart w:id="297"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6">
        <w:r>
          <w:rPr>
            <w:rStyle w:val="Hyperlink"/>
          </w:rPr>
          <w:t xml:space="preserve">https://doi.org/10.1093/applin/6.1.71</w:t>
        </w:r>
      </w:hyperlink>
      <w:r>
        <w:t xml:space="preserve">.</w:t>
      </w:r>
    </w:p>
    <w:bookmarkEnd w:id="297"/>
    <w:bookmarkStart w:id="299"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8">
        <w:r>
          <w:rPr>
            <w:rStyle w:val="Hyperlink"/>
          </w:rPr>
          <w:t xml:space="preserve">https://doi.org/10.1007/s11222-016-9696-4</w:t>
        </w:r>
      </w:hyperlink>
      <w:r>
        <w:t xml:space="preserve">.</w:t>
      </w:r>
    </w:p>
    <w:bookmarkEnd w:id="299"/>
    <w:bookmarkStart w:id="301"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300">
        <w:r>
          <w:rPr>
            <w:rStyle w:val="Hyperlink"/>
          </w:rPr>
          <w:t xml:space="preserve">https://doi.org/10.1214/20-BA1221</w:t>
        </w:r>
      </w:hyperlink>
      <w:r>
        <w:t xml:space="preserve">.</w:t>
      </w:r>
    </w:p>
    <w:bookmarkEnd w:id="301"/>
    <w:bookmarkStart w:id="30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302">
        <w:r>
          <w:rPr>
            <w:rStyle w:val="Hyperlink"/>
          </w:rPr>
          <w:t xml:space="preserve">https://doi.org/10.1080/0969594X.2019.1602027</w:t>
        </w:r>
      </w:hyperlink>
      <w:r>
        <w:t xml:space="preserve">.</w:t>
      </w:r>
    </w:p>
    <w:bookmarkEnd w:id="303"/>
    <w:bookmarkStart w:id="305"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304">
        <w:r>
          <w:rPr>
            <w:rStyle w:val="Hyperlink"/>
          </w:rPr>
          <w:t xml:space="preserve">https://doi.org/10.3102/1076998610396895</w:t>
        </w:r>
      </w:hyperlink>
      <w:r>
        <w:t xml:space="preserve">.</w:t>
      </w:r>
    </w:p>
    <w:bookmarkEnd w:id="305"/>
    <w:bookmarkStart w:id="307"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6">
        <w:r>
          <w:rPr>
            <w:rStyle w:val="Hyperlink"/>
          </w:rPr>
          <w:t xml:space="preserve">https://www.jmlr.org/papers/volume14/watanabe13a/watanabe13a.pdf</w:t>
        </w:r>
      </w:hyperlink>
      <w:r>
        <w:t xml:space="preserve">.</w:t>
      </w:r>
    </w:p>
    <w:bookmarkEnd w:id="307"/>
    <w:bookmarkStart w:id="309"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8">
        <w:r>
          <w:rPr>
            <w:rStyle w:val="Hyperlink"/>
          </w:rPr>
          <w:t xml:space="preserve">https://doi.org/10.1080/02699200410001663344</w:t>
        </w:r>
      </w:hyperlink>
      <w:r>
        <w:t xml:space="preserve">.</w:t>
      </w:r>
    </w:p>
    <w:bookmarkEnd w:id="309"/>
    <w:bookmarkStart w:id="311"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10">
        <w:r>
          <w:rPr>
            <w:rStyle w:val="Hyperlink"/>
          </w:rPr>
          <w:t xml:space="preserve">https://doi.org/10.1038/s41440-023-01322-x</w:t>
        </w:r>
      </w:hyperlink>
      <w:r>
        <w:t xml:space="preserve">.</w:t>
      </w:r>
    </w:p>
    <w:bookmarkEnd w:id="311"/>
    <w:bookmarkEnd w:id="312"/>
    <w:bookmarkEnd w:id="3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9" Target="" TargetMode="External" /><Relationship Type="http://schemas.openxmlformats.org/officeDocument/2006/relationships/hyperlink" Id="rId266" Target="http://www.R-project.org/" TargetMode="External" /><Relationship Type="http://schemas.openxmlformats.org/officeDocument/2006/relationships/hyperlink" Id="rId270" Target="http://www.biostat.jhsph.edu/~fdominic/teaching/bio656/software-gllamm.manual.pdf" TargetMode="External" /><Relationship Type="http://schemas.openxmlformats.org/officeDocument/2006/relationships/hyperlink" Id="rId228" Target="http://www.jstor.org/stable/2236703" TargetMode="External" /><Relationship Type="http://schemas.openxmlformats.org/officeDocument/2006/relationships/hyperlink" Id="rId157" Target="https://arxiv.org/abs/1212.0870" TargetMode="External" /><Relationship Type="http://schemas.openxmlformats.org/officeDocument/2006/relationships/hyperlink" Id="rId243" Target="https://books.google.be/books?id=Asi5KQAACAAJ" TargetMode="External" /><Relationship Type="http://schemas.openxmlformats.org/officeDocument/2006/relationships/hyperlink" Id="rId256" Target="https://doi.org/0.1080/10904018.2015.1056877" TargetMode="External" /><Relationship Type="http://schemas.openxmlformats.org/officeDocument/2006/relationships/hyperlink" Id="rId254" Target="https://doi.org/10.1001/jama.2010.451" TargetMode="External" /><Relationship Type="http://schemas.openxmlformats.org/officeDocument/2006/relationships/hyperlink" Id="rId276" Target="https://doi.org/10.1002/j.1538-7305.1948.tb01338.x" TargetMode="External" /><Relationship Type="http://schemas.openxmlformats.org/officeDocument/2006/relationships/hyperlink" Id="rId232" Target="https://doi.org/10.1002/sim.2112" TargetMode="External" /><Relationship Type="http://schemas.openxmlformats.org/officeDocument/2006/relationships/hyperlink" Id="rId241" Target="https://doi.org/10.1007/BF02291552" TargetMode="External" /><Relationship Type="http://schemas.openxmlformats.org/officeDocument/2006/relationships/hyperlink" Id="rId196" Target="https://doi.org/10.1007/s00362-021-01260-1" TargetMode="External" /><Relationship Type="http://schemas.openxmlformats.org/officeDocument/2006/relationships/hyperlink" Id="rId183" Target="https://doi.org/10.1007/s10198-022-01554-7" TargetMode="External" /><Relationship Type="http://schemas.openxmlformats.org/officeDocument/2006/relationships/hyperlink" Id="rId260" Target="https://doi.org/10.1007/s10798-011-9189-x" TargetMode="External" /><Relationship Type="http://schemas.openxmlformats.org/officeDocument/2006/relationships/hyperlink" Id="rId298" Target="https://doi.org/10.1007/s11222-016-9696-4" TargetMode="External" /><Relationship Type="http://schemas.openxmlformats.org/officeDocument/2006/relationships/hyperlink" Id="rId165" Target="https://doi.org/10.1007/s12564-023-09907-4" TargetMode="External" /><Relationship Type="http://schemas.openxmlformats.org/officeDocument/2006/relationships/hyperlink" Id="rId237" Target="https://doi.org/10.1007/s12671-023-02165-w" TargetMode="External" /><Relationship Type="http://schemas.openxmlformats.org/officeDocument/2006/relationships/hyperlink" Id="rId216" Target="https://doi.org/10.1007/s40615-023-01809-w" TargetMode="External" /><Relationship Type="http://schemas.openxmlformats.org/officeDocument/2006/relationships/hyperlink" Id="rId214" Target="https://doi.org/10.1016/S0147-1767(00)00011-0" TargetMode="External" /><Relationship Type="http://schemas.openxmlformats.org/officeDocument/2006/relationships/hyperlink" Id="rId280" Target="https://doi.org/10.1016/j.csda.2009.08.017" TargetMode="External" /><Relationship Type="http://schemas.openxmlformats.org/officeDocument/2006/relationships/hyperlink" Id="rId194" Target="https://doi.org/10.1016/j.csda.2012.12.002" TargetMode="External" /><Relationship Type="http://schemas.openxmlformats.org/officeDocument/2006/relationships/hyperlink" Id="rId264" Target="https://doi.org/10.1016/j.heliyon.2020.e04821" TargetMode="External" /><Relationship Type="http://schemas.openxmlformats.org/officeDocument/2006/relationships/hyperlink" Id="rId161" Target="https://doi.org/10.1016/j.jcomdis.2012.05.003" TargetMode="External" /><Relationship Type="http://schemas.openxmlformats.org/officeDocument/2006/relationships/hyperlink" Id="rId151" Target="https://doi.org/10.1016/j.jcomdis.2019.105969" TargetMode="External" /><Relationship Type="http://schemas.openxmlformats.org/officeDocument/2006/relationships/hyperlink" Id="rId248" Target="https://doi.org/10.1017/S0272263198002022" TargetMode="External" /><Relationship Type="http://schemas.openxmlformats.org/officeDocument/2006/relationships/hyperlink" Id="rId153" Target="https://doi.org/10.1017/S0305000921000714" TargetMode="External" /><Relationship Type="http://schemas.openxmlformats.org/officeDocument/2006/relationships/hyperlink" Id="rId252"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71" Target="https://doi.org/10.1037/h0040957" TargetMode="External" /><Relationship Type="http://schemas.openxmlformats.org/officeDocument/2006/relationships/hyperlink" Id="rId289" Target="https://doi.org/10.1037/h0070288" TargetMode="External" /><Relationship Type="http://schemas.openxmlformats.org/officeDocument/2006/relationships/hyperlink" Id="rId181" Target="https://doi.org/10.1037/met0000065" TargetMode="External" /><Relationship Type="http://schemas.openxmlformats.org/officeDocument/2006/relationships/hyperlink" Id="rId310" Target="https://doi.org/10.1038/s41440-023-01322-x" TargetMode="External" /><Relationship Type="http://schemas.openxmlformats.org/officeDocument/2006/relationships/hyperlink" Id="rId185" Target="https://doi.org/10.1044/0161-1461(2010/09-0081)" TargetMode="External" /><Relationship Type="http://schemas.openxmlformats.org/officeDocument/2006/relationships/hyperlink" Id="rId218" Target="https://doi.org/10.1044/1058-0360.0302.81" TargetMode="External" /><Relationship Type="http://schemas.openxmlformats.org/officeDocument/2006/relationships/hyperlink" Id="rId246" Target="https://doi.org/10.1044/2014\_JSLHR-H-14-0190" TargetMode="External" /><Relationship Type="http://schemas.openxmlformats.org/officeDocument/2006/relationships/hyperlink" Id="rId220" Target="https://doi.org/10.1044/jshd.5404.482" TargetMode="External" /><Relationship Type="http://schemas.openxmlformats.org/officeDocument/2006/relationships/hyperlink" Id="rId169" Target="https://doi.org/10.1044/jshr.3202.347" TargetMode="External" /><Relationship Type="http://schemas.openxmlformats.org/officeDocument/2006/relationships/hyperlink" Id="rId274" Target="https://doi.org/10.1080/00031305.2012.695938" TargetMode="External" /><Relationship Type="http://schemas.openxmlformats.org/officeDocument/2006/relationships/hyperlink" Id="rId209" Target="https://doi.org/10.1080/00401706.1969.10490657" TargetMode="External" /><Relationship Type="http://schemas.openxmlformats.org/officeDocument/2006/relationships/hyperlink" Id="rId192" Target="https://doi.org/10.1080/0266476042000214501" TargetMode="External" /><Relationship Type="http://schemas.openxmlformats.org/officeDocument/2006/relationships/hyperlink" Id="rId200" Target="https://doi.org/10.1080/02699200400024863" TargetMode="External" /><Relationship Type="http://schemas.openxmlformats.org/officeDocument/2006/relationships/hyperlink" Id="rId308" Target="https://doi.org/10.1080/02699200410001663344" TargetMode="External" /><Relationship Type="http://schemas.openxmlformats.org/officeDocument/2006/relationships/hyperlink" Id="rId188" Target="https://doi.org/10.1080/02699206.2021.1988148" TargetMode="External" /><Relationship Type="http://schemas.openxmlformats.org/officeDocument/2006/relationships/hyperlink" Id="rId262" Target="https://doi.org/10.1080/0969594X.2012.665354" TargetMode="External" /><Relationship Type="http://schemas.openxmlformats.org/officeDocument/2006/relationships/hyperlink" Id="rId302" Target="https://doi.org/10.1080/0969594X.2019.1602027" TargetMode="External" /><Relationship Type="http://schemas.openxmlformats.org/officeDocument/2006/relationships/hyperlink" Id="rId177" Target="https://doi.org/10.1080/10705511.2014.882686" TargetMode="External" /><Relationship Type="http://schemas.openxmlformats.org/officeDocument/2006/relationships/hyperlink" Id="rId296" Target="https://doi.org/10.1093/applin/6.1.71" TargetMode="External" /><Relationship Type="http://schemas.openxmlformats.org/officeDocument/2006/relationships/hyperlink" Id="rId202" Target="https://doi.org/10.1093/deafed/enx001" TargetMode="External" /><Relationship Type="http://schemas.openxmlformats.org/officeDocument/2006/relationships/hyperlink" Id="rId190" Target="https://doi.org/10.1093/oxfordhb/9780190054045.013.3" TargetMode="External" /><Relationship Type="http://schemas.openxmlformats.org/officeDocument/2006/relationships/hyperlink" Id="rId155" Target="https://doi.org/10.1097/AUD.0b013e3182503e47" TargetMode="External" /><Relationship Type="http://schemas.openxmlformats.org/officeDocument/2006/relationships/hyperlink" Id="rId230" Target="https://doi.org/10.1111/1460-6984.12067" TargetMode="External" /><Relationship Type="http://schemas.openxmlformats.org/officeDocument/2006/relationships/hyperlink" Id="rId283" Target="https://doi.org/10.1111/1467-9868.00353" TargetMode="External" /><Relationship Type="http://schemas.openxmlformats.org/officeDocument/2006/relationships/hyperlink" Id="rId250" Target="https://doi.org/10.1111/1467-9922.00038" TargetMode="External" /><Relationship Type="http://schemas.openxmlformats.org/officeDocument/2006/relationships/hyperlink" Id="rId258"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5" Target="https://doi.org/10.1177/0962280217738142" TargetMode="External" /><Relationship Type="http://schemas.openxmlformats.org/officeDocument/2006/relationships/hyperlink" Id="rId175" Target="https://doi.org/10.1177/25152459221106366" TargetMode="External" /><Relationship Type="http://schemas.openxmlformats.org/officeDocument/2006/relationships/hyperlink" Id="rId159" Target="https://doi.org/10.1179/1754762813Y.0000000043" TargetMode="External" /><Relationship Type="http://schemas.openxmlformats.org/officeDocument/2006/relationships/hyperlink" Id="rId287" Target="https://doi.org/10.1186/s13063-022-06967-6" TargetMode="External" /><Relationship Type="http://schemas.openxmlformats.org/officeDocument/2006/relationships/hyperlink" Id="rId211"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8" Target="https://doi.org/10.1214/17-bjps354" TargetMode="External" /><Relationship Type="http://schemas.openxmlformats.org/officeDocument/2006/relationships/hyperlink" Id="rId300" Target="https://doi.org/10.1214/20-BA1221" TargetMode="External" /><Relationship Type="http://schemas.openxmlformats.org/officeDocument/2006/relationships/hyperlink" Id="rId173" Target="https://doi.org/10.1371/journal.pone.0254103" TargetMode="External" /><Relationship Type="http://schemas.openxmlformats.org/officeDocument/2006/relationships/hyperlink" Id="rId207" Target="https://doi.org/10.1515/9781614514909-038" TargetMode="External" /><Relationship Type="http://schemas.openxmlformats.org/officeDocument/2006/relationships/hyperlink" Id="rId167" Target="https://doi.org/10.2139/ssrn.3689437" TargetMode="External" /><Relationship Type="http://schemas.openxmlformats.org/officeDocument/2006/relationships/hyperlink" Id="rId239" Target="https://doi.org/10.21415/3mhn-0z89" TargetMode="External" /><Relationship Type="http://schemas.openxmlformats.org/officeDocument/2006/relationships/hyperlink" Id="rId278" Target="https://doi.org/10.2307/23042796" TargetMode="External" /><Relationship Type="http://schemas.openxmlformats.org/officeDocument/2006/relationships/hyperlink" Id="rId291" Target="https://doi.org/10.30931/jetas.321165" TargetMode="External" /><Relationship Type="http://schemas.openxmlformats.org/officeDocument/2006/relationships/hyperlink" Id="rId304" Target="https://doi.org/10.3102/1076998610396895" TargetMode="External" /><Relationship Type="http://schemas.openxmlformats.org/officeDocument/2006/relationships/hyperlink" Id="rId222" Target="https://doi.org/10.3109/02699206.2010.490003" TargetMode="External" /><Relationship Type="http://schemas.openxmlformats.org/officeDocument/2006/relationships/hyperlink" Id="rId163" Target="https://doi.org/10.3109/02699206.2014.926997" TargetMode="External" /><Relationship Type="http://schemas.openxmlformats.org/officeDocument/2006/relationships/hyperlink" Id="rId294" Target="https://doi.org/10.3366/E1753854809000305" TargetMode="External" /><Relationship Type="http://schemas.openxmlformats.org/officeDocument/2006/relationships/hyperlink" Id="rId224"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85" Target="https://mc-stan.org" TargetMode="External" /><Relationship Type="http://schemas.openxmlformats.org/officeDocument/2006/relationships/hyperlink" Id="rId268" Target="https://www.doi.org/10.1007/BF02295939" TargetMode="External" /><Relationship Type="http://schemas.openxmlformats.org/officeDocument/2006/relationships/hyperlink" Id="rId272" Target="https://www.doi.org/10.1016/j.jeconom.2004.08.017" TargetMode="External" /><Relationship Type="http://schemas.openxmlformats.org/officeDocument/2006/relationships/hyperlink" Id="rId234" Target="https://www.jirka.org/ra/html/frontmatter-1.html" TargetMode="External" /><Relationship Type="http://schemas.openxmlformats.org/officeDocument/2006/relationships/hyperlink" Id="rId306" Target="https://www.jmlr.org/papers/volume14/watanabe13a/watanabe13a.pdf" TargetMode="External" /><Relationship Type="http://schemas.openxmlformats.org/officeDocument/2006/relationships/hyperlink" Id="rId226" Target="https://www.sciencedirect.com/book/9780124058880/doing-bayesian-data-analysis" TargetMode="External" /></Relationships>
</file>

<file path=word/_rels/footnotes.xml.rels><?xml version="1.0" encoding="UTF-8"?><Relationships xmlns="http://schemas.openxmlformats.org/package/2006/relationships"><Relationship Type="http://schemas.openxmlformats.org/officeDocument/2006/relationships/hyperlink" Id="rId179" Target="" TargetMode="External" /><Relationship Type="http://schemas.openxmlformats.org/officeDocument/2006/relationships/hyperlink" Id="rId266" Target="http://www.R-project.org/" TargetMode="External" /><Relationship Type="http://schemas.openxmlformats.org/officeDocument/2006/relationships/hyperlink" Id="rId270" Target="http://www.biostat.jhsph.edu/~fdominic/teaching/bio656/software-gllamm.manual.pdf" TargetMode="External" /><Relationship Type="http://schemas.openxmlformats.org/officeDocument/2006/relationships/hyperlink" Id="rId228" Target="http://www.jstor.org/stable/2236703" TargetMode="External" /><Relationship Type="http://schemas.openxmlformats.org/officeDocument/2006/relationships/hyperlink" Id="rId157" Target="https://arxiv.org/abs/1212.0870" TargetMode="External" /><Relationship Type="http://schemas.openxmlformats.org/officeDocument/2006/relationships/hyperlink" Id="rId243" Target="https://books.google.be/books?id=Asi5KQAACAAJ" TargetMode="External" /><Relationship Type="http://schemas.openxmlformats.org/officeDocument/2006/relationships/hyperlink" Id="rId256" Target="https://doi.org/0.1080/10904018.2015.1056877" TargetMode="External" /><Relationship Type="http://schemas.openxmlformats.org/officeDocument/2006/relationships/hyperlink" Id="rId254" Target="https://doi.org/10.1001/jama.2010.451" TargetMode="External" /><Relationship Type="http://schemas.openxmlformats.org/officeDocument/2006/relationships/hyperlink" Id="rId276" Target="https://doi.org/10.1002/j.1538-7305.1948.tb01338.x" TargetMode="External" /><Relationship Type="http://schemas.openxmlformats.org/officeDocument/2006/relationships/hyperlink" Id="rId232" Target="https://doi.org/10.1002/sim.2112" TargetMode="External" /><Relationship Type="http://schemas.openxmlformats.org/officeDocument/2006/relationships/hyperlink" Id="rId241" Target="https://doi.org/10.1007/BF02291552" TargetMode="External" /><Relationship Type="http://schemas.openxmlformats.org/officeDocument/2006/relationships/hyperlink" Id="rId196" Target="https://doi.org/10.1007/s00362-021-01260-1" TargetMode="External" /><Relationship Type="http://schemas.openxmlformats.org/officeDocument/2006/relationships/hyperlink" Id="rId183" Target="https://doi.org/10.1007/s10198-022-01554-7" TargetMode="External" /><Relationship Type="http://schemas.openxmlformats.org/officeDocument/2006/relationships/hyperlink" Id="rId260" Target="https://doi.org/10.1007/s10798-011-9189-x" TargetMode="External" /><Relationship Type="http://schemas.openxmlformats.org/officeDocument/2006/relationships/hyperlink" Id="rId298" Target="https://doi.org/10.1007/s11222-016-9696-4" TargetMode="External" /><Relationship Type="http://schemas.openxmlformats.org/officeDocument/2006/relationships/hyperlink" Id="rId165" Target="https://doi.org/10.1007/s12564-023-09907-4" TargetMode="External" /><Relationship Type="http://schemas.openxmlformats.org/officeDocument/2006/relationships/hyperlink" Id="rId237" Target="https://doi.org/10.1007/s12671-023-02165-w" TargetMode="External" /><Relationship Type="http://schemas.openxmlformats.org/officeDocument/2006/relationships/hyperlink" Id="rId216" Target="https://doi.org/10.1007/s40615-023-01809-w" TargetMode="External" /><Relationship Type="http://schemas.openxmlformats.org/officeDocument/2006/relationships/hyperlink" Id="rId214" Target="https://doi.org/10.1016/S0147-1767(00)00011-0" TargetMode="External" /><Relationship Type="http://schemas.openxmlformats.org/officeDocument/2006/relationships/hyperlink" Id="rId280" Target="https://doi.org/10.1016/j.csda.2009.08.017" TargetMode="External" /><Relationship Type="http://schemas.openxmlformats.org/officeDocument/2006/relationships/hyperlink" Id="rId194" Target="https://doi.org/10.1016/j.csda.2012.12.002" TargetMode="External" /><Relationship Type="http://schemas.openxmlformats.org/officeDocument/2006/relationships/hyperlink" Id="rId264" Target="https://doi.org/10.1016/j.heliyon.2020.e04821" TargetMode="External" /><Relationship Type="http://schemas.openxmlformats.org/officeDocument/2006/relationships/hyperlink" Id="rId161" Target="https://doi.org/10.1016/j.jcomdis.2012.05.003" TargetMode="External" /><Relationship Type="http://schemas.openxmlformats.org/officeDocument/2006/relationships/hyperlink" Id="rId151" Target="https://doi.org/10.1016/j.jcomdis.2019.105969" TargetMode="External" /><Relationship Type="http://schemas.openxmlformats.org/officeDocument/2006/relationships/hyperlink" Id="rId248" Target="https://doi.org/10.1017/S0272263198002022" TargetMode="External" /><Relationship Type="http://schemas.openxmlformats.org/officeDocument/2006/relationships/hyperlink" Id="rId153" Target="https://doi.org/10.1017/S0305000921000714" TargetMode="External" /><Relationship Type="http://schemas.openxmlformats.org/officeDocument/2006/relationships/hyperlink" Id="rId252"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71" Target="https://doi.org/10.1037/h0040957" TargetMode="External" /><Relationship Type="http://schemas.openxmlformats.org/officeDocument/2006/relationships/hyperlink" Id="rId289" Target="https://doi.org/10.1037/h0070288" TargetMode="External" /><Relationship Type="http://schemas.openxmlformats.org/officeDocument/2006/relationships/hyperlink" Id="rId181" Target="https://doi.org/10.1037/met0000065" TargetMode="External" /><Relationship Type="http://schemas.openxmlformats.org/officeDocument/2006/relationships/hyperlink" Id="rId310" Target="https://doi.org/10.1038/s41440-023-01322-x" TargetMode="External" /><Relationship Type="http://schemas.openxmlformats.org/officeDocument/2006/relationships/hyperlink" Id="rId185" Target="https://doi.org/10.1044/0161-1461(2010/09-0081)" TargetMode="External" /><Relationship Type="http://schemas.openxmlformats.org/officeDocument/2006/relationships/hyperlink" Id="rId218" Target="https://doi.org/10.1044/1058-0360.0302.81" TargetMode="External" /><Relationship Type="http://schemas.openxmlformats.org/officeDocument/2006/relationships/hyperlink" Id="rId246" Target="https://doi.org/10.1044/2014\_JSLHR-H-14-0190" TargetMode="External" /><Relationship Type="http://schemas.openxmlformats.org/officeDocument/2006/relationships/hyperlink" Id="rId220" Target="https://doi.org/10.1044/jshd.5404.482" TargetMode="External" /><Relationship Type="http://schemas.openxmlformats.org/officeDocument/2006/relationships/hyperlink" Id="rId169" Target="https://doi.org/10.1044/jshr.3202.347" TargetMode="External" /><Relationship Type="http://schemas.openxmlformats.org/officeDocument/2006/relationships/hyperlink" Id="rId274" Target="https://doi.org/10.1080/00031305.2012.695938" TargetMode="External" /><Relationship Type="http://schemas.openxmlformats.org/officeDocument/2006/relationships/hyperlink" Id="rId209" Target="https://doi.org/10.1080/00401706.1969.10490657" TargetMode="External" /><Relationship Type="http://schemas.openxmlformats.org/officeDocument/2006/relationships/hyperlink" Id="rId192" Target="https://doi.org/10.1080/0266476042000214501" TargetMode="External" /><Relationship Type="http://schemas.openxmlformats.org/officeDocument/2006/relationships/hyperlink" Id="rId200" Target="https://doi.org/10.1080/02699200400024863" TargetMode="External" /><Relationship Type="http://schemas.openxmlformats.org/officeDocument/2006/relationships/hyperlink" Id="rId308" Target="https://doi.org/10.1080/02699200410001663344" TargetMode="External" /><Relationship Type="http://schemas.openxmlformats.org/officeDocument/2006/relationships/hyperlink" Id="rId188" Target="https://doi.org/10.1080/02699206.2021.1988148" TargetMode="External" /><Relationship Type="http://schemas.openxmlformats.org/officeDocument/2006/relationships/hyperlink" Id="rId262" Target="https://doi.org/10.1080/0969594X.2012.665354" TargetMode="External" /><Relationship Type="http://schemas.openxmlformats.org/officeDocument/2006/relationships/hyperlink" Id="rId302" Target="https://doi.org/10.1080/0969594X.2019.1602027" TargetMode="External" /><Relationship Type="http://schemas.openxmlformats.org/officeDocument/2006/relationships/hyperlink" Id="rId177" Target="https://doi.org/10.1080/10705511.2014.882686" TargetMode="External" /><Relationship Type="http://schemas.openxmlformats.org/officeDocument/2006/relationships/hyperlink" Id="rId296" Target="https://doi.org/10.1093/applin/6.1.71" TargetMode="External" /><Relationship Type="http://schemas.openxmlformats.org/officeDocument/2006/relationships/hyperlink" Id="rId202" Target="https://doi.org/10.1093/deafed/enx001" TargetMode="External" /><Relationship Type="http://schemas.openxmlformats.org/officeDocument/2006/relationships/hyperlink" Id="rId190" Target="https://doi.org/10.1093/oxfordhb/9780190054045.013.3" TargetMode="External" /><Relationship Type="http://schemas.openxmlformats.org/officeDocument/2006/relationships/hyperlink" Id="rId155" Target="https://doi.org/10.1097/AUD.0b013e3182503e47" TargetMode="External" /><Relationship Type="http://schemas.openxmlformats.org/officeDocument/2006/relationships/hyperlink" Id="rId230" Target="https://doi.org/10.1111/1460-6984.12067" TargetMode="External" /><Relationship Type="http://schemas.openxmlformats.org/officeDocument/2006/relationships/hyperlink" Id="rId283" Target="https://doi.org/10.1111/1467-9868.00353" TargetMode="External" /><Relationship Type="http://schemas.openxmlformats.org/officeDocument/2006/relationships/hyperlink" Id="rId250" Target="https://doi.org/10.1111/1467-9922.00038" TargetMode="External" /><Relationship Type="http://schemas.openxmlformats.org/officeDocument/2006/relationships/hyperlink" Id="rId258"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5" Target="https://doi.org/10.1177/0962280217738142" TargetMode="External" /><Relationship Type="http://schemas.openxmlformats.org/officeDocument/2006/relationships/hyperlink" Id="rId175" Target="https://doi.org/10.1177/25152459221106366" TargetMode="External" /><Relationship Type="http://schemas.openxmlformats.org/officeDocument/2006/relationships/hyperlink" Id="rId159" Target="https://doi.org/10.1179/1754762813Y.0000000043" TargetMode="External" /><Relationship Type="http://schemas.openxmlformats.org/officeDocument/2006/relationships/hyperlink" Id="rId287" Target="https://doi.org/10.1186/s13063-022-06967-6" TargetMode="External" /><Relationship Type="http://schemas.openxmlformats.org/officeDocument/2006/relationships/hyperlink" Id="rId211"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8" Target="https://doi.org/10.1214/17-bjps354" TargetMode="External" /><Relationship Type="http://schemas.openxmlformats.org/officeDocument/2006/relationships/hyperlink" Id="rId300" Target="https://doi.org/10.1214/20-BA1221" TargetMode="External" /><Relationship Type="http://schemas.openxmlformats.org/officeDocument/2006/relationships/hyperlink" Id="rId173" Target="https://doi.org/10.1371/journal.pone.0254103" TargetMode="External" /><Relationship Type="http://schemas.openxmlformats.org/officeDocument/2006/relationships/hyperlink" Id="rId207" Target="https://doi.org/10.1515/9781614514909-038" TargetMode="External" /><Relationship Type="http://schemas.openxmlformats.org/officeDocument/2006/relationships/hyperlink" Id="rId167" Target="https://doi.org/10.2139/ssrn.3689437" TargetMode="External" /><Relationship Type="http://schemas.openxmlformats.org/officeDocument/2006/relationships/hyperlink" Id="rId239" Target="https://doi.org/10.21415/3mhn-0z89" TargetMode="External" /><Relationship Type="http://schemas.openxmlformats.org/officeDocument/2006/relationships/hyperlink" Id="rId278" Target="https://doi.org/10.2307/23042796" TargetMode="External" /><Relationship Type="http://schemas.openxmlformats.org/officeDocument/2006/relationships/hyperlink" Id="rId291" Target="https://doi.org/10.30931/jetas.321165" TargetMode="External" /><Relationship Type="http://schemas.openxmlformats.org/officeDocument/2006/relationships/hyperlink" Id="rId304" Target="https://doi.org/10.3102/1076998610396895" TargetMode="External" /><Relationship Type="http://schemas.openxmlformats.org/officeDocument/2006/relationships/hyperlink" Id="rId222" Target="https://doi.org/10.3109/02699206.2010.490003" TargetMode="External" /><Relationship Type="http://schemas.openxmlformats.org/officeDocument/2006/relationships/hyperlink" Id="rId163" Target="https://doi.org/10.3109/02699206.2014.926997" TargetMode="External" /><Relationship Type="http://schemas.openxmlformats.org/officeDocument/2006/relationships/hyperlink" Id="rId294" Target="https://doi.org/10.3366/E1753854809000305" TargetMode="External" /><Relationship Type="http://schemas.openxmlformats.org/officeDocument/2006/relationships/hyperlink" Id="rId224"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85" Target="https://mc-stan.org" TargetMode="External" /><Relationship Type="http://schemas.openxmlformats.org/officeDocument/2006/relationships/hyperlink" Id="rId268" Target="https://www.doi.org/10.1007/BF02295939" TargetMode="External" /><Relationship Type="http://schemas.openxmlformats.org/officeDocument/2006/relationships/hyperlink" Id="rId272" Target="https://www.doi.org/10.1016/j.jeconom.2004.08.017" TargetMode="External" /><Relationship Type="http://schemas.openxmlformats.org/officeDocument/2006/relationships/hyperlink" Id="rId234" Target="https://www.jirka.org/ra/html/frontmatter-1.html" TargetMode="External" /><Relationship Type="http://schemas.openxmlformats.org/officeDocument/2006/relationships/hyperlink" Id="rId306" Target="https://www.jmlr.org/papers/volume14/watanabe13a/watanabe13a.pdf" TargetMode="External" /><Relationship Type="http://schemas.openxmlformats.org/officeDocument/2006/relationships/hyperlink" Id="rId226" Target="https://www.sciencedirect.com/book/9780124058880/doing-bayesian-data-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2024-05-17T15:23:48Z</dcterms:created>
  <dcterms:modified xsi:type="dcterms:W3CDTF">2024-05-17T15:23:48Z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research aims to demonstrate the efficacy of the Generalized Linear Latent and Mixed Model (GLLAMM) (Rabe-Hesketh, Skrondal, and Pickles 2004a, 2004c, 2004b; Skrondal and Rabe-Hesketh 2004) in analyzing entropy scores for investigating speech intelligibility hypotheses. Using transcriptions from spontaneous speech data originally collected by Boonen et al. (2023), the study employs the Bayesian Beta-proportion GLLAMM to model the resulting entropy scores. The research compared the model’s prediction accuracy with the Normal Linear Mixed Model (LMM) (Holmes, Bolin, and Kelley 2019) and investigated its capacity to estimate a latent intelligibility from these entropy scores. The study also illustrates how researcher can explore hypotheses concerning the impact of speaker-related factors on intelligibility. Results show the superiority of the Beta-proportion GLLAMM in predicting empirical phenomena over the Normal LMM and its ability to quantify latent potential intelligibility. Additionally, the model facilitates hypothesis exploration concerning speaker-related factors and intelligibility. However, implementing these statistical tools require formulating assumptions about the data-generating process and knowledge of probabilistic programming languages, the core of Bayesian methods. Nevertheless, the study suggests future research directions, including causal hypothesis formulation and novel methods for intelligibility assessment. Ultimately, this research has implications for researchers and data analysts interested in quantitatively measuring intricate, unobservable constructs and accurately predicting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2024-05-17</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