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7.png" ContentType="image/png"/>
  <Override PartName="/word/media/rId54.png" ContentType="image/png"/>
  <Override PartName="/word/media/rId107.png" ContentType="image/png"/>
  <Override PartName="/word/media/rId112.png" ContentType="image/png"/>
  <Override PartName="/word/media/rId49.png" ContentType="image/png"/>
  <Override PartName="/word/media/rId61.png" ContentType="image/png"/>
  <Override PartName="/word/media/rId78.png" ContentType="image/png"/>
  <Override PartName="/word/media/rId84.png" ContentType="image/png"/>
  <Override PartName="/word/media/rId90.png" ContentType="image/png"/>
  <Override PartName="/word/media/rId137.png" ContentType="image/png"/>
  <Override PartName="/word/media/rId122.png" ContentType="image/png"/>
  <Override PartName="/word/media/rId127.png" ContentType="image/png"/>
  <Override PartName="/word/media/rId132.png" ContentType="image/png"/>
  <Override PartName="/word/media/rId72.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Everything,</w:t>
      </w:r>
      <w:r>
        <w:t xml:space="preserve"> </w:t>
      </w:r>
      <w:r>
        <w:t xml:space="preserve">altogether,</w:t>
      </w:r>
      <w:r>
        <w:t xml:space="preserve"> </w:t>
      </w:r>
      <w:r>
        <w:t xml:space="preserve">all</w:t>
      </w:r>
      <w:r>
        <w:t xml:space="preserve"> </w:t>
      </w:r>
      <w:r>
        <w:t xml:space="preserve">at</w:t>
      </w:r>
      <w:r>
        <w:t xml:space="preserve"> </w:t>
      </w:r>
      <w:r>
        <w:t xml:space="preserve">once:</w:t>
      </w:r>
      <w:r>
        <w:t xml:space="preserve"> </w:t>
      </w:r>
      <w:r>
        <w:t xml:space="preserve">Addressing</w:t>
      </w:r>
      <w:r>
        <w:t xml:space="preserve"> </w:t>
      </w:r>
      <w:r>
        <w:t xml:space="preserve">data</w:t>
      </w:r>
      <w:r>
        <w:t xml:space="preserve"> </w:t>
      </w:r>
      <w:r>
        <w:t xml:space="preserve">challenges</w:t>
      </w:r>
      <w:r>
        <w:t xml:space="preserve"> </w:t>
      </w:r>
      <w:r>
        <w:t xml:space="preserve">when</w:t>
      </w:r>
      <w:r>
        <w:t xml:space="preserve"> </w:t>
      </w:r>
      <w:r>
        <w:t xml:space="preserve">measuring</w:t>
      </w:r>
      <w:r>
        <w:t xml:space="preserve"> </w:t>
      </w:r>
      <w:r>
        <w:t xml:space="preserve">speech</w:t>
      </w:r>
      <w:r>
        <w:t xml:space="preserve"> </w:t>
      </w:r>
      <w:r>
        <w:t xml:space="preserve">intelligibility</w:t>
      </w:r>
      <w:r>
        <w:t xml:space="preserve"> </w:t>
      </w:r>
      <w:r>
        <w:t xml:space="preserve">through</w:t>
      </w:r>
      <w:r>
        <w:t xml:space="preserve"> </w:t>
      </w:r>
      <w:r>
        <w:t xml:space="preserve">entropy</w:t>
      </w:r>
      <w:r>
        <w:t xml:space="preserve"> </w:t>
      </w:r>
      <w:r>
        <w:t xml:space="preserve">scores</w:t>
      </w:r>
    </w:p>
    <w:p>
      <w:pPr>
        <w:pStyle w:val="Author"/>
      </w:pPr>
      <w:r>
        <w:t xml:space="preserve">Jose</w:t>
      </w:r>
      <w:r>
        <w:t xml:space="preserve"> </w:t>
      </w:r>
      <w:r>
        <w:t xml:space="preserve">Manuel</w:t>
      </w:r>
      <w:r>
        <w:t xml:space="preserve"> </w:t>
      </w:r>
      <w:r>
        <w:t xml:space="preserve">Rivera</w:t>
      </w:r>
      <w:r>
        <w:t xml:space="preserve"> </w:t>
      </w:r>
      <w:r>
        <w:t xml:space="preserve">Espejo</w:t>
      </w:r>
    </w:p>
    <w:p>
      <w:pPr>
        <w:pStyle w:val="Author"/>
      </w:pPr>
      <w:r>
        <w:t xml:space="preserve">Sven</w:t>
      </w:r>
      <w:r>
        <w:t xml:space="preserve"> </w:t>
      </w:r>
      <w:r>
        <w:t xml:space="preserve">De</w:t>
      </w:r>
      <w:r>
        <w:t xml:space="preserve"> </w:t>
      </w:r>
      <w:r>
        <w:t xml:space="preserve">Maeyer</w:t>
      </w:r>
    </w:p>
    <w:p>
      <w:pPr>
        <w:pStyle w:val="Author"/>
      </w:pPr>
      <w:r>
        <w:t xml:space="preserve">Steven</w:t>
      </w:r>
      <w:r>
        <w:t xml:space="preserve"> </w:t>
      </w:r>
      <w:r>
        <w:t xml:space="preserve">Gillis</w:t>
      </w:r>
    </w:p>
    <w:p>
      <w:pPr>
        <w:pStyle w:val="Date"/>
      </w:pPr>
      <w:r>
        <w:t xml:space="preserve">2024-04-06</w:t>
      </w:r>
    </w:p>
    <w:p>
      <w:pPr>
        <w:pStyle w:val="AbstractTitle"/>
      </w:pPr>
      <w:r>
        <w:t xml:space="preserve">Abstract</w:t>
      </w:r>
    </w:p>
    <w:p>
      <w:pPr>
        <w:pStyle w:val="Abstract"/>
      </w:pPr>
      <w:r>
        <w:t xml:space="preserve">Considering</w:t>
      </w:r>
      <w:r>
        <w:t xml:space="preserve"> </w:t>
      </w:r>
      <w:r>
        <w:t xml:space="preserve">the</w:t>
      </w:r>
      <w:r>
        <w:t xml:space="preserve"> </w:t>
      </w:r>
      <w:r>
        <w:t xml:space="preserve">imperative</w:t>
      </w:r>
      <w:r>
        <w:t xml:space="preserve"> </w:t>
      </w:r>
      <w:r>
        <w:t xml:space="preserve">need</w:t>
      </w:r>
      <w:r>
        <w:t xml:space="preserve"> </w:t>
      </w:r>
      <w:r>
        <w:t xml:space="preserve">to</w:t>
      </w:r>
      <w:r>
        <w:t xml:space="preserve"> </w:t>
      </w:r>
      <w:r>
        <w:t xml:space="preserve">comprehensively</w:t>
      </w:r>
      <w:r>
        <w:t xml:space="preserve"> </w:t>
      </w:r>
      <w:r>
        <w:t xml:space="preserve">address</w:t>
      </w:r>
      <w:r>
        <w:t xml:space="preserve"> </w:t>
      </w:r>
      <w:r>
        <w:t xml:space="preserve">all</w:t>
      </w:r>
      <w:r>
        <w:t xml:space="preserve"> </w:t>
      </w:r>
      <w:r>
        <w:t xml:space="preserve">data</w:t>
      </w:r>
      <w:r>
        <w:t xml:space="preserve"> </w:t>
      </w:r>
      <w:r>
        <w:t xml:space="preserve">features</w:t>
      </w:r>
      <w:r>
        <w:t xml:space="preserve"> </w:t>
      </w:r>
      <w:r>
        <w:t xml:space="preserve">when</w:t>
      </w:r>
      <w:r>
        <w:t xml:space="preserve"> </w:t>
      </w:r>
      <w:r>
        <w:t xml:space="preserve">investigating</w:t>
      </w:r>
      <w:r>
        <w:t xml:space="preserve"> </w:t>
      </w:r>
      <w:r>
        <w:t xml:space="preserve">unobservable</w:t>
      </w:r>
      <w:r>
        <w:t xml:space="preserve"> </w:t>
      </w:r>
      <w:r>
        <w:t xml:space="preserve">and</w:t>
      </w:r>
      <w:r>
        <w:t xml:space="preserve"> </w:t>
      </w:r>
      <w:r>
        <w:t xml:space="preserve">complex</w:t>
      </w:r>
      <w:r>
        <w:t xml:space="preserve"> </w:t>
      </w:r>
      <w:r>
        <w:t xml:space="preserve">traits,</w:t>
      </w:r>
      <w:r>
        <w:t xml:space="preserve"> </w:t>
      </w:r>
      <w:r>
        <w:t xml:space="preserve">this</w:t>
      </w:r>
      <w:r>
        <w:t xml:space="preserve"> </w:t>
      </w:r>
      <w:r>
        <w:t xml:space="preserve">research</w:t>
      </w:r>
      <w:r>
        <w:t xml:space="preserve"> </w:t>
      </w:r>
      <w:r>
        <w:t xml:space="preserve">aims</w:t>
      </w:r>
      <w:r>
        <w:t xml:space="preserve"> </w:t>
      </w:r>
      <w:r>
        <w:t xml:space="preserve">to</w:t>
      </w:r>
      <w:r>
        <w:t xml:space="preserve"> </w:t>
      </w:r>
      <w:r>
        <w:t xml:space="preserve">showcase</w:t>
      </w:r>
      <w:r>
        <w:t xml:space="preserve"> </w:t>
      </w:r>
      <w:r>
        <w:t xml:space="preserve">the</w:t>
      </w:r>
      <w:r>
        <w:t xml:space="preserve"> </w:t>
      </w:r>
      <w:r>
        <w:t xml:space="preserve">effectiveness</w:t>
      </w:r>
      <w:r>
        <w:t xml:space="preserve"> </w:t>
      </w:r>
      <w:r>
        <w:t xml:space="preserve">of</w:t>
      </w:r>
      <w:r>
        <w:t xml:space="preserve"> </w:t>
      </w:r>
      <w:r>
        <w:t xml:space="preserve">the</w:t>
      </w:r>
      <w:r>
        <w:t xml:space="preserve"> </w:t>
      </w:r>
      <w:r>
        <w:t xml:space="preserve">Generalized</w:t>
      </w:r>
      <w:r>
        <w:t xml:space="preserve"> </w:t>
      </w:r>
      <w:r>
        <w:t xml:space="preserve">Linear</w:t>
      </w:r>
      <w:r>
        <w:t xml:space="preserve"> </w:t>
      </w:r>
      <w:r>
        <w:t xml:space="preserve">Latent</w:t>
      </w:r>
      <w:r>
        <w:t xml:space="preserve"> </w:t>
      </w:r>
      <w:r>
        <w:t xml:space="preserve">and</w:t>
      </w:r>
      <w:r>
        <w:t xml:space="preserve"> </w:t>
      </w:r>
      <w:r>
        <w:t xml:space="preserve">Mixed</w:t>
      </w:r>
      <w:r>
        <w:t xml:space="preserve"> </w:t>
      </w:r>
      <w:r>
        <w:t xml:space="preserve">Model</w:t>
      </w:r>
      <w:r>
        <w:t xml:space="preserve"> </w:t>
      </w:r>
      <w:r>
        <w:t xml:space="preserve">(GLLAMM)</w:t>
      </w:r>
      <w:r>
        <w:t xml:space="preserve"> </w:t>
      </w:r>
      <w:r>
        <w:t xml:space="preserve">(Rabe-Hesketh,</w:t>
      </w:r>
      <w:r>
        <w:t xml:space="preserve"> </w:t>
      </w:r>
      <w:r>
        <w:t xml:space="preserve">Skrondal,</w:t>
      </w:r>
      <w:r>
        <w:t xml:space="preserve"> </w:t>
      </w:r>
      <w:r>
        <w:t xml:space="preserve">and</w:t>
      </w:r>
      <w:r>
        <w:t xml:space="preserve"> </w:t>
      </w:r>
      <w:r>
        <w:t xml:space="preserve">Pickles</w:t>
      </w:r>
      <w:r>
        <w:t xml:space="preserve"> </w:t>
      </w:r>
      <w:r>
        <w:t xml:space="preserve">2004a,</w:t>
      </w:r>
      <w:r>
        <w:t xml:space="preserve"> </w:t>
      </w:r>
      <w:r>
        <w:t xml:space="preserve">2004c,</w:t>
      </w:r>
      <w:r>
        <w:t xml:space="preserve"> </w:t>
      </w:r>
      <w:r>
        <w:t xml:space="preserve">2004b;</w:t>
      </w:r>
      <w:r>
        <w:t xml:space="preserve"> </w:t>
      </w:r>
      <w:r>
        <w:t xml:space="preserve">Skrondal</w:t>
      </w:r>
      <w:r>
        <w:t xml:space="preserve"> </w:t>
      </w:r>
      <w:r>
        <w:t xml:space="preserve">and</w:t>
      </w:r>
      <w:r>
        <w:t xml:space="preserve"> </w:t>
      </w:r>
      <w:r>
        <w:t xml:space="preserve">Rabe-Hesketh</w:t>
      </w:r>
      <w:r>
        <w:t xml:space="preserve"> </w:t>
      </w:r>
      <w:r>
        <w:t xml:space="preserve">2004)</w:t>
      </w:r>
      <w:r>
        <w:t xml:space="preserve"> </w:t>
      </w:r>
      <w:r>
        <w:t xml:space="preserve">in</w:t>
      </w:r>
      <w:r>
        <w:t xml:space="preserve"> </w:t>
      </w:r>
      <w:r>
        <w:t xml:space="preserve">handling</w:t>
      </w:r>
      <w:r>
        <w:t xml:space="preserve"> </w:t>
      </w:r>
      <w:r>
        <w:t xml:space="preserve">entropy</w:t>
      </w:r>
      <w:r>
        <w:t xml:space="preserve"> </w:t>
      </w:r>
      <w:r>
        <w:t xml:space="preserve">scores</w:t>
      </w:r>
      <w:r>
        <w:t xml:space="preserve"> </w:t>
      </w:r>
      <w:r>
        <w:t xml:space="preserve">for</w:t>
      </w:r>
      <w:r>
        <w:t xml:space="preserve"> </w:t>
      </w:r>
      <w:r>
        <w:t xml:space="preserve">investigating</w:t>
      </w:r>
      <w:r>
        <w:t xml:space="preserve"> </w:t>
      </w:r>
      <w:r>
        <w:t xml:space="preserve">speech</w:t>
      </w:r>
      <w:r>
        <w:t xml:space="preserve"> </w:t>
      </w:r>
      <w:r>
        <w:t xml:space="preserve">intelligibility</w:t>
      </w:r>
      <w:r>
        <w:t xml:space="preserve"> </w:t>
      </w:r>
      <w:r>
        <w:t xml:space="preserve">theories.</w:t>
      </w:r>
      <w:r>
        <w:t xml:space="preserve"> </w:t>
      </w:r>
      <w:r>
        <w:t xml:space="preserve">Utilizing</w:t>
      </w:r>
      <w:r>
        <w:t xml:space="preserve"> </w:t>
      </w:r>
      <w:r>
        <w:t xml:space="preserve">transcriptions</w:t>
      </w:r>
      <w:r>
        <w:t xml:space="preserve"> </w:t>
      </w:r>
      <w:r>
        <w:t xml:space="preserve">from</w:t>
      </w:r>
      <w:r>
        <w:t xml:space="preserve"> </w:t>
      </w:r>
      <w:r>
        <w:t xml:space="preserve">spontaneous</w:t>
      </w:r>
      <w:r>
        <w:t xml:space="preserve"> </w:t>
      </w:r>
      <w:r>
        <w:t xml:space="preserve">speech</w:t>
      </w:r>
      <w:r>
        <w:t xml:space="preserve"> </w:t>
      </w:r>
      <w:r>
        <w:t xml:space="preserve">data</w:t>
      </w:r>
      <w:r>
        <w:t xml:space="preserve"> </w:t>
      </w:r>
      <w:r>
        <w:t xml:space="preserve">originally</w:t>
      </w:r>
      <w:r>
        <w:t xml:space="preserve"> </w:t>
      </w:r>
      <w:r>
        <w:t xml:space="preserve">collected</w:t>
      </w:r>
      <w:r>
        <w:t xml:space="preserve"> </w:t>
      </w:r>
      <w:r>
        <w:t xml:space="preserve">by</w:t>
      </w:r>
      <w:r>
        <w:t xml:space="preserve"> </w:t>
      </w:r>
      <w:r>
        <w:t xml:space="preserve">Boonen</w:t>
      </w:r>
      <w:r>
        <w:t xml:space="preserve"> </w:t>
      </w:r>
      <w:r>
        <w:t xml:space="preserve">et</w:t>
      </w:r>
      <w:r>
        <w:t xml:space="preserve"> </w:t>
      </w:r>
      <w:r>
        <w:t xml:space="preserve">al.</w:t>
      </w:r>
      <w:r>
        <w:t xml:space="preserve"> </w:t>
      </w:r>
      <w:r>
        <w:t xml:space="preserve">(2021)</w:t>
      </w:r>
      <w:r>
        <w:t xml:space="preserve">,</w:t>
      </w:r>
      <w:r>
        <w:t xml:space="preserve"> </w:t>
      </w:r>
      <w:r>
        <w:t xml:space="preserve">the</w:t>
      </w:r>
      <w:r>
        <w:t xml:space="preserve"> </w:t>
      </w:r>
      <w:r>
        <w:t xml:space="preserve">Bayesian</w:t>
      </w:r>
      <w:r>
        <w:t xml:space="preserve"> </w:t>
      </w:r>
      <w:r>
        <w:t xml:space="preserve">Beta-proportion</w:t>
      </w:r>
      <w:r>
        <w:t xml:space="preserve"> </w:t>
      </w:r>
      <w:r>
        <w:t xml:space="preserve">GLLAMM</w:t>
      </w:r>
      <w:r>
        <w:t xml:space="preserve"> </w:t>
      </w:r>
      <w:r>
        <w:t xml:space="preserve">was</w:t>
      </w:r>
      <w:r>
        <w:t xml:space="preserve"> </w:t>
      </w:r>
      <w:r>
        <w:t xml:space="preserve">employed</w:t>
      </w:r>
      <w:r>
        <w:t xml:space="preserve"> </w:t>
      </w:r>
      <w:r>
        <w:t xml:space="preserve">to</w:t>
      </w:r>
      <w:r>
        <w:t xml:space="preserve"> </w:t>
      </w:r>
      <w:r>
        <w:t xml:space="preserve">model</w:t>
      </w:r>
      <w:r>
        <w:t xml:space="preserve"> </w:t>
      </w:r>
      <w:r>
        <w:t xml:space="preserve">the</w:t>
      </w:r>
      <w:r>
        <w:t xml:space="preserve"> </w:t>
      </w:r>
      <w:r>
        <w:t xml:space="preserve">resulting</w:t>
      </w:r>
      <w:r>
        <w:t xml:space="preserve"> </w:t>
      </w:r>
      <w:r>
        <w:t xml:space="preserve">entropy</w:t>
      </w:r>
      <w:r>
        <w:t xml:space="preserve"> </w:t>
      </w:r>
      <w:r>
        <w:t xml:space="preserve">scores.</w:t>
      </w:r>
      <w:r>
        <w:t xml:space="preserve"> </w:t>
      </w:r>
      <w:r>
        <w:t xml:space="preserve">The</w:t>
      </w:r>
      <w:r>
        <w:t xml:space="preserve"> </w:t>
      </w:r>
      <w:r>
        <w:t xml:space="preserve">study</w:t>
      </w:r>
      <w:r>
        <w:t xml:space="preserve"> </w:t>
      </w:r>
      <w:r>
        <w:t xml:space="preserve">compared</w:t>
      </w:r>
      <w:r>
        <w:t xml:space="preserve"> </w:t>
      </w:r>
      <w:r>
        <w:t xml:space="preserve">the</w:t>
      </w:r>
      <w:r>
        <w:t xml:space="preserve"> </w:t>
      </w:r>
      <w:r>
        <w:t xml:space="preserve">model’s</w:t>
      </w:r>
      <w:r>
        <w:t xml:space="preserve"> </w:t>
      </w:r>
      <w:r>
        <w:t xml:space="preserve">prediction</w:t>
      </w:r>
      <w:r>
        <w:t xml:space="preserve"> </w:t>
      </w:r>
      <w:r>
        <w:t xml:space="preserve">accuracy</w:t>
      </w:r>
      <w:r>
        <w:t xml:space="preserve"> </w:t>
      </w:r>
      <w:r>
        <w:t xml:space="preserve">with</w:t>
      </w:r>
      <w:r>
        <w:t xml:space="preserve"> </w:t>
      </w:r>
      <w:r>
        <w:t xml:space="preserve">the</w:t>
      </w:r>
      <w:r>
        <w:t xml:space="preserve"> </w:t>
      </w:r>
      <w:r>
        <w:t xml:space="preserve">Normal</w:t>
      </w:r>
      <w:r>
        <w:t xml:space="preserve"> </w:t>
      </w:r>
      <w:r>
        <w:t xml:space="preserve">Linear</w:t>
      </w:r>
      <w:r>
        <w:t xml:space="preserve"> </w:t>
      </w:r>
      <w:r>
        <w:t xml:space="preserve">Mixed</w:t>
      </w:r>
      <w:r>
        <w:t xml:space="preserve"> </w:t>
      </w:r>
      <w:r>
        <w:t xml:space="preserve">Model</w:t>
      </w:r>
      <w:r>
        <w:t xml:space="preserve"> </w:t>
      </w:r>
      <w:r>
        <w:t xml:space="preserve">(LMM)</w:t>
      </w:r>
      <w:r>
        <w:t xml:space="preserve"> </w:t>
      </w:r>
      <w:r>
        <w:t xml:space="preserve">(Holmes,</w:t>
      </w:r>
      <w:r>
        <w:t xml:space="preserve"> </w:t>
      </w:r>
      <w:r>
        <w:t xml:space="preserve">Bolin,</w:t>
      </w:r>
      <w:r>
        <w:t xml:space="preserve"> </w:t>
      </w:r>
      <w:r>
        <w:t xml:space="preserve">and</w:t>
      </w:r>
      <w:r>
        <w:t xml:space="preserve"> </w:t>
      </w:r>
      <w:r>
        <w:t xml:space="preserve">Kelley</w:t>
      </w:r>
      <w:r>
        <w:t xml:space="preserve"> </w:t>
      </w:r>
      <w:r>
        <w:t xml:space="preserve">2019)</w:t>
      </w:r>
      <w:r>
        <w:t xml:space="preserve"> </w:t>
      </w:r>
      <w:r>
        <w:t xml:space="preserve">and</w:t>
      </w:r>
      <w:r>
        <w:t xml:space="preserve"> </w:t>
      </w:r>
      <w:r>
        <w:t xml:space="preserve">investigated</w:t>
      </w:r>
      <w:r>
        <w:t xml:space="preserve"> </w:t>
      </w:r>
      <w:r>
        <w:t xml:space="preserve">its</w:t>
      </w:r>
      <w:r>
        <w:t xml:space="preserve"> </w:t>
      </w:r>
      <w:r>
        <w:t xml:space="preserve">capacity</w:t>
      </w:r>
      <w:r>
        <w:t xml:space="preserve"> </w:t>
      </w:r>
      <w:r>
        <w:t xml:space="preserve">to</w:t>
      </w:r>
      <w:r>
        <w:t xml:space="preserve"> </w:t>
      </w:r>
      <w:r>
        <w:t xml:space="preserve">estimate</w:t>
      </w:r>
      <w:r>
        <w:t xml:space="preserve"> </w:t>
      </w:r>
      <w:r>
        <w:t xml:space="preserve">a</w:t>
      </w:r>
      <w:r>
        <w:t xml:space="preserve"> </w:t>
      </w:r>
      <w:r>
        <w:t xml:space="preserve">latent</w:t>
      </w:r>
      <w:r>
        <w:t xml:space="preserve"> </w:t>
      </w:r>
      <w:r>
        <w:t xml:space="preserve">intelligibility</w:t>
      </w:r>
      <w:r>
        <w:t xml:space="preserve"> </w:t>
      </w:r>
      <w:r>
        <w:t xml:space="preserve">from</w:t>
      </w:r>
      <w:r>
        <w:t xml:space="preserve"> </w:t>
      </w:r>
      <w:r>
        <w:t xml:space="preserve">manifest</w:t>
      </w:r>
      <w:r>
        <w:t xml:space="preserve"> </w:t>
      </w:r>
      <w:r>
        <w:t xml:space="preserve">entropy</w:t>
      </w:r>
      <w:r>
        <w:t xml:space="preserve"> </w:t>
      </w:r>
      <w:r>
        <w:t xml:space="preserve">scores.</w:t>
      </w:r>
      <w:r>
        <w:t xml:space="preserve"> </w:t>
      </w:r>
      <w:r>
        <w:t xml:space="preserve">Additionally,</w:t>
      </w:r>
      <w:r>
        <w:t xml:space="preserve"> </w:t>
      </w:r>
      <w:r>
        <w:t xml:space="preserve">it</w:t>
      </w:r>
      <w:r>
        <w:t xml:space="preserve"> </w:t>
      </w:r>
      <w:r>
        <w:t xml:space="preserve">illustrated</w:t>
      </w:r>
      <w:r>
        <w:t xml:space="preserve"> </w:t>
      </w:r>
      <w:r>
        <w:t xml:space="preserve">how</w:t>
      </w:r>
      <w:r>
        <w:t xml:space="preserve"> </w:t>
      </w:r>
      <w:r>
        <w:t xml:space="preserve">the</w:t>
      </w:r>
      <w:r>
        <w:t xml:space="preserve"> </w:t>
      </w:r>
      <w:r>
        <w:t xml:space="preserve">model</w:t>
      </w:r>
      <w:r>
        <w:t xml:space="preserve"> </w:t>
      </w:r>
      <w:r>
        <w:t xml:space="preserve">can</w:t>
      </w:r>
      <w:r>
        <w:t xml:space="preserve"> </w:t>
      </w:r>
      <w:r>
        <w:t xml:space="preserve">explore</w:t>
      </w:r>
      <w:r>
        <w:t xml:space="preserve"> </w:t>
      </w:r>
      <w:r>
        <w:t xml:space="preserve">research</w:t>
      </w:r>
      <w:r>
        <w:t xml:space="preserve"> </w:t>
      </w:r>
      <w:r>
        <w:t xml:space="preserve">theories</w:t>
      </w:r>
      <w:r>
        <w:t xml:space="preserve"> </w:t>
      </w:r>
      <w:r>
        <w:t xml:space="preserve">concerning</w:t>
      </w:r>
      <w:r>
        <w:t xml:space="preserve"> </w:t>
      </w:r>
      <w:r>
        <w:t xml:space="preserve">the</w:t>
      </w:r>
      <w:r>
        <w:t xml:space="preserve"> </w:t>
      </w:r>
      <w:r>
        <w:t xml:space="preserve">impact</w:t>
      </w:r>
      <w:r>
        <w:t xml:space="preserve"> </w:t>
      </w:r>
      <w:r>
        <w:t xml:space="preserve">of</w:t>
      </w:r>
      <w:r>
        <w:t xml:space="preserve"> </w:t>
      </w:r>
      <w:r>
        <w:t xml:space="preserve">speaker-related</w:t>
      </w:r>
      <w:r>
        <w:t xml:space="preserve"> </w:t>
      </w:r>
      <w:r>
        <w:t xml:space="preserve">factors</w:t>
      </w:r>
      <w:r>
        <w:t xml:space="preserve"> </w:t>
      </w:r>
      <w:r>
        <w:t xml:space="preserve">on</w:t>
      </w:r>
      <w:r>
        <w:t xml:space="preserve"> </w:t>
      </w:r>
      <w:r>
        <w:t xml:space="preserve">intelligibility.</w:t>
      </w:r>
      <w:r>
        <w:t xml:space="preserve"> </w:t>
      </w:r>
      <w:r>
        <w:t xml:space="preserve">Results</w:t>
      </w:r>
      <w:r>
        <w:t xml:space="preserve"> </w:t>
      </w:r>
      <w:r>
        <w:t xml:space="preserve">demonstrate</w:t>
      </w:r>
      <w:r>
        <w:t xml:space="preserve"> </w:t>
      </w:r>
      <w:r>
        <w:t xml:space="preserve">the</w:t>
      </w:r>
      <w:r>
        <w:t xml:space="preserve"> </w:t>
      </w:r>
      <w:r>
        <w:t xml:space="preserve">consistent</w:t>
      </w:r>
      <w:r>
        <w:t xml:space="preserve"> </w:t>
      </w:r>
      <w:r>
        <w:t xml:space="preserve">superiority</w:t>
      </w:r>
      <w:r>
        <w:t xml:space="preserve"> </w:t>
      </w:r>
      <w:r>
        <w:t xml:space="preserve">of</w:t>
      </w:r>
      <w:r>
        <w:t xml:space="preserve"> </w:t>
      </w:r>
      <w:r>
        <w:t xml:space="preserve">the</w:t>
      </w:r>
      <w:r>
        <w:t xml:space="preserve"> </w:t>
      </w:r>
      <w:r>
        <w:t xml:space="preserve">Beta-proportion</w:t>
      </w:r>
      <w:r>
        <w:t xml:space="preserve"> </w:t>
      </w:r>
      <w:r>
        <w:t xml:space="preserve">GLLAMM</w:t>
      </w:r>
      <w:r>
        <w:t xml:space="preserve"> </w:t>
      </w:r>
      <w:r>
        <w:t xml:space="preserve">over</w:t>
      </w:r>
      <w:r>
        <w:t xml:space="preserve"> </w:t>
      </w:r>
      <w:r>
        <w:t xml:space="preserve">the</w:t>
      </w:r>
      <w:r>
        <w:t xml:space="preserve"> </w:t>
      </w:r>
      <w:r>
        <w:t xml:space="preserve">Normal</w:t>
      </w:r>
      <w:r>
        <w:t xml:space="preserve"> </w:t>
      </w:r>
      <w:r>
        <w:t xml:space="preserve">LMM</w:t>
      </w:r>
      <w:r>
        <w:t xml:space="preserve"> </w:t>
      </w:r>
      <w:r>
        <w:t xml:space="preserve">in</w:t>
      </w:r>
      <w:r>
        <w:t xml:space="preserve"> </w:t>
      </w:r>
      <w:r>
        <w:t xml:space="preserve">predicting</w:t>
      </w:r>
      <w:r>
        <w:t xml:space="preserve"> </w:t>
      </w:r>
      <w:r>
        <w:t xml:space="preserve">the</w:t>
      </w:r>
      <w:r>
        <w:t xml:space="preserve"> </w:t>
      </w:r>
      <w:r>
        <w:t xml:space="preserve">empirical</w:t>
      </w:r>
      <w:r>
        <w:t xml:space="preserve"> </w:t>
      </w:r>
      <w:r>
        <w:t xml:space="preserve">phenomena.</w:t>
      </w:r>
      <w:r>
        <w:t xml:space="preserve"> </w:t>
      </w:r>
      <w:r>
        <w:t xml:space="preserve">Furthermore,</w:t>
      </w:r>
      <w:r>
        <w:t xml:space="preserve"> </w:t>
      </w:r>
      <w:r>
        <w:t xml:space="preserve">the</w:t>
      </w:r>
      <w:r>
        <w:t xml:space="preserve"> </w:t>
      </w:r>
      <w:r>
        <w:t xml:space="preserve">model</w:t>
      </w:r>
      <w:r>
        <w:t xml:space="preserve"> </w:t>
      </w:r>
      <w:r>
        <w:t xml:space="preserve">effectively</w:t>
      </w:r>
      <w:r>
        <w:t xml:space="preserve"> </w:t>
      </w:r>
      <w:r>
        <w:t xml:space="preserve">quantified</w:t>
      </w:r>
      <w:r>
        <w:t xml:space="preserve"> </w:t>
      </w:r>
      <w:r>
        <w:t xml:space="preserve">the</w:t>
      </w:r>
      <w:r>
        <w:t xml:space="preserve"> </w:t>
      </w:r>
      <w:r>
        <w:t xml:space="preserve">latent</w:t>
      </w:r>
      <w:r>
        <w:t xml:space="preserve"> </w:t>
      </w:r>
      <w:r>
        <w:t xml:space="preserve">potential</w:t>
      </w:r>
      <w:r>
        <w:t xml:space="preserve"> </w:t>
      </w:r>
      <w:r>
        <w:t xml:space="preserve">intelligibility,</w:t>
      </w:r>
      <w:r>
        <w:t xml:space="preserve"> </w:t>
      </w:r>
      <w:r>
        <w:t xml:space="preserve">enabling</w:t>
      </w:r>
      <w:r>
        <w:t xml:space="preserve"> </w:t>
      </w:r>
      <w:r>
        <w:t xml:space="preserve">the</w:t>
      </w:r>
      <w:r>
        <w:t xml:space="preserve"> </w:t>
      </w:r>
      <w:r>
        <w:t xml:space="preserve">ranking</w:t>
      </w:r>
      <w:r>
        <w:t xml:space="preserve"> </w:t>
      </w:r>
      <w:r>
        <w:t xml:space="preserve">and</w:t>
      </w:r>
      <w:r>
        <w:t xml:space="preserve"> </w:t>
      </w:r>
      <w:r>
        <w:t xml:space="preserve">comparison</w:t>
      </w:r>
      <w:r>
        <w:t xml:space="preserve"> </w:t>
      </w:r>
      <w:r>
        <w:t xml:space="preserve">of</w:t>
      </w:r>
      <w:r>
        <w:t xml:space="preserve"> </w:t>
      </w:r>
      <w:r>
        <w:t xml:space="preserve">individuals</w:t>
      </w:r>
      <w:r>
        <w:t xml:space="preserve"> </w:t>
      </w:r>
      <w:r>
        <w:t xml:space="preserve">while</w:t>
      </w:r>
      <w:r>
        <w:t xml:space="preserve"> </w:t>
      </w:r>
      <w:r>
        <w:t xml:space="preserve">accommodating</w:t>
      </w:r>
      <w:r>
        <w:t xml:space="preserve"> </w:t>
      </w:r>
      <w:r>
        <w:t xml:space="preserve">for</w:t>
      </w:r>
      <w:r>
        <w:t xml:space="preserve"> </w:t>
      </w:r>
      <w:r>
        <w:t xml:space="preserve">uncertainties.</w:t>
      </w:r>
      <w:r>
        <w:t xml:space="preserve"> </w:t>
      </w:r>
      <w:r>
        <w:t xml:space="preserve">Lastly,</w:t>
      </w:r>
      <w:r>
        <w:t xml:space="preserve"> </w:t>
      </w:r>
      <w:r>
        <w:t xml:space="preserve">it</w:t>
      </w:r>
      <w:r>
        <w:t xml:space="preserve"> </w:t>
      </w:r>
      <w:r>
        <w:t xml:space="preserve">facilitated</w:t>
      </w:r>
      <w:r>
        <w:t xml:space="preserve"> </w:t>
      </w:r>
      <w:r>
        <w:t xml:space="preserve">exploration</w:t>
      </w:r>
      <w:r>
        <w:t xml:space="preserve"> </w:t>
      </w:r>
      <w:r>
        <w:t xml:space="preserve">of</w:t>
      </w:r>
      <w:r>
        <w:t xml:space="preserve"> </w:t>
      </w:r>
      <w:r>
        <w:t xml:space="preserve">theories</w:t>
      </w:r>
      <w:r>
        <w:t xml:space="preserve"> </w:t>
      </w:r>
      <w:r>
        <w:t xml:space="preserve">related</w:t>
      </w:r>
      <w:r>
        <w:t xml:space="preserve"> </w:t>
      </w:r>
      <w:r>
        <w:t xml:space="preserve">to</w:t>
      </w:r>
      <w:r>
        <w:t xml:space="preserve"> </w:t>
      </w:r>
      <w:r>
        <w:t xml:space="preserve">speaker-related</w:t>
      </w:r>
      <w:r>
        <w:t xml:space="preserve"> </w:t>
      </w:r>
      <w:r>
        <w:t xml:space="preserve">factors</w:t>
      </w:r>
      <w:r>
        <w:t xml:space="preserve"> </w:t>
      </w:r>
      <w:r>
        <w:t xml:space="preserve">and</w:t>
      </w:r>
      <w:r>
        <w:t xml:space="preserve"> </w:t>
      </w:r>
      <w:r>
        <w:t xml:space="preserve">intelligibility.</w:t>
      </w:r>
      <w:r>
        <w:t xml:space="preserve"> </w:t>
      </w:r>
      <w:r>
        <w:t xml:space="preserve">Despite</w:t>
      </w:r>
      <w:r>
        <w:t xml:space="preserve"> </w:t>
      </w:r>
      <w:r>
        <w:t xml:space="preserve">these</w:t>
      </w:r>
      <w:r>
        <w:t xml:space="preserve"> </w:t>
      </w:r>
      <w:r>
        <w:t xml:space="preserve">advantages,</w:t>
      </w:r>
      <w:r>
        <w:t xml:space="preserve"> </w:t>
      </w:r>
      <w:r>
        <w:t xml:space="preserve">the</w:t>
      </w:r>
      <w:r>
        <w:t xml:space="preserve"> </w:t>
      </w:r>
      <w:r>
        <w:t xml:space="preserve">introduction</w:t>
      </w:r>
      <w:r>
        <w:t xml:space="preserve"> </w:t>
      </w:r>
      <w:r>
        <w:t xml:space="preserve">of</w:t>
      </w:r>
      <w:r>
        <w:t xml:space="preserve"> </w:t>
      </w:r>
      <w:r>
        <w:t xml:space="preserve">these</w:t>
      </w:r>
      <w:r>
        <w:t xml:space="preserve"> </w:t>
      </w:r>
      <w:r>
        <w:t xml:space="preserve">innovative</w:t>
      </w:r>
      <w:r>
        <w:t xml:space="preserve"> </w:t>
      </w:r>
      <w:r>
        <w:t xml:space="preserve">statistical</w:t>
      </w:r>
      <w:r>
        <w:t xml:space="preserve"> </w:t>
      </w:r>
      <w:r>
        <w:t xml:space="preserve">tools</w:t>
      </w:r>
      <w:r>
        <w:t xml:space="preserve"> </w:t>
      </w:r>
      <w:r>
        <w:t xml:space="preserve">poses</w:t>
      </w:r>
      <w:r>
        <w:t xml:space="preserve"> </w:t>
      </w:r>
      <w:r>
        <w:t xml:space="preserve">challenges</w:t>
      </w:r>
      <w:r>
        <w:t xml:space="preserve"> </w:t>
      </w:r>
      <w:r>
        <w:t xml:space="preserve">for</w:t>
      </w:r>
      <w:r>
        <w:t xml:space="preserve"> </w:t>
      </w:r>
      <w:r>
        <w:t xml:space="preserve">researchers</w:t>
      </w:r>
      <w:r>
        <w:t xml:space="preserve"> </w:t>
      </w:r>
      <w:r>
        <w:t xml:space="preserve">seeking</w:t>
      </w:r>
      <w:r>
        <w:t xml:space="preserve"> </w:t>
      </w:r>
      <w:r>
        <w:t xml:space="preserve">implementation.</w:t>
      </w:r>
      <w:r>
        <w:t xml:space="preserve"> </w:t>
      </w:r>
      <w:r>
        <w:t xml:space="preserve">Nevertheless,</w:t>
      </w:r>
      <w:r>
        <w:t xml:space="preserve"> </w:t>
      </w:r>
      <w:r>
        <w:t xml:space="preserve">the</w:t>
      </w:r>
      <w:r>
        <w:t xml:space="preserve"> </w:t>
      </w:r>
      <w:r>
        <w:t xml:space="preserve">study</w:t>
      </w:r>
      <w:r>
        <w:t xml:space="preserve"> </w:t>
      </w:r>
      <w:r>
        <w:t xml:space="preserve">suggests</w:t>
      </w:r>
      <w:r>
        <w:t xml:space="preserve"> </w:t>
      </w:r>
      <w:r>
        <w:t xml:space="preserve">interesting</w:t>
      </w:r>
      <w:r>
        <w:t xml:space="preserve"> </w:t>
      </w:r>
      <w:r>
        <w:t xml:space="preserve">future</w:t>
      </w:r>
      <w:r>
        <w:t xml:space="preserve"> </w:t>
      </w:r>
      <w:r>
        <w:t xml:space="preserve">research</w:t>
      </w:r>
      <w:r>
        <w:t xml:space="preserve"> </w:t>
      </w:r>
      <w:r>
        <w:t xml:space="preserve">directions,</w:t>
      </w:r>
      <w:r>
        <w:t xml:space="preserve"> </w:t>
      </w:r>
      <w:r>
        <w:t xml:space="preserve">including</w:t>
      </w:r>
      <w:r>
        <w:t xml:space="preserve"> </w:t>
      </w:r>
      <w:r>
        <w:t xml:space="preserve">power</w:t>
      </w:r>
      <w:r>
        <w:t xml:space="preserve"> </w:t>
      </w:r>
      <w:r>
        <w:t xml:space="preserve">analysis,</w:t>
      </w:r>
      <w:r>
        <w:t xml:space="preserve"> </w:t>
      </w:r>
      <w:r>
        <w:t xml:space="preserve">causal</w:t>
      </w:r>
      <w:r>
        <w:t xml:space="preserve"> </w:t>
      </w:r>
      <w:r>
        <w:t xml:space="preserve">hypothesis</w:t>
      </w:r>
      <w:r>
        <w:t xml:space="preserve"> </w:t>
      </w:r>
      <w:r>
        <w:t xml:space="preserve">formulation,</w:t>
      </w:r>
      <w:r>
        <w:t xml:space="preserve"> </w:t>
      </w:r>
      <w:r>
        <w:t xml:space="preserve">and</w:t>
      </w:r>
      <w:r>
        <w:t xml:space="preserve"> </w:t>
      </w:r>
      <w:r>
        <w:t xml:space="preserve">exploration</w:t>
      </w:r>
      <w:r>
        <w:t xml:space="preserve"> </w:t>
      </w:r>
      <w:r>
        <w:t xml:space="preserve">of</w:t>
      </w:r>
      <w:r>
        <w:t xml:space="preserve"> </w:t>
      </w:r>
      <w:r>
        <w:t xml:space="preserve">novel</w:t>
      </w:r>
      <w:r>
        <w:t xml:space="preserve"> </w:t>
      </w:r>
      <w:r>
        <w:t xml:space="preserve">methods</w:t>
      </w:r>
      <w:r>
        <w:t xml:space="preserve"> </w:t>
      </w:r>
      <w:r>
        <w:t xml:space="preserve">for</w:t>
      </w:r>
      <w:r>
        <w:t xml:space="preserve"> </w:t>
      </w:r>
      <w:r>
        <w:t xml:space="preserve">intelligibility</w:t>
      </w:r>
      <w:r>
        <w:t xml:space="preserve"> </w:t>
      </w:r>
      <w:r>
        <w:t xml:space="preserve">assessment.</w:t>
      </w:r>
      <w:r>
        <w:t xml:space="preserve"> </w:t>
      </w:r>
      <w:r>
        <w:t xml:space="preserve">This</w:t>
      </w:r>
      <w:r>
        <w:t xml:space="preserve"> </w:t>
      </w:r>
      <w:r>
        <w:t xml:space="preserve">study</w:t>
      </w:r>
      <w:r>
        <w:t xml:space="preserve"> </w:t>
      </w:r>
      <w:r>
        <w:t xml:space="preserve">has</w:t>
      </w:r>
      <w:r>
        <w:t xml:space="preserve"> </w:t>
      </w:r>
      <w:r>
        <w:t xml:space="preserve">implications</w:t>
      </w:r>
      <w:r>
        <w:t xml:space="preserve"> </w:t>
      </w:r>
      <w:r>
        <w:t xml:space="preserve">for</w:t>
      </w:r>
      <w:r>
        <w:t xml:space="preserve"> </w:t>
      </w:r>
      <w:r>
        <w:t xml:space="preserve">researchers</w:t>
      </w:r>
      <w:r>
        <w:t xml:space="preserve"> </w:t>
      </w:r>
      <w:r>
        <w:t xml:space="preserve">and</w:t>
      </w:r>
      <w:r>
        <w:t xml:space="preserve"> </w:t>
      </w:r>
      <w:r>
        <w:t xml:space="preserve">data</w:t>
      </w:r>
      <w:r>
        <w:t xml:space="preserve"> </w:t>
      </w:r>
      <w:r>
        <w:t xml:space="preserve">analysts</w:t>
      </w:r>
      <w:r>
        <w:t xml:space="preserve"> </w:t>
      </w:r>
      <w:r>
        <w:t xml:space="preserve">interested</w:t>
      </w:r>
      <w:r>
        <w:t xml:space="preserve"> </w:t>
      </w:r>
      <w:r>
        <w:t xml:space="preserve">in</w:t>
      </w:r>
      <w:r>
        <w:t xml:space="preserve"> </w:t>
      </w:r>
      <w:r>
        <w:t xml:space="preserve">quantitatively</w:t>
      </w:r>
      <w:r>
        <w:t xml:space="preserve"> </w:t>
      </w:r>
      <w:r>
        <w:t xml:space="preserve">measuring</w:t>
      </w:r>
      <w:r>
        <w:t xml:space="preserve"> </w:t>
      </w:r>
      <w:r>
        <w:t xml:space="preserve">and</w:t>
      </w:r>
      <w:r>
        <w:t xml:space="preserve"> </w:t>
      </w:r>
      <w:r>
        <w:t xml:space="preserve">testing</w:t>
      </w:r>
      <w:r>
        <w:t xml:space="preserve"> </w:t>
      </w:r>
      <w:r>
        <w:t xml:space="preserve">theories</w:t>
      </w:r>
      <w:r>
        <w:t xml:space="preserve"> </w:t>
      </w:r>
      <w:r>
        <w:t xml:space="preserve">related</w:t>
      </w:r>
      <w:r>
        <w:t xml:space="preserve"> </w:t>
      </w:r>
      <w:r>
        <w:t xml:space="preserve">to</w:t>
      </w:r>
      <w:r>
        <w:t xml:space="preserve"> </w:t>
      </w:r>
      <w:r>
        <w:t xml:space="preserve">intricate,</w:t>
      </w:r>
      <w:r>
        <w:t xml:space="preserve"> </w:t>
      </w:r>
      <w:r>
        <w:t xml:space="preserve">unobservable</w:t>
      </w:r>
      <w:r>
        <w:t xml:space="preserve"> </w:t>
      </w:r>
      <w:r>
        <w:t xml:space="preserve">constructs,</w:t>
      </w:r>
      <w:r>
        <w:t xml:space="preserve"> </w:t>
      </w:r>
      <w:r>
        <w:t xml:space="preserve">while</w:t>
      </w:r>
      <w:r>
        <w:t xml:space="preserve"> </w:t>
      </w:r>
      <w:r>
        <w:t xml:space="preserve">emphasizing</w:t>
      </w:r>
      <w:r>
        <w:t xml:space="preserve"> </w:t>
      </w:r>
      <w:r>
        <w:t xml:space="preserve">the</w:t>
      </w:r>
      <w:r>
        <w:t xml:space="preserve"> </w:t>
      </w:r>
      <w:r>
        <w:t xml:space="preserve">accurate</w:t>
      </w:r>
      <w:r>
        <w:t xml:space="preserve"> </w:t>
      </w:r>
      <w:r>
        <w:t xml:space="preserve">prediction</w:t>
      </w:r>
      <w:r>
        <w:t xml:space="preserve"> </w:t>
      </w:r>
      <w:r>
        <w:t xml:space="preserve">of</w:t>
      </w:r>
      <w:r>
        <w:t xml:space="preserve"> </w:t>
      </w:r>
      <w:r>
        <w:t xml:space="preserve">empirical</w:t>
      </w:r>
      <w:r>
        <w:t xml:space="preserve"> </w:t>
      </w:r>
      <w:r>
        <w:t xml:space="preserve">phenomena.</w:t>
      </w:r>
    </w:p>
    <w:bookmarkStart w:id="21" w:name="sec-introduction"/>
    <w:p>
      <w:pPr>
        <w:pStyle w:val="Heading1"/>
      </w:pPr>
      <w:r>
        <w:t xml:space="preserve">Introduction</w:t>
      </w:r>
    </w:p>
    <w:p>
      <w:pPr>
        <w:pStyle w:val="FirstParagraph"/>
      </w:pPr>
      <w:r>
        <w:t xml:space="preserve">Intelligibility is at the core of successful, felicitous communication. Thus, being able to speak intelligibly is a major achievement in language acquisition and development. Moreover, intelligibility is considered to be the most practical index to assess competence in oral communication</w:t>
      </w:r>
      <w:r>
        <w:t xml:space="preserve"> </w:t>
      </w:r>
      <w:r>
        <w:t xml:space="preserve">(R. D. Kent, Miolo, and Bloedel 19943)</w:t>
      </w:r>
      <w:r>
        <w:t xml:space="preserve">. Consequently, it serves as a key indicator for evaluating the effectiveness of various interventions like speech therapy or cochlear implantation</w:t>
      </w:r>
      <w:r>
        <w:t xml:space="preserve"> </w:t>
      </w:r>
      <w:r>
        <w:t xml:space="preserve">(Chin, Bergeson, and Phan 2012)</w:t>
      </w:r>
      <w:r>
        <w:t xml:space="preserve">.</w:t>
      </w:r>
    </w:p>
    <w:p>
      <w:pPr>
        <w:pStyle w:val="BodyText"/>
      </w:pPr>
      <w:r>
        <w:t xml:space="preserve">The notion of speech intelligibility may appear deceptively simple, yet it is an intricate concept filled with inherent challenges in its assessment. Intelligibility refers to the extent to which a listener can accurately recover the elements in a speaker’s acoustic signal, such as phonemes or words</w:t>
      </w:r>
      <w:r>
        <w:t xml:space="preserve"> </w:t>
      </w:r>
      <w:r>
        <w:t xml:space="preserve">(Freeman et al. 2017; van Heuven 2008; Whitehill and Chau 2004)</w:t>
      </w:r>
      <w:r>
        <w:t xml:space="preserve">. Furthermore, achieving intelligible spoken language requires all core components of speech perception, cognitive processing, linguistic knowledge, and articulation to be mastered</w:t>
      </w:r>
      <w:r>
        <w:t xml:space="preserve"> </w:t>
      </w:r>
      <w:r>
        <w:t xml:space="preserve">(Freeman et al. 2017)</w:t>
      </w:r>
      <w:r>
        <w:t xml:space="preserve">. Hence, it is unsurprising that its accurate measurement faces challenges</w:t>
      </w:r>
      <w:r>
        <w:t xml:space="preserve"> </w:t>
      </w:r>
      <w:r>
        <w:t xml:space="preserve">(R. Kent et al. 1989)</w:t>
      </w:r>
      <w:r>
        <w:t xml:space="preserve">. These challenges arise from the interplay of its determinants, which encompass attributes of the communicative environment, such as background noise</w:t>
      </w:r>
      <w:r>
        <w:t xml:space="preserve"> </w:t>
      </w:r>
      <w:r>
        <w:t xml:space="preserve">(Munro 1998)</w:t>
      </w:r>
      <w:r>
        <w:t xml:space="preserve">, speaker features like speaking rate</w:t>
      </w:r>
      <w:r>
        <w:t xml:space="preserve"> </w:t>
      </w:r>
      <w:r>
        <w:t xml:space="preserve">(Munro and Derwing 1998)</w:t>
      </w:r>
      <w:r>
        <w:t xml:space="preserve"> </w:t>
      </w:r>
      <w:r>
        <w:t xml:space="preserve">or accent</w:t>
      </w:r>
      <w:r>
        <w:t xml:space="preserve"> </w:t>
      </w:r>
      <w:r>
        <w:t xml:space="preserve">(Jenkins 2000; Ockey, Papageorgiou, and French 2016)</w:t>
      </w:r>
      <w:r>
        <w:t xml:space="preserve">, and listener characteristics like vocabulary proficiency or hearing ability</w:t>
      </w:r>
      <w:r>
        <w:t xml:space="preserve"> </w:t>
      </w:r>
      <w:r>
        <w:t xml:space="preserve">(Varonis and Susan 1985)</w:t>
      </w:r>
      <w:r>
        <w:t xml:space="preserve">.</w:t>
      </w:r>
    </w:p>
    <w:p>
      <w:pPr>
        <w:pStyle w:val="BodyText"/>
      </w:pPr>
      <w:r>
        <w:t xml:space="preserve">While several approaches have been proposed to assess intelligibility, they commonly rely on two types of speech samples: read-aloud or imitated, and spontaneous speech samples. Most studies favor read-aloud or imitated speech samples due to the substantial control they offer in selecting stimuli for intelligibility assessment. Additionally, these types of speech facilitate a direct and unambiguous comparison between a defined word target, produced by a speaker, and the listener’s identification of it, as exemplified by multiple studies such as</w:t>
      </w:r>
      <w:r>
        <w:t xml:space="preserve"> </w:t>
      </w:r>
      <w:r>
        <w:t xml:space="preserve">Castellanos et al. (2014)</w:t>
      </w:r>
      <w:r>
        <w:t xml:space="preserve">,</w:t>
      </w:r>
      <w:r>
        <w:t xml:space="preserve"> </w:t>
      </w:r>
      <w:r>
        <w:t xml:space="preserve">Chin, Bergeson, and Phan (2012)</w:t>
      </w:r>
      <w:r>
        <w:t xml:space="preserve">,</w:t>
      </w:r>
      <w:r>
        <w:t xml:space="preserve"> </w:t>
      </w:r>
      <w:r>
        <w:t xml:space="preserve">Chin and Kuhns (2014)</w:t>
      </w:r>
      <w:r>
        <w:t xml:space="preserve">,</w:t>
      </w:r>
      <w:r>
        <w:t xml:space="preserve"> </w:t>
      </w:r>
      <w:r>
        <w:t xml:space="preserve">Freeman et al. (2017)</w:t>
      </w:r>
      <w:r>
        <w:t xml:space="preserve">,</w:t>
      </w:r>
      <w:r>
        <w:t xml:space="preserve"> </w:t>
      </w:r>
      <w:r>
        <w:t xml:space="preserve">Khwaileh and Flipsen (2010)</w:t>
      </w:r>
      <w:r>
        <w:t xml:space="preserve">, and</w:t>
      </w:r>
      <w:r>
        <w:t xml:space="preserve"> </w:t>
      </w:r>
      <w:r>
        <w:t xml:space="preserve">Montag et al. (2014)</w:t>
      </w:r>
      <w:r>
        <w:t xml:space="preserve">. However, it has been demonstrated that these controlled speech samples exhibit limited efficacy in predicting intelligibility among hearing-impaired individuals</w:t>
      </w:r>
      <w:r>
        <w:t xml:space="preserve"> </w:t>
      </w:r>
      <w:r>
        <w:t xml:space="preserve">(Cox et al. 1989; Ertmer 2011)</w:t>
      </w:r>
      <w:r>
        <w:t xml:space="preserve">. In contrast, spontaneous speech samples offer a more ecologically valid means for assessing intelligibility, as they resemble everyday informal speech more compared to read-aloud or imitated speech</w:t>
      </w:r>
      <w:r>
        <w:t xml:space="preserve"> </w:t>
      </w:r>
      <w:r>
        <w:t xml:space="preserve">(Boonen et al. 2021)</w:t>
      </w:r>
      <w:r>
        <w:t xml:space="preserve">. However, establishing a straightforward comparison between a predetermined word target and a listener’s identification of it using spontaneous speech is no longer possible, since such a target is non-existent. Therefore, the link between a word target and a listener’s identification of it can only be inferred indirectly</w:t>
      </w:r>
      <w:r>
        <w:t xml:space="preserve"> </w:t>
      </w:r>
      <w:r>
        <w:t xml:space="preserve">(Flipsen 2006; Lagerberg et al. 2014)</w:t>
      </w:r>
      <w:r>
        <w:t xml:space="preserve">.</w:t>
      </w:r>
    </w:p>
    <w:p>
      <w:pPr>
        <w:pStyle w:val="BodyText"/>
      </w:pPr>
      <w:r>
        <w:t xml:space="preserve">Yet, a metric of intelligibility can still be derived from transcriptions of spontaneous speech samples. In this approach, listeners transcribe orthographically multiple spontaneous speech samples produced by various speakers. These transcriptions are then aggregated into entropy scores, where lower scores indicate a higher degree of agreement among the listener’s transcriptions and, consequently, higher intelligibility, while higher scores suggest lower intelligibility due to a lower degree of agreement in the transcriptions</w:t>
      </w:r>
      <w:r>
        <w:t xml:space="preserve"> </w:t>
      </w:r>
      <w:r>
        <w:t xml:space="preserve">(Boonen et al. 2021; Faes, De Maeyer, and Gillis 2021)</w:t>
      </w:r>
      <w:r>
        <w:t xml:space="preserve">. Notably, the aggregation procedure assumes that speech samples are considered</w:t>
      </w:r>
      <w:r>
        <w:t xml:space="preserve"> </w:t>
      </w:r>
      <w:r>
        <w:t xml:space="preserve">“</w:t>
      </w:r>
      <w:r>
        <w:t xml:space="preserve">intelligible</w:t>
      </w:r>
      <w:r>
        <w:t xml:space="preserve">”</w:t>
      </w:r>
      <w:r>
        <w:t xml:space="preserve"> </w:t>
      </w:r>
      <w:r>
        <w:t xml:space="preserve">if all listeners decode them in the same manner. These scores have been instrumental in examining differences in speakers’ speech intelligibility, particularly between children with normal hearing and those with cochlear implants</w:t>
      </w:r>
      <w:r>
        <w:t xml:space="preserve"> </w:t>
      </w:r>
      <w:r>
        <w:t xml:space="preserve">(Boonen et al. 2021)</w:t>
      </w:r>
      <w:r>
        <w:t xml:space="preserve">.</w:t>
      </w:r>
    </w:p>
    <w:p>
      <w:pPr>
        <w:pStyle w:val="BodyText"/>
      </w:pPr>
      <w:r>
        <w:t xml:space="preserve">However, despite their potential as a fine-grained metric of intelligibility, as proposed by</w:t>
      </w:r>
      <w:r>
        <w:t xml:space="preserve"> </w:t>
      </w:r>
      <w:r>
        <w:t xml:space="preserve">Boonen et al. (2021)</w:t>
      </w:r>
      <w:r>
        <w:t xml:space="preserve">, they exhibit a statistical complexity that cautions researchers against treating them as straightforward indices of intelligibility. This complexity emerges from the processes of data collection and transcription aggregation, endowing the scores with four distinctive features: boundedness, measurement error, clustering, and the possible presence of outliers and heteroscedasticity. Firstly, entropy scores are confined to the interval between zero and one, a phenomenon known as boundedness. Boundedness refers to the restriction of data values within specific bounds or intervals, beyond which they cannot occur</w:t>
      </w:r>
      <w:r>
        <w:t xml:space="preserve"> </w:t>
      </w:r>
      <w:r>
        <w:t xml:space="preserve">(Lebl 2022)</w:t>
      </w:r>
      <w:r>
        <w:t xml:space="preserve">. Secondly, entropy scores are a manifestation of a speaker’s intelligibility, with this intelligibility being the primary factor influencing the observed scores. This issue is commonly referred to as measurement error, signifying the disparity between the observed values of a variable, recorded under similar conditions, and some fixed</w:t>
      </w:r>
      <w:r>
        <w:t xml:space="preserve"> </w:t>
      </w:r>
      <w:r>
        <w:rPr>
          <w:i/>
          <w:iCs/>
        </w:rPr>
        <w:t xml:space="preserve">true value</w:t>
      </w:r>
      <w:r>
        <w:t xml:space="preserve"> </w:t>
      </w:r>
      <w:r>
        <w:t xml:space="preserve">which is not directly observable</w:t>
      </w:r>
      <w:r>
        <w:t xml:space="preserve"> </w:t>
      </w:r>
      <w:r>
        <w:t xml:space="preserve">(Everitt and Skrondal 2010)</w:t>
      </w:r>
      <w:r>
        <w:t xml:space="preserve">. Thirdly, due to the repeated assessment of speakers through multiple speech samples, the scores exhibit clustering. Clustering occurs when outcomes stem from repeated measurements of the same individual, location, or time</w:t>
      </w:r>
      <w:r>
        <w:t xml:space="preserve"> </w:t>
      </w:r>
      <w:r>
        <w:t xml:space="preserve">(McElreath 2020)</w:t>
      </w:r>
      <w:r>
        <w:t xml:space="preserve">. Lastly, driven by the specific small set of speakers and speech samples under scrutiny, these scores often display a potential for the presence of outliers and heteroscedasticity. Outliers are observations that markedly deviate from other sample data points in which they occur, while heteroscedasticity occurs when the outcome’s variance depends on the values of another variable</w:t>
      </w:r>
      <w:r>
        <w:t xml:space="preserve"> </w:t>
      </w:r>
      <w:r>
        <w:t xml:space="preserve">(Everitt and Skrondal 2010)</w:t>
      </w:r>
      <w:r>
        <w:t xml:space="preserve">.</w:t>
      </w:r>
    </w:p>
    <w:p>
      <w:pPr>
        <w:pStyle w:val="BodyText"/>
      </w:pPr>
      <w:r>
        <w:t xml:space="preserve">Failure to collectively address these data features can result in numerous statistical challenges that might hamper the researcher’s ability to investigate intelligibility. Notably, neglecting boundedness can, at best, lead to underfitting and, at worst, to misspecification. Underfitting occurs when statistical models fail to capture the underlying data patterns, potentially causing the generation of predictions outside the data range, thus hindering the model’s ability to generalize when confronted with new data. Conversely, misspecification, marked by a poor representation of relevant aspects of the true data in the model’s functional form, can lead to inconsistent and less precise parameter estimates</w:t>
      </w:r>
      <w:r>
        <w:t xml:space="preserve"> </w:t>
      </w:r>
      <w:r>
        <w:t xml:space="preserve">(Everitt and Skrondal 2010)</w:t>
      </w:r>
      <w:r>
        <w:t xml:space="preserve">. Additionally, overlooking issues such as measurement error, clustering, outliers, or heteroscedasticity can lead to biased and less precise parameter estimates</w:t>
      </w:r>
      <w:r>
        <w:t xml:space="preserve"> </w:t>
      </w:r>
      <w:r>
        <w:t xml:space="preserve">(McElreath 2020)</w:t>
      </w:r>
      <w:r>
        <w:t xml:space="preserve">, ultimately diminishing the statistical power of models and increasing the likelihood of committing type I or type II errors when addressing research inquiries.</w:t>
      </w:r>
    </w:p>
    <w:p>
      <w:pPr>
        <w:pStyle w:val="BodyText"/>
      </w:pPr>
      <w:r>
        <w:t xml:space="preserve">In the realm of computational statistics and data analysis, several models have been developed to address some of these data features individually and, at times, collectively. For instance,</w:t>
      </w:r>
      <w:r>
        <w:t xml:space="preserve"> </w:t>
      </w:r>
      <w:r>
        <w:t xml:space="preserve">Ferrari and Cribari-Neto (2004)</w:t>
      </w:r>
      <w:r>
        <w:t xml:space="preserve"> </w:t>
      </w:r>
      <w:r>
        <w:t xml:space="preserve">and</w:t>
      </w:r>
      <w:r>
        <w:t xml:space="preserve"> </w:t>
      </w:r>
      <w:r>
        <w:t xml:space="preserve">Simas, Barreto-Souza, and Rocha (2010)</w:t>
      </w:r>
      <w:r>
        <w:t xml:space="preserve"> </w:t>
      </w:r>
      <w:r>
        <w:t xml:space="preserve">initially introduced and expanded beta regression models to handle outcomes constrained within the unit interval. Subsequently,</w:t>
      </w:r>
      <w:r>
        <w:t xml:space="preserve"> </w:t>
      </w:r>
      <w:r>
        <w:t xml:space="preserve">Figueroa-Zúñiga, Arellano-Valle, and Ferrari (2013)</w:t>
      </w:r>
      <w:r>
        <w:t xml:space="preserve"> </w:t>
      </w:r>
      <w:r>
        <w:t xml:space="preserve">extended these models to address data clustering. Over time, beta regression models have evolved to accommodate clustering and measurement errors in covariates, as demonstrated by</w:t>
      </w:r>
      <w:r>
        <w:t xml:space="preserve"> </w:t>
      </w:r>
      <w:r>
        <w:t xml:space="preserve">Carrasco, Ferrari, and Arellano-Valle (2012)</w:t>
      </w:r>
      <w:r>
        <w:t xml:space="preserve"> </w:t>
      </w:r>
      <w:r>
        <w:t xml:space="preserve">and</w:t>
      </w:r>
      <w:r>
        <w:t xml:space="preserve"> </w:t>
      </w:r>
      <w:r>
        <w:t xml:space="preserve">Figueroa-Zúñiga et al. (2018)</w:t>
      </w:r>
      <w:r>
        <w:t xml:space="preserve">. Furthermore, robust versions of these models have been proposed to account for other statistical data issues, such as outliers and heteroscedasticity, as seen in</w:t>
      </w:r>
      <w:r>
        <w:t xml:space="preserve"> </w:t>
      </w:r>
      <w:r>
        <w:t xml:space="preserve">Bayes, Bazán, and García (2012)</w:t>
      </w:r>
      <w:r>
        <w:t xml:space="preserve"> </w:t>
      </w:r>
      <w:r>
        <w:t xml:space="preserve">and</w:t>
      </w:r>
      <w:r>
        <w:t xml:space="preserve"> </w:t>
      </w:r>
      <w:r>
        <w:t xml:space="preserve">Figueroa-Zúñiga et al. (2021)</w:t>
      </w:r>
      <w:r>
        <w:t xml:space="preserve">. Robust models are a general class of statistical procedures designed to reduce the sensitivity of the parameter estimates to mild or moderate departures of the data from the model’s assumptions</w:t>
      </w:r>
      <w:r>
        <w:t xml:space="preserve"> </w:t>
      </w:r>
      <w:r>
        <w:t xml:space="preserve">(Everitt and Skrondal 2010)</w:t>
      </w:r>
      <w:r>
        <w:t xml:space="preserve">. Ultimately, the work of Rabe-Hesketh and colleagues introduced the Generalized Linear Latent and Mixed Model (GLLAMM)</w:t>
      </w:r>
      <w:r>
        <w:t xml:space="preserve"> </w:t>
      </w:r>
      <w:r>
        <w:t xml:space="preserve">(Rabe-Hesketh, Skrondal, and Pickles 2004a, 2004c, 2004b; Skrondal and Rabe-Hesketh 2004)</w:t>
      </w:r>
      <w:r>
        <w:t xml:space="preserve">, a unified framework that can simultaneously tackle with all of the aforementioned data features.</w:t>
      </w:r>
    </w:p>
    <w:p>
      <w:pPr>
        <w:pStyle w:val="BodyText"/>
      </w:pPr>
      <w:r>
        <w:t xml:space="preserve">All of these models have found moderate adoption in various fields, including speech communication</w:t>
      </w:r>
      <w:r>
        <w:t xml:space="preserve"> </w:t>
      </w:r>
      <w:r>
        <w:t xml:space="preserve">(Boonen et al. 2021)</w:t>
      </w:r>
      <w:r>
        <w:t xml:space="preserve">, psychology</w:t>
      </w:r>
      <w:r>
        <w:t xml:space="preserve"> </w:t>
      </w:r>
      <w:r>
        <w:t xml:space="preserve">(Unlu and Aktas 2017)</w:t>
      </w:r>
      <w:r>
        <w:t xml:space="preserve">, cognition</w:t>
      </w:r>
      <w:r>
        <w:t xml:space="preserve"> </w:t>
      </w:r>
      <w:r>
        <w:t xml:space="preserve">(Verkuilen and Smithson 2013; Lopes et al. 2023)</w:t>
      </w:r>
      <w:r>
        <w:t xml:space="preserve">, education</w:t>
      </w:r>
      <w:r>
        <w:t xml:space="preserve"> </w:t>
      </w:r>
      <w:r>
        <w:t xml:space="preserve">(Pereira et al. 2020)</w:t>
      </w:r>
      <w:r>
        <w:t xml:space="preserve">, health care [</w:t>
      </w:r>
      <w:r>
        <w:t xml:space="preserve">Ghosh (2019)</w:t>
      </w:r>
      <w:r>
        <w:t xml:space="preserve">; Kangmennaang_et_al_2023], chemistry</w:t>
      </w:r>
      <w:r>
        <w:t xml:space="preserve"> </w:t>
      </w:r>
      <w:r>
        <w:t xml:space="preserve">(de Brito Trindade et al. 2021)</w:t>
      </w:r>
      <w:r>
        <w:t xml:space="preserve">, and policy analysis</w:t>
      </w:r>
      <w:r>
        <w:t xml:space="preserve"> </w:t>
      </w:r>
      <w:r>
        <w:t xml:space="preserve">(Dieteren et al. 2023; Choi 2023; Zhang, Du, and Huang 2023)</w:t>
      </w:r>
      <w:r>
        <w:t xml:space="preserve">. Specifically, in the domain of speech communication,</w:t>
      </w:r>
      <w:r>
        <w:t xml:space="preserve"> </w:t>
      </w:r>
      <w:r>
        <w:t xml:space="preserve">Boonen et al. (2021)</w:t>
      </w:r>
      <w:r>
        <w:t xml:space="preserve"> </w:t>
      </w:r>
      <w:r>
        <w:t xml:space="preserve">addressed data clustering within the context of intelligibility research. Conversely,</w:t>
      </w:r>
      <w:r>
        <w:t xml:space="preserve"> </w:t>
      </w:r>
      <w:r>
        <w:t xml:space="preserve">de Brito Trindade et al. (2021)</w:t>
      </w:r>
      <w:r>
        <w:t xml:space="preserve"> </w:t>
      </w:r>
      <w:r>
        <w:t xml:space="preserve">and</w:t>
      </w:r>
      <w:r>
        <w:t xml:space="preserve"> </w:t>
      </w:r>
      <w:r>
        <w:t xml:space="preserve">Kangmennaang, Siiba, and Bisung (2023)</w:t>
      </w:r>
      <w:r>
        <w:t xml:space="preserve"> </w:t>
      </w:r>
      <w:r>
        <w:t xml:space="preserve">concentrated on tackling non-normal bounded data with measurement error in covariates, within the context of chemical reactions and health care access, respectively. Remarkably, despite these individual efforts, there is, to the best of the authors’ knowledge, no study comprehensively addressing all of these data features in a principled way while also transparently and systematically documenting the Bayesian estimation of the resulting statistical models.</w:t>
      </w:r>
    </w:p>
    <w:bookmarkStart w:id="20" w:name="sec-I-RQ"/>
    <w:p>
      <w:pPr>
        <w:pStyle w:val="Heading2"/>
      </w:pPr>
      <w:r>
        <w:t xml:space="preserve">Research questions</w:t>
      </w:r>
    </w:p>
    <w:p>
      <w:pPr>
        <w:pStyle w:val="FirstParagraph"/>
      </w:pPr>
      <w:r>
        <w:t xml:space="preserve">Considering the imperative need to comprehensively address all data features when investigating unobservable and complex traits, this investigation aims to demonstrate the efficacy of the Generalized Linear Latent and Mixed Model (GLLAMM) in handling entropy scores features when exploring research theories concerning speech intelligibility. To achieve this objective, the study will reexamine data originating from transcriptions of spontaneous speech samples, initially collected by</w:t>
      </w:r>
      <w:r>
        <w:t xml:space="preserve"> </w:t>
      </w:r>
      <w:r>
        <w:t xml:space="preserve">Boonen et al. (2021)</w:t>
      </w:r>
      <w:r>
        <w:t xml:space="preserve">. Subsequently, this data will be aggregated into entropy scores and subjected to modeling through the Bayesian Beta-proportion GLLAMM.</w:t>
      </w:r>
    </w:p>
    <w:p>
      <w:pPr>
        <w:pStyle w:val="BodyText"/>
      </w:pPr>
      <w:r>
        <w:t xml:space="preserve">To address the primary objective, the study poses three key research questions. First, given the importance of accurate predictions in developing useful practical models and testing research theories</w:t>
      </w:r>
      <w:r>
        <w:t xml:space="preserve"> </w:t>
      </w:r>
      <w:r>
        <w:t xml:space="preserve">(Shmueli and Koppius 2011)</w:t>
      </w:r>
      <w:r>
        <w:t xml:space="preserve">,</w:t>
      </w:r>
      <w:r>
        <w:t xml:space="preserve"> </w:t>
      </w:r>
      <w:r>
        <w:rPr>
          <w:i/>
          <w:iCs/>
        </w:rPr>
        <w:t xml:space="preserve">Research Question 1 (RQ1)</w:t>
      </w:r>
      <w:r>
        <w:t xml:space="preserve"> </w:t>
      </w:r>
      <w:r>
        <w:t xml:space="preserve">evaluates whether the Beta-proportion GLLAMM yields more accurate predictions than the widely used Normal Linear Mixed Model (LMM)</w:t>
      </w:r>
      <w:r>
        <w:t xml:space="preserve"> </w:t>
      </w:r>
      <w:r>
        <w:t xml:space="preserve">(Holmes, Bolin, and Kelley 2019)</w:t>
      </w:r>
      <w:r>
        <w:t xml:space="preserve">. Second, acknowledging that intelligibility is an unobservable, intricate concept and a key indicator of oral communication competence</w:t>
      </w:r>
      <w:r>
        <w:t xml:space="preserve"> </w:t>
      </w:r>
      <w:r>
        <w:t xml:space="preserve">(R. D. Kent, Miolo, and Bloedel 19943)</w:t>
      </w:r>
      <w:r>
        <w:t xml:space="preserve">,</w:t>
      </w:r>
      <w:r>
        <w:t xml:space="preserve"> </w:t>
      </w:r>
      <w:r>
        <w:rPr>
          <w:i/>
          <w:iCs/>
        </w:rPr>
        <w:t xml:space="preserve">Research Question 2 (RQ2)</w:t>
      </w:r>
      <w:r>
        <w:t xml:space="preserve"> </w:t>
      </w:r>
      <w:r>
        <w:t xml:space="preserve">investigates how the proposed model can estimate speakers’ latent intelligibility from manifest entropy scores. Thirdly, recognizing that research involves developing and comparing theories,</w:t>
      </w:r>
      <w:r>
        <w:t xml:space="preserve"> </w:t>
      </w:r>
      <w:r>
        <w:rPr>
          <w:i/>
          <w:iCs/>
        </w:rPr>
        <w:t xml:space="preserve">Research Question 3 (RQ3)</w:t>
      </w:r>
      <w:r>
        <w:t xml:space="preserve"> </w:t>
      </w:r>
      <w:r>
        <w:t xml:space="preserve">illustrates how these research theories can be examined within the model’s framework. Specifically, RQ3 assesses the influence of speaker-related factors on the newly estimated latent intelligibility.</w:t>
      </w:r>
    </w:p>
    <w:p>
      <w:pPr>
        <w:pStyle w:val="BodyText"/>
      </w:pPr>
      <w:r>
        <w:t xml:space="preserve">The findings of this study will equip researchers investigating speech intelligibility using entropy scores, or those grappling with similar data challenges, with a statistical tool that improves upon existing research models. The tool will provide an assessment of the predictability of empirical phenomena, along with the capability to develop a quantitative measure for the latent variable of interest. The latter, in turn, will facilitate the appropriate comparison of existing theories related to the latent variable, and even the development of new ones.</w:t>
      </w:r>
    </w:p>
    <w:bookmarkEnd w:id="20"/>
    <w:bookmarkEnd w:id="21"/>
    <w:bookmarkStart w:id="48" w:name="sec-methods"/>
    <w:p>
      <w:pPr>
        <w:pStyle w:val="Heading1"/>
      </w:pPr>
      <w:r>
        <w:t xml:space="preserve">Methods</w:t>
      </w:r>
    </w:p>
    <w:bookmarkStart w:id="28" w:name="sec-M-D"/>
    <w:p>
      <w:pPr>
        <w:pStyle w:val="Heading2"/>
      </w:pPr>
      <w:r>
        <w:t xml:space="preserve">Data</w:t>
      </w:r>
    </w:p>
    <w:p>
      <w:pPr>
        <w:pStyle w:val="FirstParagraph"/>
      </w:pPr>
      <w:r>
        <w:t xml:space="preserve">The data comprised the transcriptions of spontaneous speech samples originally collected by</w:t>
      </w:r>
      <w:r>
        <w:t xml:space="preserve"> </w:t>
      </w:r>
      <w:r>
        <w:t xml:space="preserve">Boonen et al. (2021)</w:t>
      </w:r>
      <w:r>
        <w:t xml:space="preserve">. The data is not publicly available due to privacy restrictions. Nonetheless, the data can be provided by the corresponding author upon reasonable request.</w:t>
      </w:r>
    </w:p>
    <w:bookmarkStart w:id="22" w:name="sec-M-S"/>
    <w:p>
      <w:pPr>
        <w:pStyle w:val="Heading3"/>
      </w:pPr>
      <w:r>
        <w:t xml:space="preserve">Speakers</w:t>
      </w:r>
    </w:p>
    <w:p>
      <w:pPr>
        <w:pStyle w:val="FirstParagraph"/>
      </w:pPr>
      <w:r>
        <w:t xml:space="preserve">Boonen et al. (2021)</w:t>
      </w:r>
      <w:r>
        <w:t xml:space="preserve"> </w:t>
      </w:r>
      <w:r>
        <w:t xml:space="preserve">selected</w:t>
      </w:r>
      <w:r>
        <w:t xml:space="preserve"> </w:t>
      </w:r>
      <m:oMath>
        <m:r>
          <m:t>32</m:t>
        </m:r>
      </m:oMath>
      <w:r>
        <w:t xml:space="preserve"> </w:t>
      </w:r>
      <w:r>
        <w:t xml:space="preserve">speakers, comprising</w:t>
      </w:r>
      <w:r>
        <w:t xml:space="preserve"> </w:t>
      </w:r>
      <m:oMath>
        <m:r>
          <m:t>16</m:t>
        </m:r>
      </m:oMath>
      <w:r>
        <w:t xml:space="preserve"> </w:t>
      </w:r>
      <w:r>
        <w:t xml:space="preserve">normal hearing children (NH) and</w:t>
      </w:r>
      <w:r>
        <w:t xml:space="preserve"> </w:t>
      </w:r>
      <m:oMath>
        <m:r>
          <m:t>16</m:t>
        </m:r>
      </m:oMath>
      <w:r>
        <w:t xml:space="preserve"> </w:t>
      </w:r>
      <w:r>
        <w:t xml:space="preserve">hearing-impaired children with cochlear implants (HI/CI). At the time of the collection of the speech samples, the NH group were between</w:t>
      </w:r>
      <w:r>
        <w:t xml:space="preserve"> </w:t>
      </w:r>
      <m:oMath>
        <m:r>
          <m:t>68</m:t>
        </m:r>
      </m:oMath>
      <w:r>
        <w:t xml:space="preserve"> </w:t>
      </w:r>
      <w:r>
        <w:t xml:space="preserve">and</w:t>
      </w:r>
      <w:r>
        <w:t xml:space="preserve"> </w:t>
      </w:r>
      <m:oMath>
        <m:r>
          <m:t>104</m:t>
        </m:r>
      </m:oMath>
      <w:r>
        <w:t xml:space="preserve"> </w:t>
      </w:r>
      <w:r>
        <w:t xml:space="preserve">months old (</w:t>
      </w:r>
      <m:oMath>
        <m:r>
          <m:t>M</m:t>
        </m:r>
        <m:r>
          <m:rPr>
            <m:sty m:val="p"/>
          </m:rPr>
          <m:t>=</m:t>
        </m:r>
        <m:r>
          <m:t>86.3</m:t>
        </m:r>
      </m:oMath>
      <w:r>
        <w:t xml:space="preserve">,</w:t>
      </w:r>
      <w:r>
        <w:t xml:space="preserve"> </w:t>
      </w:r>
      <m:oMath>
        <m:r>
          <m:t>S</m:t>
        </m:r>
        <m:r>
          <m:t>D</m:t>
        </m:r>
        <m:r>
          <m:rPr>
            <m:sty m:val="p"/>
          </m:rPr>
          <m:t>=</m:t>
        </m:r>
        <m:r>
          <m:t>9.0</m:t>
        </m:r>
      </m:oMath>
      <w:r>
        <w:t xml:space="preserve">), while HI/CI group were between</w:t>
      </w:r>
      <w:r>
        <w:t xml:space="preserve"> </w:t>
      </w:r>
      <m:oMath>
        <m:r>
          <m:t>78</m:t>
        </m:r>
      </m:oMath>
      <w:r>
        <w:t xml:space="preserve"> </w:t>
      </w:r>
      <w:r>
        <w:t xml:space="preserve">and</w:t>
      </w:r>
      <w:r>
        <w:t xml:space="preserve"> </w:t>
      </w:r>
      <m:oMath>
        <m:r>
          <m:t>98</m:t>
        </m:r>
      </m:oMath>
      <w:r>
        <w:t xml:space="preserve"> </w:t>
      </w:r>
      <w:r>
        <w:t xml:space="preserve">months old (</w:t>
      </w:r>
      <m:oMath>
        <m:r>
          <m:t>M</m:t>
        </m:r>
        <m:r>
          <m:rPr>
            <m:sty m:val="p"/>
          </m:rPr>
          <m:t>=</m:t>
        </m:r>
        <m:r>
          <m:t>86.3</m:t>
        </m:r>
      </m:oMath>
      <w:r>
        <w:t xml:space="preserve">,</w:t>
      </w:r>
      <w:r>
        <w:t xml:space="preserve"> </w:t>
      </w:r>
      <m:oMath>
        <m:r>
          <m:t>S</m:t>
        </m:r>
        <m:r>
          <m:t>D</m:t>
        </m:r>
        <m:r>
          <m:rPr>
            <m:sty m:val="p"/>
          </m:rPr>
          <m:t>=</m:t>
        </m:r>
        <m:r>
          <m:t>6.7</m:t>
        </m:r>
      </m:oMath>
      <w:r>
        <w:t xml:space="preserve">).</w:t>
      </w:r>
    </w:p>
    <w:bookmarkEnd w:id="22"/>
    <w:bookmarkStart w:id="23" w:name="sec-M-SS"/>
    <w:p>
      <w:pPr>
        <w:pStyle w:val="Heading3"/>
      </w:pPr>
      <w:r>
        <w:t xml:space="preserve">Speech samples</w:t>
      </w:r>
    </w:p>
    <w:p>
      <w:pPr>
        <w:pStyle w:val="FirstParagraph"/>
      </w:pPr>
      <w:r>
        <w:t xml:space="preserve">Boonen and colleagues selected speech samples from a large corpus of children’s spontaneously spoken speech recordings. These recordings were obtained as the children narrated a story prompted by the picture book</w:t>
      </w:r>
      <w:r>
        <w:t xml:space="preserve"> </w:t>
      </w:r>
      <w:r>
        <w:t xml:space="preserve">“</w:t>
      </w:r>
      <w:r>
        <w:t xml:space="preserve">Frog, Where Are You?</w:t>
      </w:r>
      <w:r>
        <w:t xml:space="preserve">”</w:t>
      </w:r>
      <w:r>
        <w:t xml:space="preserve"> </w:t>
      </w:r>
      <w:r>
        <w:t xml:space="preserve">(Mayer 1969)</w:t>
      </w:r>
      <w:r>
        <w:t xml:space="preserve"> </w:t>
      </w:r>
      <w:r>
        <w:t xml:space="preserve">to a caregiver</w:t>
      </w:r>
      <w:r>
        <w:t xml:space="preserve"> </w:t>
      </w:r>
      <w:r>
        <w:t xml:space="preserve">‘</w:t>
      </w:r>
      <w:r>
        <w:t xml:space="preserve">unfamiliar with the story</w:t>
      </w:r>
      <w:r>
        <w:t xml:space="preserve">’</w:t>
      </w:r>
      <w:r>
        <w:t xml:space="preserve">. Before recording, the children were allowed to skim over the booklet and examine pictures. Prior to the selection process, the recordings were orthographically transcribed using the CHAT format in the CLAN editor</w:t>
      </w:r>
      <w:r>
        <w:t xml:space="preserve"> </w:t>
      </w:r>
      <w:r>
        <w:t xml:space="preserve">(MacWhinney 2020)</w:t>
      </w:r>
      <w:r>
        <w:t xml:space="preserve">. These transcriptions were exclusively used in the curation of appropriate speech samples. To ensure the quality of the selection, Boonen and colleagues excluded sentences containing syntactically ill-formed or incomplete statements, with background noise, crosstalk, long hesitations, revisions, or non-words. Finally, ten speech samples were randomly chosen for each of the</w:t>
      </w:r>
      <w:r>
        <w:t xml:space="preserve"> </w:t>
      </w:r>
      <m:oMath>
        <m:r>
          <m:t>32</m:t>
        </m:r>
      </m:oMath>
      <w:r>
        <w:t xml:space="preserve"> </w:t>
      </w:r>
      <w:r>
        <w:t xml:space="preserve">selected speakers. Each of these samples comprised a single sentence with a length of three to eleven words (</w:t>
      </w:r>
      <m:oMath>
        <m:r>
          <m:t>M</m:t>
        </m:r>
        <m:r>
          <m:rPr>
            <m:sty m:val="p"/>
          </m:rPr>
          <m:t>=</m:t>
        </m:r>
        <m:r>
          <m:t>7.1</m:t>
        </m:r>
      </m:oMath>
      <w:r>
        <w:t xml:space="preserve">,</w:t>
      </w:r>
      <w:r>
        <w:t xml:space="preserve"> </w:t>
      </w:r>
      <m:oMath>
        <m:r>
          <m:t>S</m:t>
        </m:r>
        <m:r>
          <m:t>D</m:t>
        </m:r>
        <m:r>
          <m:rPr>
            <m:sty m:val="p"/>
          </m:rPr>
          <m:t>=</m:t>
        </m:r>
        <m:r>
          <m:t>1.1</m:t>
        </m:r>
      </m:oMath>
      <w:r>
        <w:t xml:space="preserve">). The process resulted in a total of</w:t>
      </w:r>
      <w:r>
        <w:t xml:space="preserve"> </w:t>
      </w:r>
      <m:oMath>
        <m:r>
          <m:t>320</m:t>
        </m:r>
      </m:oMath>
      <w:r>
        <w:t xml:space="preserve"> </w:t>
      </w:r>
      <w:r>
        <w:t xml:space="preserve">selected sentences collectively comprising</w:t>
      </w:r>
      <w:r>
        <w:t xml:space="preserve"> </w:t>
      </w:r>
      <m:oMath>
        <m:r>
          <m:t>2</m:t>
        </m:r>
        <m:r>
          <m:rPr>
            <m:sty m:val="p"/>
          </m:rPr>
          <m:t>,</m:t>
        </m:r>
        <m:r>
          <m:t>263</m:t>
        </m:r>
      </m:oMath>
      <w:r>
        <w:t xml:space="preserve"> </w:t>
      </w:r>
      <w:r>
        <w:t xml:space="preserve">words.</w:t>
      </w:r>
    </w:p>
    <w:bookmarkEnd w:id="23"/>
    <w:bookmarkStart w:id="24" w:name="sec-M-L"/>
    <w:p>
      <w:pPr>
        <w:pStyle w:val="Heading3"/>
      </w:pPr>
      <w:r>
        <w:t xml:space="preserve">Listeners</w:t>
      </w:r>
    </w:p>
    <w:p>
      <w:pPr>
        <w:pStyle w:val="FirstParagraph"/>
      </w:pPr>
      <w:r>
        <w:t xml:space="preserve">Boonen and colleagues recruited</w:t>
      </w:r>
      <w:r>
        <w:t xml:space="preserve"> </w:t>
      </w:r>
      <m:oMath>
        <m:r>
          <m:t>105</m:t>
        </m:r>
      </m:oMath>
      <w:r>
        <w:t xml:space="preserve"> </w:t>
      </w:r>
      <w:r>
        <w:t xml:space="preserve">students from the University of Antwerp. All participants were native speakers of Belgian Dutch and reported no history of hearing difficulties or prior exposure to the speech of hearing-impaired speakers.</w:t>
      </w:r>
    </w:p>
    <w:bookmarkEnd w:id="24"/>
    <w:bookmarkStart w:id="27" w:name="sec-M-TS"/>
    <w:p>
      <w:pPr>
        <w:pStyle w:val="Heading3"/>
      </w:pPr>
      <w:r>
        <w:t xml:space="preserve">Transcription task and entropy scores</w:t>
      </w:r>
    </w:p>
    <w:p>
      <w:pPr>
        <w:pStyle w:val="FirstParagraph"/>
      </w:pPr>
      <w:r>
        <w:t xml:space="preserve">The</w:t>
      </w:r>
      <w:r>
        <w:t xml:space="preserve"> </w:t>
      </w:r>
      <m:oMath>
        <m:r>
          <m:t>320</m:t>
        </m:r>
      </m:oMath>
      <w:r>
        <w:t xml:space="preserve"> </w:t>
      </w:r>
      <w:r>
        <w:t xml:space="preserve">speech samples and</w:t>
      </w:r>
      <w:r>
        <w:t xml:space="preserve"> </w:t>
      </w:r>
      <m:oMath>
        <m:r>
          <m:t>105</m:t>
        </m:r>
      </m:oMath>
      <w:r>
        <w:t xml:space="preserve"> </w:t>
      </w:r>
      <w:r>
        <w:t xml:space="preserve">listeners were randomly assigned to five blocks, with each block consisting of approximately</w:t>
      </w:r>
      <w:r>
        <w:t xml:space="preserve"> </w:t>
      </w:r>
      <m:oMath>
        <m:r>
          <m:t>21</m:t>
        </m:r>
      </m:oMath>
      <w:r>
        <w:t xml:space="preserve"> </w:t>
      </w:r>
      <w:r>
        <w:t xml:space="preserve">listeners who transcribed</w:t>
      </w:r>
      <w:r>
        <w:t xml:space="preserve"> </w:t>
      </w:r>
      <m:oMath>
        <m:r>
          <m:t>64</m:t>
        </m:r>
      </m:oMath>
      <w:r>
        <w:t xml:space="preserve"> </w:t>
      </w:r>
      <w:r>
        <w:t xml:space="preserve">sentences presented in random order. This resulted in a total of</w:t>
      </w:r>
      <w:r>
        <w:t xml:space="preserve"> </w:t>
      </w:r>
      <m:oMath>
        <m:r>
          <m:t>47</m:t>
        </m:r>
        <m:r>
          <m:rPr>
            <m:sty m:val="p"/>
          </m:rPr>
          <m:t>,</m:t>
        </m:r>
        <m:r>
          <m:t>514</m:t>
        </m:r>
      </m:oMath>
      <w:r>
        <w:t xml:space="preserve"> </w:t>
      </w:r>
      <w:r>
        <w:t xml:space="preserve">transcribed words from the original</w:t>
      </w:r>
      <w:r>
        <w:t xml:space="preserve"> </w:t>
      </w:r>
      <m:oMath>
        <m:r>
          <m:t>2</m:t>
        </m:r>
        <m:r>
          <m:rPr>
            <m:sty m:val="p"/>
          </m:rPr>
          <m:t>,</m:t>
        </m:r>
        <m:r>
          <m:t>263</m:t>
        </m:r>
      </m:oMath>
      <w:r>
        <w:t xml:space="preserve"> </w:t>
      </w:r>
      <w:r>
        <w:t xml:space="preserve">words present in the speech samples. These orthographic transcriptions were automatically aligned with a python script</w:t>
      </w:r>
      <w:r>
        <w:t xml:space="preserve"> </w:t>
      </w:r>
      <w:r>
        <w:t xml:space="preserve">(Boonen et al. 2021)</w:t>
      </w:r>
      <w:r>
        <w:t xml:space="preserve">, at the sentence level in a column-like grid structure like the one presented in</w:t>
      </w:r>
      <w:r>
        <w:t xml:space="preserve"> </w:t>
      </w:r>
      <w:hyperlink w:anchor="tbl-alignment">
        <w:r>
          <w:rPr>
            <w:rStyle w:val="Hyperlink"/>
          </w:rPr>
          <w:t xml:space="preserve">Table 1</w:t>
        </w:r>
      </w:hyperlink>
      <w:r>
        <w:t xml:space="preserve">. This alignment process was repeated for each sentence within each speaker and block, and the output was manually checked and adjusted (if needed) in order to appropriately align the words. For more details on the random assignment and alignment procedures refer to</w:t>
      </w:r>
      <w:r>
        <w:t xml:space="preserve"> </w:t>
      </w:r>
      <w:r>
        <w:t xml:space="preserve">Boonen et al. (2021)</w:t>
      </w:r>
      <w:r>
        <w:t xml:space="preserve">.</w:t>
      </w:r>
    </w:p>
    <w:p>
      <w:pPr>
        <w:pStyle w:val="BodyText"/>
      </w:pPr>
      <w:r>
        <w:t xml:space="preserve">Next, this study aggregated the aligned transcriptions by listener yielding</w:t>
      </w:r>
      <w:r>
        <w:t xml:space="preserve"> </w:t>
      </w:r>
      <m:oMath>
        <m:r>
          <m:t>2</m:t>
        </m:r>
        <m:r>
          <m:rPr>
            <m:sty m:val="p"/>
          </m:rPr>
          <m:t>,</m:t>
        </m:r>
        <m:r>
          <m:t>2634</m:t>
        </m:r>
      </m:oMath>
      <w:r>
        <w:t xml:space="preserve"> </w:t>
      </w:r>
      <w:r>
        <w:t xml:space="preserve">entropy scores, one score per word. The entropy scores were calculated following Shannon’s formula</w:t>
      </w:r>
      <w:r>
        <w:t xml:space="preserve"> </w:t>
      </w:r>
      <w:r>
        <w:t xml:space="preserve">(1948)</w:t>
      </w:r>
      <w:r>
        <w:t xml:space="preserve">:</w:t>
      </w:r>
    </w:p>
    <w:p>
      <w:pPr>
        <w:pStyle w:val="BodyText"/>
      </w:pPr>
      <w:bookmarkStart w:id="25" w:name="eq-entropy"/>
      <m:oMathPara>
        <m:oMathParaPr>
          <m:jc m:val="center"/>
        </m:oMathParaPr>
        <m:oMath>
          <m:sSub>
            <m:e>
              <m:r>
                <m:t>H</m:t>
              </m:r>
            </m:e>
            <m:sub>
              <m:r>
                <m:t>w</m:t>
              </m:r>
              <m:r>
                <m:t>s</m:t>
              </m:r>
              <m:r>
                <m:t>i</m:t>
              </m:r>
              <m:r>
                <m:t>b</m:t>
              </m:r>
            </m:sub>
          </m:sSub>
          <m:r>
            <m:rPr>
              <m:sty m:val="p"/>
            </m:rPr>
            <m:t>=</m:t>
          </m:r>
          <m:f>
            <m:fPr>
              <m:type m:val="bar"/>
            </m:fPr>
            <m:num>
              <m:nary>
                <m:naryPr>
                  <m:chr m:val="∑"/>
                  <m:limLoc m:val="undOvr"/>
                  <m:subHide m:val="off"/>
                  <m:supHide m:val="off"/>
                </m:naryPr>
                <m:sub>
                  <m:r>
                    <m:t>k</m:t>
                  </m:r>
                  <m:r>
                    <m:rPr>
                      <m:sty m:val="p"/>
                    </m:rPr>
                    <m:t>=</m:t>
                  </m:r>
                  <m:r>
                    <m:t>1</m:t>
                  </m:r>
                </m:sub>
                <m:sup>
                  <m:r>
                    <m:t>K</m:t>
                  </m:r>
                </m:sup>
                <m:e>
                  <m:sSub>
                    <m:e>
                      <m:r>
                        <m:t>p</m:t>
                      </m:r>
                    </m:e>
                    <m:sub>
                      <m:r>
                        <m:t>k</m:t>
                      </m:r>
                    </m:sub>
                  </m:sSub>
                </m:e>
              </m:nary>
              <m:r>
                <m:rPr>
                  <m:sty m:val="p"/>
                </m:rPr>
                <m:t>⋅</m:t>
              </m:r>
              <m:r>
                <m:t>l</m:t>
              </m:r>
              <m:r>
                <m:t>o</m:t>
              </m:r>
              <m:sSub>
                <m:e>
                  <m:r>
                    <m:t>g</m:t>
                  </m:r>
                </m:e>
                <m:sub>
                  <m:r>
                    <m:t>2</m:t>
                  </m:r>
                </m:sub>
              </m:sSub>
              <m:d>
                <m:dPr>
                  <m:begChr m:val="("/>
                  <m:endChr m:val=")"/>
                  <m:sepChr m:val=""/>
                  <m:grow/>
                </m:dPr>
                <m:e>
                  <m:sSub>
                    <m:e>
                      <m:r>
                        <m:t>p</m:t>
                      </m:r>
                    </m:e>
                    <m:sub>
                      <m:r>
                        <m:t>k</m:t>
                      </m:r>
                    </m:sub>
                  </m:sSub>
                </m:e>
              </m:d>
            </m:num>
            <m:den>
              <m:r>
                <m:t>l</m:t>
              </m:r>
              <m:r>
                <m:t>o</m:t>
              </m:r>
              <m:sSub>
                <m:e>
                  <m:r>
                    <m:t>g</m:t>
                  </m:r>
                </m:e>
                <m:sub>
                  <m:r>
                    <m:t>2</m:t>
                  </m:r>
                </m:sub>
              </m:sSub>
              <m:d>
                <m:dPr>
                  <m:begChr m:val="("/>
                  <m:endChr m:val=")"/>
                  <m:sepChr m:val=""/>
                  <m:grow/>
                </m:dPr>
                <m:e>
                  <m:r>
                    <m:t>J</m:t>
                  </m:r>
                </m:e>
              </m:d>
            </m:den>
          </m:f>
          <m:r>
            <m:t>  </m:t>
          </m:r>
          <m:d>
            <m:dPr>
              <m:begChr m:val="("/>
              <m:endChr m:val=")"/>
              <m:sepChr m:val=""/>
              <m:grow/>
            </m:dPr>
            <m:e>
              <m:r>
                <m:t>1</m:t>
              </m:r>
            </m:e>
          </m:d>
        </m:oMath>
      </m:oMathPara>
      <w:bookmarkEnd w:id="25"/>
    </w:p>
    <w:p>
      <w:pPr>
        <w:pStyle w:val="FirstParagraph"/>
      </w:pPr>
      <w:r>
        <w:t xml:space="preserve">where</w:t>
      </w:r>
      <w:r>
        <w:t xml:space="preserve"> </w:t>
      </w:r>
      <m:oMath>
        <m:sSub>
          <m:e>
            <m:r>
              <m:t>H</m:t>
            </m:r>
          </m:e>
          <m:sub>
            <m:r>
              <m:t>w</m:t>
            </m:r>
            <m:r>
              <m:t>s</m:t>
            </m:r>
            <m:r>
              <m:t>i</m:t>
            </m:r>
            <m:r>
              <m:t>b</m:t>
            </m:r>
          </m:sub>
        </m:sSub>
      </m:oMath>
      <w:r>
        <w:t xml:space="preserve"> </w:t>
      </w:r>
      <w:r>
        <w:t xml:space="preserve">denotes the entropy scores confined to an interval between zero and one, with</w:t>
      </w:r>
      <w:r>
        <w:t xml:space="preserve"> </w:t>
      </w:r>
      <m:oMath>
        <m:r>
          <m:t>w</m:t>
        </m:r>
      </m:oMath>
      <w:r>
        <w:t xml:space="preserve"> </w:t>
      </w:r>
      <w:r>
        <w:t xml:space="preserve">defining the word index,</w:t>
      </w:r>
      <w:r>
        <w:t xml:space="preserve"> </w:t>
      </w:r>
      <m:oMath>
        <m:r>
          <m:t>s</m:t>
        </m:r>
      </m:oMath>
      <w:r>
        <w:t xml:space="preserve"> </w:t>
      </w:r>
      <w:r>
        <w:t xml:space="preserve">the sentence index,</w:t>
      </w:r>
      <w:r>
        <w:t xml:space="preserve"> </w:t>
      </w:r>
      <m:oMath>
        <m:r>
          <m:t>i</m:t>
        </m:r>
      </m:oMath>
      <w:r>
        <w:t xml:space="preserve"> </w:t>
      </w:r>
      <w:r>
        <w:t xml:space="preserve">the speaker index, and</w:t>
      </w:r>
      <w:r>
        <w:t xml:space="preserve"> </w:t>
      </w:r>
      <m:oMath>
        <m:r>
          <m:t>b</m:t>
        </m:r>
      </m:oMath>
      <w:r>
        <w:t xml:space="preserve"> </w:t>
      </w:r>
      <w:r>
        <w:t xml:space="preserve">the block index. Moreover,</w:t>
      </w:r>
      <w:r>
        <w:t xml:space="preserve"> </w:t>
      </w:r>
      <m:oMath>
        <m:r>
          <m:t>K</m:t>
        </m:r>
      </m:oMath>
      <w:r>
        <w:t xml:space="preserve"> </w:t>
      </w:r>
      <w:r>
        <w:t xml:space="preserve">describes the number of different word types within transcriptions, and</w:t>
      </w:r>
      <w:r>
        <w:t xml:space="preserve"> </w:t>
      </w:r>
      <m:oMath>
        <m:r>
          <m:t>J</m:t>
        </m:r>
      </m:oMath>
      <w:r>
        <w:t xml:space="preserve"> </w:t>
      </w:r>
      <w:r>
        <w:t xml:space="preserve">defines the total number of word transcriptions. Notice that by design, the total number of word transcriptions</w:t>
      </w:r>
      <w:r>
        <w:t xml:space="preserve"> </w:t>
      </w:r>
      <m:oMath>
        <m:r>
          <m:t>J</m:t>
        </m:r>
      </m:oMath>
      <w:r>
        <w:t xml:space="preserve"> </w:t>
      </w:r>
      <w:r>
        <w:t xml:space="preserve">corresponds with the number of listeners per block, i.e.,</w:t>
      </w:r>
      <w:r>
        <w:t xml:space="preserve"> </w:t>
      </w:r>
      <m:oMath>
        <m:r>
          <m:t>21</m:t>
        </m:r>
      </m:oMath>
      <w:r>
        <w:t xml:space="preserve"> </w:t>
      </w:r>
      <w:r>
        <w:t xml:space="preserve">listeners. Lastly,</w:t>
      </w:r>
      <w:r>
        <w:t xml:space="preserve"> </w:t>
      </w:r>
      <m:oMath>
        <m:sSub>
          <m:e>
            <m:r>
              <m:t>p</m:t>
            </m:r>
          </m:e>
          <m:sub>
            <m:r>
              <m:t>k</m:t>
            </m:r>
          </m:sub>
        </m:sSub>
        <m:r>
          <m:rPr>
            <m:sty m:val="p"/>
          </m:rPr>
          <m:t>=</m:t>
        </m:r>
        <m:nary>
          <m:naryPr>
            <m:chr m:val="∑"/>
            <m:limLoc m:val="undOvr"/>
            <m:subHide m:val="off"/>
            <m:supHide m:val="off"/>
          </m:naryPr>
          <m:sub>
            <m:r>
              <m:t>j</m:t>
            </m:r>
            <m:r>
              <m:rPr>
                <m:sty m:val="p"/>
              </m:rPr>
              <m:t>=</m:t>
            </m:r>
            <m:r>
              <m:t>1</m:t>
            </m:r>
          </m:sub>
          <m:sup>
            <m:r>
              <m:t>J</m:t>
            </m:r>
          </m:sup>
          <m:e>
            <m:r>
              <m:t>1</m:t>
            </m:r>
          </m:e>
        </m:nary>
        <m:d>
          <m:dPr>
            <m:begChr m:val="("/>
            <m:endChr m:val=")"/>
            <m:sepChr m:val=""/>
            <m:grow/>
          </m:dPr>
          <m:e>
            <m:sSub>
              <m:e>
                <m:r>
                  <m:t>T</m:t>
                </m:r>
              </m:e>
              <m:sub>
                <m:r>
                  <m:t>j</m:t>
                </m:r>
                <m:r>
                  <m:t>k</m:t>
                </m:r>
              </m:sub>
            </m:sSub>
          </m:e>
        </m:d>
        <m:r>
          <m:rPr>
            <m:sty m:val="p"/>
          </m:rPr>
          <m:t>/</m:t>
        </m:r>
        <m:r>
          <m:t>J</m:t>
        </m:r>
      </m:oMath>
      <w:r>
        <w:t xml:space="preserve"> </w:t>
      </w:r>
      <w:r>
        <w:t xml:space="preserve">denotes the proportion of word types within transcriptions, with</w:t>
      </w:r>
      <w:r>
        <w:t xml:space="preserve"> </w:t>
      </w:r>
      <m:oMath>
        <m:r>
          <m:t>1</m:t>
        </m:r>
        <m:d>
          <m:dPr>
            <m:begChr m:val="("/>
            <m:endChr m:val=")"/>
            <m:sepChr m:val=""/>
            <m:grow/>
          </m:dPr>
          <m:e>
            <m:sSub>
              <m:e>
                <m:r>
                  <m:t>T</m:t>
                </m:r>
              </m:e>
              <m:sub>
                <m:r>
                  <m:t>j</m:t>
                </m:r>
                <m:r>
                  <m:t>k</m:t>
                </m:r>
              </m:sub>
            </m:sSub>
          </m:e>
        </m:d>
      </m:oMath>
      <w:r>
        <w:t xml:space="preserve"> </w:t>
      </w:r>
      <w:r>
        <w:t xml:space="preserve">describing an indicator function that takes the value of one when the word type</w:t>
      </w:r>
      <w:r>
        <w:t xml:space="preserve"> </w:t>
      </w:r>
      <m:oMath>
        <m:r>
          <m:t>k</m:t>
        </m:r>
      </m:oMath>
      <w:r>
        <w:t xml:space="preserve"> </w:t>
      </w:r>
      <w:r>
        <w:t xml:space="preserve">is present in the transcription</w:t>
      </w:r>
      <w:r>
        <w:t xml:space="preserve"> </w:t>
      </w:r>
      <m:oMath>
        <m:r>
          <m:t>j</m:t>
        </m:r>
      </m:oMath>
      <w:r>
        <w:t xml:space="preserve">. See</w:t>
      </w:r>
      <w:r>
        <w:t xml:space="preserve"> </w:t>
      </w:r>
      <w:hyperlink w:anchor="sec-appA">
        <w:r>
          <w:rPr>
            <w:rStyle w:val="Hyperlink"/>
          </w:rPr>
          <w:t xml:space="preserve">Section 6.1</w:t>
        </w:r>
      </w:hyperlink>
      <w:r>
        <w:t xml:space="preserve"> </w:t>
      </w:r>
      <w:r>
        <w:t xml:space="preserve">for a calculation example of entropy scores.</w:t>
      </w:r>
    </w:p>
    <w:p>
      <w:pPr>
        <w:pStyle w:val="BodyText"/>
      </w:pPr>
      <w:r>
        <w:t xml:space="preserve">These entropy scores served as the outcome variable, capturing agreement or disagreement among listeners’ word transcriptions. Lower scores indicated a higher degree of agreement between transcriptions and therefore higher intelligibility, while higher scores indicated lower intelligibility, due to a lower degree of agreement in the transcriptions</w:t>
      </w:r>
      <w:r>
        <w:t xml:space="preserve"> </w:t>
      </w:r>
      <w:r>
        <w:t xml:space="preserve">(Boonen et al. 2021; Faes, De Maeyer, and Gillis 2021)</w:t>
      </w:r>
      <w:r>
        <w:t xml:space="preserve">. Furthermore, no score is excluded from the modeling process using univariate procedures, rather, the identification of highly influential observations is performed within the context of the proposed models, as recommended by</w:t>
      </w:r>
      <w:r>
        <w:t xml:space="preserve"> </w:t>
      </w:r>
      <w:r>
        <w:t xml:space="preserve">McElreath (2020)</w:t>
      </w:r>
      <w:r>
        <w:t xml:space="preserve">.</w:t>
      </w:r>
    </w:p>
    <w:tbl>
      <w:tblPr>
        <w:tblStyle w:val="Table"/>
        <w:tblW w:type="pct" w:w="5000"/>
        <w:jc w:val="left"/>
        <w:tblLayout w:type="fixed"/>
        <w:tblLook w:firstRow="0" w:lastRow="0" w:firstColumn="0" w:lastColumn="0" w:noHBand="0" w:noVBand="0" w:val="0000"/>
      </w:tblPr>
      <w:tblGrid>
        <w:gridCol w:w="7920"/>
      </w:tblGrid>
      <w:tr>
        <w:tc>
          <w:tcPr/>
          <w:bookmarkStart w:id="26" w:name="tbl-alignment"/>
          <w:p>
            <w:pPr>
              <w:jc w:val="center"/>
            </w:pPr>
            <w:pPr>
              <w:jc w:val="start"/>
              <w:spacing w:before="200"/>
              <w:pStyle w:val="ImageCaption"/>
            </w:pPr>
            <w:r>
              <w:t xml:space="preserve">Table 1: Hypothetical alignment of word transcriptions and entropy scores. Note: Extracted from Boonen et al.</w:t>
            </w:r>
            <w:r>
              <w:t xml:space="preserve"> </w:t>
            </w:r>
            <w:r>
              <w:t xml:space="preserve">(2021)</w:t>
            </w:r>
            <w:r>
              <w:t xml:space="preserve">, and slightly modified for illustrative purposes. Entropy scores are calculated the first sentence, produced by the first speaker assigned to the first block, and transcribed by five listeners</w:t>
            </w:r>
            <w:r>
              <w:t xml:space="preserve"> </w:t>
            </w:r>
            <m:oMath>
              <m:d>
                <m:dPr>
                  <m:begChr m:val="("/>
                  <m:endChr m:val=")"/>
                  <m:sepChr m:val=""/>
                  <m:grow/>
                </m:dPr>
                <m:e>
                  <m:r>
                    <m:t>s</m:t>
                  </m:r>
                  <m:r>
                    <m:rPr>
                      <m:sty m:val="p"/>
                    </m:rPr>
                    <m:t>=</m:t>
                  </m:r>
                  <m:r>
                    <m:t>1</m:t>
                  </m:r>
                  <m:r>
                    <m:rPr>
                      <m:sty m:val="p"/>
                    </m:rPr>
                    <m:t>,</m:t>
                  </m:r>
                  <m:r>
                    <m:t>i</m:t>
                  </m:r>
                  <m:r>
                    <m:rPr>
                      <m:sty m:val="p"/>
                    </m:rPr>
                    <m:t>=</m:t>
                  </m:r>
                  <m:r>
                    <m:t>1</m:t>
                  </m:r>
                  <m:r>
                    <m:rPr>
                      <m:sty m:val="p"/>
                    </m:rPr>
                    <m:t>,</m:t>
                  </m:r>
                  <m:r>
                    <m:t>b</m:t>
                  </m:r>
                  <m:r>
                    <m:rPr>
                      <m:sty m:val="p"/>
                    </m:rPr>
                    <m:t>=</m:t>
                  </m:r>
                  <m:r>
                    <m:t>1</m:t>
                  </m:r>
                  <m:r>
                    <m:rPr>
                      <m:sty m:val="p"/>
                    </m:rPr>
                    <m:t>,</m:t>
                  </m:r>
                  <m:r>
                    <m:t>J</m:t>
                  </m:r>
                  <m:r>
                    <m:rPr>
                      <m:sty m:val="p"/>
                    </m:rPr>
                    <m:t>=</m:t>
                  </m:r>
                  <m:r>
                    <m:t>5</m:t>
                  </m:r>
                </m:e>
              </m:d>
            </m:oMath>
            <w:r>
              <w:t xml:space="preserve">. Transcriptions are in Dutch with English translation.</w:t>
            </w:r>
            <w:r>
              <w:t xml:space="preserve"> </w:t>
            </w:r>
            <w:r>
              <w:rPr>
                <w:i/>
                <w:iCs/>
              </w:rPr>
              <w:t xml:space="preserve">[B]</w:t>
            </w:r>
            <w:r>
              <w:t xml:space="preserve"> </w:t>
            </w:r>
            <w:r>
              <w:t xml:space="preserve">represent a blank space, and</w:t>
            </w:r>
            <w:r>
              <w:t xml:space="preserve"> </w:t>
            </w:r>
            <w:r>
              <w:rPr>
                <w:i/>
                <w:iCs/>
              </w:rPr>
              <w:t xml:space="preserve">[X]</w:t>
            </w:r>
            <w:r>
              <w:t xml:space="preserve"> </w:t>
            </w:r>
            <w:r>
              <w:t xml:space="preserve">an unidentifiable speech.</w:t>
            </w:r>
          </w:p>
          <w:tbl>
            <w:tblPr>
              <w:tblStyle w:val="Table"/>
              <w:tblW w:type="pct" w:w="4583"/>
              <w:jc w:val="left"/>
              <w:tblLayout w:type="fixed"/>
              <w:tblLook w:firstRow="1" w:lastRow="0" w:firstColumn="0" w:lastColumn="0" w:noHBand="0" w:noVBand="0" w:val="0020"/>
            </w:tblPr>
            <w:tblGrid>
              <w:gridCol w:w="1760"/>
              <w:gridCol w:w="1100"/>
              <w:gridCol w:w="1100"/>
              <w:gridCol w:w="1100"/>
              <w:gridCol w:w="1100"/>
              <w:gridCol w:w="1100"/>
            </w:tblGrid>
            <w:tr>
              <w:trPr>
                <w:tblHeader w:val="on"/>
              </w:trPr>
              <w:tc>
                <w:tcPr/>
                <w:p>
                  <w:pPr>
                    <w:pStyle w:val="Compact"/>
                    <w:jc w:val="center"/>
                    <w:jc w:val="center"/>
                  </w:pPr>
                  <w:r>
                    <w:t xml:space="preserve">Transcription</w:t>
                  </w:r>
                </w:p>
              </w:tc>
              <w:tc>
                <w:tcPr/>
                <w:p>
                  <w:pPr>
                    <w:pStyle w:val="Compact"/>
                    <w:jc w:val="center"/>
                    <w:jc w:val="center"/>
                  </w:pPr>
                  <w:r>
                    <w:t xml:space="preserve">Words</w:t>
                  </w:r>
                </w:p>
              </w:tc>
              <w:tc>
                <w:tcPr/>
                <w:p>
                  <w:pPr>
                    <w:pStyle w:val="Compact"/>
                  </w:pPr>
                </w:p>
              </w:tc>
              <w:tc>
                <w:tcPr/>
                <w:p>
                  <w:pPr>
                    <w:pStyle w:val="Compact"/>
                  </w:pPr>
                </w:p>
              </w:tc>
              <w:tc>
                <w:tcPr/>
                <w:p>
                  <w:pPr>
                    <w:pStyle w:val="Compact"/>
                  </w:pPr>
                </w:p>
              </w:tc>
              <w:tc>
                <w:tcPr/>
                <w:p>
                  <w:pPr>
                    <w:pStyle w:val="Compact"/>
                  </w:pPr>
                </w:p>
              </w:tc>
            </w:tr>
            <w:tr>
              <w:trPr>
                <w:tblHeader w:val="on"/>
              </w:trPr>
              <w:tc>
                <w:tcPr/>
                <w:p>
                  <w:pPr>
                    <w:pStyle w:val="Compact"/>
                    <w:jc w:val="center"/>
                    <w:jc w:val="center"/>
                  </w:pPr>
                  <w:r>
                    <w:t xml:space="preserve">Number</w:t>
                  </w:r>
                </w:p>
              </w:tc>
              <w:tc>
                <w:tcPr/>
                <w:p>
                  <w:pPr>
                    <w:pStyle w:val="Compact"/>
                    <w:jc w:val="center"/>
                    <w:jc w:val="center"/>
                  </w:pPr>
                  <w:r>
                    <w:t xml:space="preserve">1</w:t>
                  </w:r>
                </w:p>
              </w:tc>
              <w:tc>
                <w:tcPr/>
                <w:p>
                  <w:pPr>
                    <w:pStyle w:val="Compact"/>
                    <w:jc w:val="center"/>
                    <w:jc w:val="center"/>
                  </w:pPr>
                  <w:r>
                    <w:t xml:space="preserve">2</w:t>
                  </w:r>
                </w:p>
              </w:tc>
              <w:tc>
                <w:tcPr/>
                <w:p>
                  <w:pPr>
                    <w:pStyle w:val="Compact"/>
                    <w:jc w:val="center"/>
                    <w:jc w:val="center"/>
                  </w:pPr>
                  <w:r>
                    <w:t xml:space="preserve">3</w:t>
                  </w:r>
                </w:p>
              </w:tc>
              <w:tc>
                <w:tcPr/>
                <w:p>
                  <w:pPr>
                    <w:pStyle w:val="Compact"/>
                    <w:jc w:val="center"/>
                    <w:jc w:val="center"/>
                  </w:pPr>
                  <w:r>
                    <w:t xml:space="preserve">4</w:t>
                  </w:r>
                </w:p>
              </w:tc>
              <w:tc>
                <w:tcPr/>
                <w:p>
                  <w:pPr>
                    <w:pStyle w:val="Compact"/>
                    <w:jc w:val="center"/>
                    <w:jc w:val="center"/>
                  </w:pPr>
                  <w:r>
                    <w:t xml:space="preserve">5</w:t>
                  </w:r>
                </w:p>
              </w:tc>
            </w:tr>
            <w:tr>
              <w:tc>
                <w:tcPr/>
                <w:p>
                  <w:pPr>
                    <w:pStyle w:val="Compact"/>
                    <w:jc w:val="center"/>
                    <w:jc w:val="center"/>
                  </w:pPr>
                  <w:r>
                    <w:t xml:space="preserve">1</w:t>
                  </w:r>
                </w:p>
              </w:tc>
              <w:tc>
                <w:tcPr/>
                <w:p>
                  <w:pPr>
                    <w:pStyle w:val="Compact"/>
                    <w:jc w:val="center"/>
                    <w:jc w:val="center"/>
                  </w:pPr>
                  <w:r>
                    <w:t xml:space="preserve">de</w:t>
                  </w:r>
                </w:p>
              </w:tc>
              <w:tc>
                <w:tcPr/>
                <w:p>
                  <w:pPr>
                    <w:pStyle w:val="Compact"/>
                    <w:jc w:val="center"/>
                    <w:jc w:val="center"/>
                  </w:pPr>
                  <w:r>
                    <w:t xml:space="preserve">jongen</w:t>
                  </w:r>
                </w:p>
              </w:tc>
              <w:tc>
                <w:tcPr/>
                <w:p>
                  <w:pPr>
                    <w:pStyle w:val="Compact"/>
                    <w:jc w:val="center"/>
                    <w:jc w:val="center"/>
                  </w:pPr>
                  <w:r>
                    <w:t xml:space="preserve">ziet</w:t>
                  </w:r>
                </w:p>
              </w:tc>
              <w:tc>
                <w:tcPr/>
                <w:p>
                  <w:pPr>
                    <w:pStyle w:val="Compact"/>
                    <w:jc w:val="center"/>
                    <w:jc w:val="center"/>
                  </w:pPr>
                  <w:r>
                    <w:t xml:space="preserve">een</w:t>
                  </w:r>
                </w:p>
              </w:tc>
              <w:tc>
                <w:tcPr/>
                <w:p>
                  <w:pPr>
                    <w:pStyle w:val="Compact"/>
                    <w:jc w:val="center"/>
                    <w:jc w:val="center"/>
                  </w:pPr>
                  <w:r>
                    <w:t xml:space="preserve">kikker</w:t>
                  </w:r>
                </w:p>
              </w:tc>
            </w:tr>
            <w:tr>
              <w:tc>
                <w:tcPr/>
                <w:p>
                  <w:pPr>
                    <w:pStyle w:val="Compact"/>
                  </w:pPr>
                </w:p>
              </w:tc>
              <w:tc>
                <w:tcPr/>
                <w:p>
                  <w:pPr>
                    <w:pStyle w:val="Compact"/>
                    <w:jc w:val="center"/>
                    <w:jc w:val="center"/>
                  </w:pPr>
                  <w:r>
                    <w:t xml:space="preserve">the</w:t>
                  </w:r>
                </w:p>
              </w:tc>
              <w:tc>
                <w:tcPr/>
                <w:p>
                  <w:pPr>
                    <w:pStyle w:val="Compact"/>
                    <w:jc w:val="center"/>
                    <w:jc w:val="center"/>
                  </w:pPr>
                  <w:r>
                    <w:t xml:space="preserve">boy</w:t>
                  </w:r>
                </w:p>
              </w:tc>
              <w:tc>
                <w:tcPr/>
                <w:p>
                  <w:pPr>
                    <w:pStyle w:val="Compact"/>
                    <w:jc w:val="center"/>
                    <w:jc w:val="center"/>
                  </w:pPr>
                  <w:r>
                    <w:t xml:space="preserve">sees</w:t>
                  </w:r>
                </w:p>
              </w:tc>
              <w:tc>
                <w:tcPr/>
                <w:p>
                  <w:pPr>
                    <w:pStyle w:val="Compact"/>
                    <w:jc w:val="center"/>
                    <w:jc w:val="center"/>
                  </w:pPr>
                  <w:r>
                    <w:t xml:space="preserve">a</w:t>
                  </w:r>
                </w:p>
              </w:tc>
              <w:tc>
                <w:tcPr/>
                <w:p>
                  <w:pPr>
                    <w:pStyle w:val="Compact"/>
                    <w:jc w:val="center"/>
                    <w:jc w:val="center"/>
                  </w:pPr>
                  <w:r>
                    <w:t xml:space="preserve">frog</w:t>
                  </w:r>
                </w:p>
              </w:tc>
            </w:tr>
            <w:tr>
              <w:tc>
                <w:tcPr/>
                <w:p>
                  <w:pPr>
                    <w:pStyle w:val="Compact"/>
                    <w:jc w:val="center"/>
                    <w:jc w:val="center"/>
                  </w:pPr>
                  <w:r>
                    <w:t xml:space="preserve">2</w:t>
                  </w:r>
                </w:p>
              </w:tc>
              <w:tc>
                <w:tcPr/>
                <w:p>
                  <w:pPr>
                    <w:pStyle w:val="Compact"/>
                    <w:jc w:val="center"/>
                    <w:jc w:val="center"/>
                  </w:pPr>
                  <w:r>
                    <w:t xml:space="preserve">de</w:t>
                  </w:r>
                </w:p>
              </w:tc>
              <w:tc>
                <w:tcPr/>
                <w:p>
                  <w:pPr>
                    <w:pStyle w:val="Compact"/>
                    <w:jc w:val="center"/>
                    <w:jc w:val="center"/>
                  </w:pPr>
                  <w:r>
                    <w:t xml:space="preserve">jongen</w:t>
                  </w:r>
                </w:p>
              </w:tc>
              <w:tc>
                <w:tcPr/>
                <w:p>
                  <w:pPr>
                    <w:pStyle w:val="Compact"/>
                    <w:jc w:val="center"/>
                    <w:jc w:val="center"/>
                  </w:pPr>
                  <w:r>
                    <w:t xml:space="preserve">ziet</w:t>
                  </w:r>
                </w:p>
              </w:tc>
              <w:tc>
                <w:tcPr/>
                <w:p>
                  <w:pPr>
                    <w:pStyle w:val="Compact"/>
                    <w:jc w:val="center"/>
                    <w:jc w:val="center"/>
                  </w:pPr>
                  <w:r>
                    <w:t xml:space="preserve">de</w:t>
                  </w:r>
                </w:p>
              </w:tc>
              <w:tc>
                <w:tcPr/>
                <w:p>
                  <w:pPr>
                    <w:pStyle w:val="Compact"/>
                    <w:jc w:val="center"/>
                    <w:jc w:val="center"/>
                  </w:pPr>
                  <w:r>
                    <w:t xml:space="preserve">[X]</w:t>
                  </w:r>
                </w:p>
              </w:tc>
            </w:tr>
            <w:tr>
              <w:tc>
                <w:tcPr/>
                <w:p>
                  <w:pPr>
                    <w:pStyle w:val="Compact"/>
                  </w:pPr>
                </w:p>
              </w:tc>
              <w:tc>
                <w:tcPr/>
                <w:p>
                  <w:pPr>
                    <w:pStyle w:val="Compact"/>
                    <w:jc w:val="center"/>
                    <w:jc w:val="center"/>
                  </w:pPr>
                  <w:r>
                    <w:t xml:space="preserve">the</w:t>
                  </w:r>
                </w:p>
              </w:tc>
              <w:tc>
                <w:tcPr/>
                <w:p>
                  <w:pPr>
                    <w:pStyle w:val="Compact"/>
                    <w:jc w:val="center"/>
                    <w:jc w:val="center"/>
                  </w:pPr>
                  <w:r>
                    <w:t xml:space="preserve">boy</w:t>
                  </w:r>
                </w:p>
              </w:tc>
              <w:tc>
                <w:tcPr/>
                <w:p>
                  <w:pPr>
                    <w:pStyle w:val="Compact"/>
                    <w:jc w:val="center"/>
                    <w:jc w:val="center"/>
                  </w:pPr>
                  <w:r>
                    <w:t xml:space="preserve">sees</w:t>
                  </w:r>
                </w:p>
              </w:tc>
              <w:tc>
                <w:tcPr/>
                <w:p>
                  <w:pPr>
                    <w:pStyle w:val="Compact"/>
                    <w:jc w:val="center"/>
                    <w:jc w:val="center"/>
                  </w:pPr>
                  <w:r>
                    <w:t xml:space="preserve">the</w:t>
                  </w:r>
                </w:p>
              </w:tc>
              <w:tc>
                <w:tcPr/>
                <w:p>
                  <w:pPr>
                    <w:pStyle w:val="Compact"/>
                    <w:jc w:val="center"/>
                    <w:jc w:val="center"/>
                  </w:pPr>
                  <w:r>
                    <w:t xml:space="preserve">[X]</w:t>
                  </w:r>
                </w:p>
              </w:tc>
            </w:tr>
            <w:tr>
              <w:tc>
                <w:tcPr/>
                <w:p>
                  <w:pPr>
                    <w:pStyle w:val="Compact"/>
                    <w:jc w:val="center"/>
                    <w:jc w:val="center"/>
                  </w:pPr>
                  <w:r>
                    <w:t xml:space="preserve">3</w:t>
                  </w:r>
                </w:p>
              </w:tc>
              <w:tc>
                <w:tcPr/>
                <w:p>
                  <w:pPr>
                    <w:pStyle w:val="Compact"/>
                    <w:jc w:val="center"/>
                    <w:jc w:val="center"/>
                  </w:pPr>
                  <w:r>
                    <w:t xml:space="preserve">de</w:t>
                  </w:r>
                </w:p>
              </w:tc>
              <w:tc>
                <w:tcPr/>
                <w:p>
                  <w:pPr>
                    <w:pStyle w:val="Compact"/>
                    <w:jc w:val="center"/>
                    <w:jc w:val="center"/>
                  </w:pPr>
                  <w:r>
                    <w:t xml:space="preserve">jongen</w:t>
                  </w:r>
                </w:p>
              </w:tc>
              <w:tc>
                <w:tcPr/>
                <w:p>
                  <w:pPr>
                    <w:pStyle w:val="Compact"/>
                    <w:jc w:val="center"/>
                    <w:jc w:val="center"/>
                  </w:pPr>
                  <w:r>
                    <w:t xml:space="preserve">zag</w:t>
                  </w:r>
                </w:p>
              </w:tc>
              <w:tc>
                <w:tcPr/>
                <w:p>
                  <w:pPr>
                    <w:pStyle w:val="Compact"/>
                    <w:jc w:val="center"/>
                    <w:jc w:val="center"/>
                  </w:pPr>
                  <w:r>
                    <w:t xml:space="preserve">[B]</w:t>
                  </w:r>
                </w:p>
              </w:tc>
              <w:tc>
                <w:tcPr/>
                <w:p>
                  <w:pPr>
                    <w:pStyle w:val="Compact"/>
                    <w:jc w:val="center"/>
                    <w:jc w:val="center"/>
                  </w:pPr>
                  <w:r>
                    <w:t xml:space="preserve">kokkin</w:t>
                  </w:r>
                </w:p>
              </w:tc>
            </w:tr>
            <w:tr>
              <w:tc>
                <w:tcPr/>
                <w:p>
                  <w:pPr>
                    <w:pStyle w:val="Compact"/>
                  </w:pPr>
                </w:p>
              </w:tc>
              <w:tc>
                <w:tcPr/>
                <w:p>
                  <w:pPr>
                    <w:pStyle w:val="Compact"/>
                    <w:jc w:val="center"/>
                    <w:jc w:val="center"/>
                  </w:pPr>
                  <w:r>
                    <w:t xml:space="preserve">the</w:t>
                  </w:r>
                </w:p>
              </w:tc>
              <w:tc>
                <w:tcPr/>
                <w:p>
                  <w:pPr>
                    <w:pStyle w:val="Compact"/>
                    <w:jc w:val="center"/>
                    <w:jc w:val="center"/>
                  </w:pPr>
                  <w:r>
                    <w:t xml:space="preserve">boy</w:t>
                  </w:r>
                </w:p>
              </w:tc>
              <w:tc>
                <w:tcPr/>
                <w:p>
                  <w:pPr>
                    <w:pStyle w:val="Compact"/>
                    <w:jc w:val="center"/>
                    <w:jc w:val="center"/>
                  </w:pPr>
                  <w:r>
                    <w:t xml:space="preserve">saw</w:t>
                  </w:r>
                </w:p>
              </w:tc>
              <w:tc>
                <w:tcPr/>
                <w:p>
                  <w:pPr>
                    <w:pStyle w:val="Compact"/>
                    <w:jc w:val="center"/>
                    <w:jc w:val="center"/>
                  </w:pPr>
                  <w:r>
                    <w:t xml:space="preserve">[B]</w:t>
                  </w:r>
                </w:p>
              </w:tc>
              <w:tc>
                <w:tcPr/>
                <w:p>
                  <w:pPr>
                    <w:pStyle w:val="Compact"/>
                    <w:jc w:val="center"/>
                    <w:jc w:val="center"/>
                  </w:pPr>
                  <w:r>
                    <w:t xml:space="preserve">cook</w:t>
                  </w:r>
                </w:p>
              </w:tc>
            </w:tr>
            <w:tr>
              <w:tc>
                <w:tcPr/>
                <w:p>
                  <w:pPr>
                    <w:pStyle w:val="Compact"/>
                    <w:jc w:val="center"/>
                    <w:jc w:val="center"/>
                  </w:pPr>
                  <w:r>
                    <w:t xml:space="preserve">4</w:t>
                  </w:r>
                </w:p>
              </w:tc>
              <w:tc>
                <w:tcPr/>
                <w:p>
                  <w:pPr>
                    <w:pStyle w:val="Compact"/>
                    <w:jc w:val="center"/>
                    <w:jc w:val="center"/>
                  </w:pPr>
                  <w:r>
                    <w:t xml:space="preserve">de</w:t>
                  </w:r>
                </w:p>
              </w:tc>
              <w:tc>
                <w:tcPr/>
                <w:p>
                  <w:pPr>
                    <w:pStyle w:val="Compact"/>
                    <w:jc w:val="center"/>
                    <w:jc w:val="center"/>
                  </w:pPr>
                  <w:r>
                    <w:t xml:space="preserve">jongen</w:t>
                  </w:r>
                </w:p>
              </w:tc>
              <w:tc>
                <w:tcPr/>
                <w:p>
                  <w:pPr>
                    <w:pStyle w:val="Compact"/>
                    <w:jc w:val="center"/>
                    <w:jc w:val="center"/>
                  </w:pPr>
                  <w:r>
                    <w:t xml:space="preserve">zag</w:t>
                  </w:r>
                </w:p>
              </w:tc>
              <w:tc>
                <w:tcPr/>
                <w:p>
                  <w:pPr>
                    <w:pStyle w:val="Compact"/>
                    <w:jc w:val="center"/>
                    <w:jc w:val="center"/>
                  </w:pPr>
                  <w:r>
                    <w:t xml:space="preserve">geen</w:t>
                  </w:r>
                </w:p>
              </w:tc>
              <w:tc>
                <w:tcPr/>
                <w:p>
                  <w:pPr>
                    <w:pStyle w:val="Compact"/>
                    <w:jc w:val="center"/>
                    <w:jc w:val="center"/>
                  </w:pPr>
                  <w:r>
                    <w:t xml:space="preserve">kikkers</w:t>
                  </w:r>
                </w:p>
              </w:tc>
            </w:tr>
            <w:tr>
              <w:tc>
                <w:tcPr/>
                <w:p>
                  <w:pPr>
                    <w:pStyle w:val="Compact"/>
                  </w:pPr>
                </w:p>
              </w:tc>
              <w:tc>
                <w:tcPr/>
                <w:p>
                  <w:pPr>
                    <w:pStyle w:val="Compact"/>
                    <w:jc w:val="center"/>
                    <w:jc w:val="center"/>
                  </w:pPr>
                  <w:r>
                    <w:t xml:space="preserve">the</w:t>
                  </w:r>
                </w:p>
              </w:tc>
              <w:tc>
                <w:tcPr/>
                <w:p>
                  <w:pPr>
                    <w:pStyle w:val="Compact"/>
                    <w:jc w:val="center"/>
                    <w:jc w:val="center"/>
                  </w:pPr>
                  <w:r>
                    <w:t xml:space="preserve">boy</w:t>
                  </w:r>
                </w:p>
              </w:tc>
              <w:tc>
                <w:tcPr/>
                <w:p>
                  <w:pPr>
                    <w:pStyle w:val="Compact"/>
                    <w:jc w:val="center"/>
                    <w:jc w:val="center"/>
                  </w:pPr>
                  <w:r>
                    <w:t xml:space="preserve">saw</w:t>
                  </w:r>
                </w:p>
              </w:tc>
              <w:tc>
                <w:tcPr/>
                <w:p>
                  <w:pPr>
                    <w:pStyle w:val="Compact"/>
                    <w:jc w:val="center"/>
                    <w:jc w:val="center"/>
                  </w:pPr>
                  <w:r>
                    <w:t xml:space="preserve">no</w:t>
                  </w:r>
                </w:p>
              </w:tc>
              <w:tc>
                <w:tcPr/>
                <w:p>
                  <w:pPr>
                    <w:pStyle w:val="Compact"/>
                    <w:jc w:val="center"/>
                    <w:jc w:val="center"/>
                  </w:pPr>
                  <w:r>
                    <w:t xml:space="preserve">frogs</w:t>
                  </w:r>
                </w:p>
              </w:tc>
            </w:tr>
            <w:tr>
              <w:tc>
                <w:tcPr/>
                <w:p>
                  <w:pPr>
                    <w:pStyle w:val="Compact"/>
                    <w:jc w:val="center"/>
                    <w:jc w:val="center"/>
                  </w:pPr>
                  <w:r>
                    <w:t xml:space="preserve">5</w:t>
                  </w:r>
                </w:p>
              </w:tc>
              <w:tc>
                <w:tcPr/>
                <w:p>
                  <w:pPr>
                    <w:pStyle w:val="Compact"/>
                    <w:jc w:val="center"/>
                    <w:jc w:val="center"/>
                  </w:pPr>
                  <w:r>
                    <w:t xml:space="preserve">de</w:t>
                  </w:r>
                </w:p>
              </w:tc>
              <w:tc>
                <w:tcPr/>
                <w:p>
                  <w:pPr>
                    <w:pStyle w:val="Compact"/>
                    <w:jc w:val="center"/>
                    <w:jc w:val="center"/>
                  </w:pPr>
                  <w:r>
                    <w:t xml:space="preserve">hond</w:t>
                  </w:r>
                </w:p>
              </w:tc>
              <w:tc>
                <w:tcPr/>
                <w:p>
                  <w:pPr>
                    <w:pStyle w:val="Compact"/>
                    <w:jc w:val="center"/>
                    <w:jc w:val="center"/>
                  </w:pPr>
                  <w:r>
                    <w:t xml:space="preserve">zoekt</w:t>
                  </w:r>
                </w:p>
              </w:tc>
              <w:tc>
                <w:tcPr/>
                <w:p>
                  <w:pPr>
                    <w:pStyle w:val="Compact"/>
                    <w:jc w:val="center"/>
                    <w:jc w:val="center"/>
                  </w:pPr>
                  <w:r>
                    <w:t xml:space="preserve">een</w:t>
                  </w:r>
                </w:p>
              </w:tc>
              <w:tc>
                <w:tcPr/>
                <w:p>
                  <w:pPr>
                    <w:pStyle w:val="Compact"/>
                    <w:jc w:val="center"/>
                    <w:jc w:val="center"/>
                  </w:pPr>
                  <w:r>
                    <w:t xml:space="preserve">[X]</w:t>
                  </w:r>
                </w:p>
              </w:tc>
            </w:tr>
            <w:tr>
              <w:tc>
                <w:tcPr/>
                <w:p>
                  <w:pPr>
                    <w:pStyle w:val="Compact"/>
                  </w:pPr>
                </w:p>
              </w:tc>
              <w:tc>
                <w:tcPr/>
                <w:p>
                  <w:pPr>
                    <w:pStyle w:val="Compact"/>
                    <w:jc w:val="center"/>
                    <w:jc w:val="center"/>
                  </w:pPr>
                  <w:r>
                    <w:t xml:space="preserve">the</w:t>
                  </w:r>
                </w:p>
              </w:tc>
              <w:tc>
                <w:tcPr/>
                <w:p>
                  <w:pPr>
                    <w:pStyle w:val="Compact"/>
                    <w:jc w:val="center"/>
                    <w:jc w:val="center"/>
                  </w:pPr>
                  <w:r>
                    <w:t xml:space="preserve">dog</w:t>
                  </w:r>
                </w:p>
              </w:tc>
              <w:tc>
                <w:tcPr/>
                <w:p>
                  <w:pPr>
                    <w:pStyle w:val="Compact"/>
                    <w:jc w:val="center"/>
                    <w:jc w:val="center"/>
                  </w:pPr>
                  <w:r>
                    <w:t xml:space="preserve">searches</w:t>
                  </w:r>
                </w:p>
              </w:tc>
              <w:tc>
                <w:tcPr/>
                <w:p>
                  <w:pPr>
                    <w:pStyle w:val="Compact"/>
                    <w:jc w:val="center"/>
                    <w:jc w:val="center"/>
                  </w:pPr>
                  <w:r>
                    <w:t xml:space="preserve">a</w:t>
                  </w:r>
                </w:p>
              </w:tc>
              <w:tc>
                <w:tcPr/>
                <w:p>
                  <w:pPr>
                    <w:pStyle w:val="Compact"/>
                    <w:jc w:val="center"/>
                    <w:jc w:val="center"/>
                  </w:pPr>
                  <w:r>
                    <w:t xml:space="preserve">[X]</w:t>
                  </w:r>
                </w:p>
              </w:tc>
            </w:tr>
            <w:tr>
              <w:tc>
                <w:tcPr/>
                <w:p>
                  <w:pPr>
                    <w:pStyle w:val="Compact"/>
                    <w:jc w:val="center"/>
                    <w:jc w:val="center"/>
                  </w:pPr>
                  <w:r>
                    <w:rPr>
                      <w:b/>
                      <w:bCs/>
                    </w:rPr>
                    <w:t xml:space="preserve">Entropy</w:t>
                  </w:r>
                </w:p>
              </w:tc>
              <w:tc>
                <w:tcPr/>
                <w:p>
                  <w:pPr>
                    <w:pStyle w:val="Compact"/>
                    <w:jc w:val="center"/>
                    <w:jc w:val="center"/>
                  </w:pPr>
                  <m:oMath>
                    <m:r>
                      <m:t>0</m:t>
                    </m:r>
                  </m:oMath>
                </w:p>
              </w:tc>
              <w:tc>
                <w:tcPr/>
                <w:p>
                  <w:pPr>
                    <w:pStyle w:val="Compact"/>
                    <w:jc w:val="center"/>
                    <w:jc w:val="center"/>
                  </w:pPr>
                  <m:oMath>
                    <m:r>
                      <m:t>0.3109</m:t>
                    </m:r>
                  </m:oMath>
                </w:p>
              </w:tc>
              <w:tc>
                <w:tcPr/>
                <w:p>
                  <w:pPr>
                    <w:pStyle w:val="Compact"/>
                    <w:jc w:val="center"/>
                    <w:jc w:val="center"/>
                  </w:pPr>
                  <m:oMath>
                    <m:r>
                      <m:t>0.6555</m:t>
                    </m:r>
                  </m:oMath>
                </w:p>
              </w:tc>
              <w:tc>
                <w:tcPr/>
                <w:p>
                  <w:pPr>
                    <w:pStyle w:val="Compact"/>
                    <w:jc w:val="center"/>
                    <w:jc w:val="center"/>
                  </w:pPr>
                  <m:oMath>
                    <m:r>
                      <m:t>0.8277</m:t>
                    </m:r>
                  </m:oMath>
                </w:p>
              </w:tc>
              <w:tc>
                <w:tcPr/>
                <w:p>
                  <w:pPr>
                    <w:pStyle w:val="Compact"/>
                    <w:jc w:val="center"/>
                    <w:jc w:val="center"/>
                  </w:pPr>
                  <m:oMath>
                    <m:r>
                      <m:t>1</m:t>
                    </m:r>
                  </m:oMath>
                </w:p>
              </w:tc>
            </w:tr>
          </w:tbl>
          <w:bookmarkEnd w:id="26"/>
          <w:p/>
        </w:tc>
      </w:tr>
    </w:tbl>
    <w:bookmarkEnd w:id="27"/>
    <w:bookmarkEnd w:id="28"/>
    <w:bookmarkStart w:id="47" w:name="sec-M-SM"/>
    <w:p>
      <w:pPr>
        <w:pStyle w:val="Heading2"/>
      </w:pPr>
      <w:r>
        <w:t xml:space="preserve">Statistical models</w:t>
      </w:r>
    </w:p>
    <w:p>
      <w:pPr>
        <w:pStyle w:val="FirstParagraph"/>
      </w:pPr>
      <w:r>
        <w:t xml:space="preserve">This section articulates the probabilistic formalism of both the Normal LMM and the proposed Beta-proportion GLLAMM. Subsequently, it details the set of fitted models and the estimation procedure, along with the criteria employed to assess the quality of the Bayesian inference results. Lastly, the section outlines the methodology employed for model comparison.</w:t>
      </w:r>
    </w:p>
    <w:p>
      <w:pPr>
        <w:pStyle w:val="BodyText"/>
      </w:pPr>
      <w:r>
        <w:t xml:space="preserve">The selection of the Bayesian approach was based on three key properties. Firstly, empirical evidence from prior research demonstrates that Bayesian methods outperform frequentist methods, particularly in handling complex and over-parameterized models</w:t>
      </w:r>
      <w:r>
        <w:t xml:space="preserve"> </w:t>
      </w:r>
      <w:r>
        <w:t xml:space="preserve">(Baker 1998; Kim and Cohen 1999)</w:t>
      </w:r>
      <w:r>
        <w:t xml:space="preserve">. This superiority is evident when dealing with complex models, like the proposed GLLAMM, that are challenging to program or are not viable under frequentist methods</w:t>
      </w:r>
      <w:r>
        <w:t xml:space="preserve"> </w:t>
      </w:r>
      <w:r>
        <w:t xml:space="preserve">(Depaoli 2014)</w:t>
      </w:r>
      <w:r>
        <w:t xml:space="preserve">. Secondly, the approach allows for the incorporation of prior information, ensuring that certain parameters are confined within specified boundaries. This helps mitigate non-convergence or improper parameter estimation issues commonly observed in complex models under frequentist methods</w:t>
      </w:r>
      <w:r>
        <w:t xml:space="preserve"> </w:t>
      </w:r>
      <w:r>
        <w:t xml:space="preserve">(Martin and McDonald 1975; Seaman and Stamey 2011)</w:t>
      </w:r>
      <w:r>
        <w:t xml:space="preserve">. In this study, for example, this property was leveraged to incorporate information about the variances of random effects and constrain them to be positive. Lastly, the Bayesian approach demonstrates proficiency in handling relatively small sample sizes</w:t>
      </w:r>
      <w:r>
        <w:t xml:space="preserve"> </w:t>
      </w:r>
      <w:r>
        <w:t xml:space="preserve">(Baldwin and Fellingham 2013; Lambert et al. 2006; Depaoli 2014)</w:t>
      </w:r>
      <w:r>
        <w:t xml:space="preserve">. In this case, despite the study dealing with 2,263 entropy scores, these were derived from a modest sample size of 32 speakers, from whom the inferences are drawn. Consequently, reliance on the asymptotic properties of frequentist methods may not be warranted in this context, underscoring the pertinence of this property to the current study.</w:t>
      </w:r>
    </w:p>
    <w:bookmarkStart w:id="31" w:name="sec-M-SM-NLMM"/>
    <w:p>
      <w:pPr>
        <w:pStyle w:val="Heading3"/>
      </w:pPr>
      <w:r>
        <w:t xml:space="preserve">Normal LMM</w:t>
      </w:r>
    </w:p>
    <w:p>
      <w:pPr>
        <w:pStyle w:val="FirstParagraph"/>
      </w:pPr>
      <w:r>
        <w:t xml:space="preserve">The general mathematical formalism of the Normal LMM posits that the likelihood of the (manifest) entropy scores follow a normal distribution, i.e.</w:t>
      </w:r>
    </w:p>
    <w:p>
      <w:pPr>
        <w:pStyle w:val="BodyText"/>
      </w:pPr>
      <w:bookmarkStart w:id="29" w:name="eq-normal-LMM-likelihood"/>
      <m:oMathPara>
        <m:oMathParaPr>
          <m:jc m:val="center"/>
        </m:oMathParaPr>
        <m:oMath>
          <m:sSub>
            <m:e>
              <m:r>
                <m:t>H</m:t>
              </m:r>
            </m:e>
            <m:sub>
              <m:r>
                <m:t>w</m:t>
              </m:r>
              <m:r>
                <m:t>s</m:t>
              </m:r>
              <m:r>
                <m:t>i</m:t>
              </m:r>
              <m:r>
                <m:t>b</m:t>
              </m:r>
            </m:sub>
          </m:sSub>
          <m:r>
            <m:rPr>
              <m:sty m:val="p"/>
            </m:rPr>
            <m:t>∼</m:t>
          </m:r>
          <m:r>
            <m:rPr>
              <m:nor/>
              <m:sty m:val="p"/>
            </m:rPr>
            <m:t>Normal</m:t>
          </m:r>
          <m:d>
            <m:dPr>
              <m:begChr m:val="("/>
              <m:endChr m:val=")"/>
              <m:sepChr m:val=""/>
              <m:grow/>
            </m:dPr>
            <m:e>
              <m:sSub>
                <m:e>
                  <m:r>
                    <m:t>μ</m:t>
                  </m:r>
                </m:e>
                <m:sub>
                  <m:r>
                    <m:t>s</m:t>
                  </m:r>
                  <m:r>
                    <m:t>i</m:t>
                  </m:r>
                  <m:r>
                    <m:t>b</m:t>
                  </m:r>
                </m:sub>
              </m:sSub>
              <m:r>
                <m:rPr>
                  <m:sty m:val="p"/>
                </m:rPr>
                <m:t>,</m:t>
              </m:r>
              <m:sSub>
                <m:e>
                  <m:r>
                    <m:t>σ</m:t>
                  </m:r>
                </m:e>
                <m:sub>
                  <m:r>
                    <m:t>i</m:t>
                  </m:r>
                </m:sub>
              </m:sSub>
            </m:e>
          </m:d>
          <m:r>
            <m:t>  </m:t>
          </m:r>
          <m:d>
            <m:dPr>
              <m:begChr m:val="("/>
              <m:endChr m:val=")"/>
              <m:sepChr m:val=""/>
              <m:grow/>
            </m:dPr>
            <m:e>
              <m:r>
                <m:t>2</m:t>
              </m:r>
            </m:e>
          </m:d>
        </m:oMath>
      </m:oMathPara>
      <w:bookmarkEnd w:id="29"/>
    </w:p>
    <w:p>
      <w:pPr>
        <w:pStyle w:val="FirstParagraph"/>
      </w:pPr>
      <w:r>
        <w:t xml:space="preserve">where</w:t>
      </w:r>
      <w:r>
        <w:t xml:space="preserve"> </w:t>
      </w:r>
      <m:oMath>
        <m:sSub>
          <m:e>
            <m:r>
              <m:t>μ</m:t>
            </m:r>
          </m:e>
          <m:sub>
            <m:r>
              <m:t>s</m:t>
            </m:r>
            <m:r>
              <m:t>i</m:t>
            </m:r>
            <m:r>
              <m:t>b</m:t>
            </m:r>
          </m:sub>
        </m:sSub>
      </m:oMath>
      <w:r>
        <w:t xml:space="preserve"> </w:t>
      </w:r>
      <w:r>
        <w:t xml:space="preserve">represents the average entropy at the word-level and</w:t>
      </w:r>
      <w:r>
        <w:t xml:space="preserve"> </w:t>
      </w:r>
      <m:oMath>
        <m:sSub>
          <m:e>
            <m:r>
              <m:t>σ</m:t>
            </m:r>
          </m:e>
          <m:sub>
            <m:r>
              <m:t>i</m:t>
            </m:r>
          </m:sub>
        </m:sSub>
      </m:oMath>
      <w:r>
        <w:t xml:space="preserve"> </w:t>
      </w:r>
      <w:r>
        <w:t xml:space="preserve">denotes the standard deviation of the average entropy at the word-level, varying for each speaker. Given the clustered nature of the data,</w:t>
      </w:r>
      <w:r>
        <w:t xml:space="preserve"> </w:t>
      </w:r>
      <m:oMath>
        <m:sSub>
          <m:e>
            <m:r>
              <m:t>μ</m:t>
            </m:r>
          </m:e>
          <m:sub>
            <m:r>
              <m:t>s</m:t>
            </m:r>
            <m:r>
              <m:t>i</m:t>
            </m:r>
            <m:r>
              <m:t>b</m:t>
            </m:r>
          </m:sub>
        </m:sSub>
      </m:oMath>
      <w:r>
        <w:t xml:space="preserve"> </w:t>
      </w:r>
      <w:r>
        <w:t xml:space="preserve">is defined by the linear combination of individual characteristics and several random effects:</w:t>
      </w:r>
    </w:p>
    <w:p>
      <w:pPr>
        <w:pStyle w:val="BodyText"/>
      </w:pPr>
      <w:bookmarkStart w:id="30" w:name="eq-normal-LMM-linearpred"/>
      <m:oMathPara>
        <m:oMathParaPr>
          <m:jc m:val="center"/>
        </m:oMathParaPr>
        <m:oMath>
          <m:sSub>
            <m:e>
              <m:r>
                <m:t>μ</m:t>
              </m:r>
            </m:e>
            <m:sub>
              <m:r>
                <m:t>s</m:t>
              </m:r>
              <m:r>
                <m:t>i</m:t>
              </m:r>
              <m:r>
                <m:t>b</m:t>
              </m:r>
            </m:sub>
          </m:sSub>
          <m:r>
            <m:rPr>
              <m:sty m:val="p"/>
            </m:rPr>
            <m:t>=</m:t>
          </m:r>
          <m:r>
            <m:t>α</m:t>
          </m:r>
          <m:r>
            <m:rPr>
              <m:sty m:val="p"/>
            </m:rPr>
            <m:t>+</m:t>
          </m:r>
          <m:sSub>
            <m:e>
              <m:r>
                <m:t>α</m:t>
              </m:r>
            </m:e>
            <m:sub>
              <m:r>
                <m:t>H</m:t>
              </m:r>
              <m:r>
                <m:t>S</m:t>
              </m:r>
              <m:d>
                <m:dPr>
                  <m:begChr m:val="["/>
                  <m:endChr m:val="]"/>
                  <m:sepChr m:val=""/>
                  <m:grow/>
                </m:dPr>
                <m:e>
                  <m:r>
                    <m:t>i</m:t>
                  </m:r>
                </m:e>
              </m:d>
            </m:sub>
          </m:sSub>
          <m:r>
            <m:rPr>
              <m:sty m:val="p"/>
            </m:rPr>
            <m:t>+</m:t>
          </m:r>
          <m:sSub>
            <m:e>
              <m:r>
                <m:t>β</m:t>
              </m:r>
            </m:e>
            <m:sub>
              <m:r>
                <m:t>A</m:t>
              </m:r>
              <m:r>
                <m:rPr>
                  <m:sty m:val="p"/>
                </m:rPr>
                <m:t>,</m:t>
              </m:r>
              <m:r>
                <m:t>H</m:t>
              </m:r>
              <m:r>
                <m:t>S</m:t>
              </m:r>
              <m:d>
                <m:dPr>
                  <m:begChr m:val="["/>
                  <m:endChr m:val="]"/>
                  <m:sepChr m:val=""/>
                  <m:grow/>
                </m:dPr>
                <m:e>
                  <m:r>
                    <m:t>i</m:t>
                  </m:r>
                </m:e>
              </m:d>
            </m:sub>
          </m:sSub>
          <m:d>
            <m:dPr>
              <m:begChr m:val="("/>
              <m:endChr m:val=")"/>
              <m:sepChr m:val=""/>
              <m:grow/>
            </m:dPr>
            <m:e>
              <m:sSub>
                <m:e>
                  <m:r>
                    <m:t>A</m:t>
                  </m:r>
                </m:e>
                <m:sub>
                  <m:r>
                    <m:t>i</m:t>
                  </m:r>
                </m:sub>
              </m:sSub>
              <m:r>
                <m:rPr>
                  <m:sty m:val="p"/>
                </m:rPr>
                <m:t>−</m:t>
              </m:r>
              <m:acc>
                <m:accPr>
                  <m:chr m:val="‾"/>
                </m:accPr>
                <m:e>
                  <m:r>
                    <m:t>A</m:t>
                  </m:r>
                </m:e>
              </m:acc>
            </m:e>
          </m:d>
          <m:r>
            <m:rPr>
              <m:sty m:val="p"/>
            </m:rPr>
            <m:t>+</m:t>
          </m:r>
          <m:sSub>
            <m:e>
              <m:r>
                <m:t>u</m:t>
              </m:r>
            </m:e>
            <m:sub>
              <m:r>
                <m:t>s</m:t>
              </m:r>
              <m:r>
                <m:t>i</m:t>
              </m:r>
            </m:sub>
          </m:sSub>
          <m:r>
            <m:rPr>
              <m:sty m:val="p"/>
            </m:rPr>
            <m:t>+</m:t>
          </m:r>
          <m:sSub>
            <m:e>
              <m:r>
                <m:t>e</m:t>
              </m:r>
            </m:e>
            <m:sub>
              <m:r>
                <m:t>i</m:t>
              </m:r>
            </m:sub>
          </m:sSub>
          <m:r>
            <m:rPr>
              <m:sty m:val="p"/>
            </m:rPr>
            <m:t>+</m:t>
          </m:r>
          <m:sSub>
            <m:e>
              <m:r>
                <m:t>a</m:t>
              </m:r>
            </m:e>
            <m:sub>
              <m:r>
                <m:t>b</m:t>
              </m:r>
            </m:sub>
          </m:sSub>
          <m:r>
            <m:t>  </m:t>
          </m:r>
          <m:d>
            <m:dPr>
              <m:begChr m:val="("/>
              <m:endChr m:val=")"/>
              <m:sepChr m:val=""/>
              <m:grow/>
            </m:dPr>
            <m:e>
              <m:r>
                <m:t>3</m:t>
              </m:r>
            </m:e>
          </m:d>
        </m:oMath>
      </m:oMathPara>
      <w:bookmarkEnd w:id="30"/>
    </w:p>
    <w:p>
      <w:pPr>
        <w:pStyle w:val="FirstParagraph"/>
      </w:pPr>
      <w:r>
        <w:t xml:space="preserve">where</w:t>
      </w:r>
      <w:r>
        <w:t xml:space="preserve"> </w:t>
      </w:r>
      <m:oMath>
        <m:r>
          <m:t>H</m:t>
        </m:r>
        <m:sSub>
          <m:e>
            <m:r>
              <m:t>S</m:t>
            </m:r>
          </m:e>
          <m:sub>
            <m:r>
              <m:t>i</m:t>
            </m:r>
          </m:sub>
        </m:sSub>
      </m:oMath>
      <w:r>
        <w:t xml:space="preserve"> </w:t>
      </w:r>
      <w:r>
        <w:t xml:space="preserve">and</w:t>
      </w:r>
      <w:r>
        <w:t xml:space="preserve"> </w:t>
      </w:r>
      <m:oMath>
        <m:sSub>
          <m:e>
            <m:r>
              <m:t>A</m:t>
            </m:r>
          </m:e>
          <m:sub>
            <m:r>
              <m:t>i</m:t>
            </m:r>
          </m:sub>
        </m:sSub>
      </m:oMath>
      <w:r>
        <w:t xml:space="preserve"> </w:t>
      </w:r>
      <w:r>
        <w:t xml:space="preserve">denote the hearing status and chronological age of speaker</w:t>
      </w:r>
      <w:r>
        <w:t xml:space="preserve"> </w:t>
      </w:r>
      <m:oMath>
        <m:r>
          <m:t>i</m:t>
        </m:r>
      </m:oMath>
      <w:r>
        <w:t xml:space="preserve">, respectively. Additionally,</w:t>
      </w:r>
      <w:r>
        <w:t xml:space="preserve"> </w:t>
      </w:r>
      <m:oMath>
        <m:r>
          <m:t>α</m:t>
        </m:r>
      </m:oMath>
      <w:r>
        <w:t xml:space="preserve"> </w:t>
      </w:r>
      <w:r>
        <w:t xml:space="preserve">denote the general intercept,</w:t>
      </w:r>
      <w:r>
        <w:t xml:space="preserve"> </w:t>
      </w:r>
      <m:oMath>
        <m:sSub>
          <m:e>
            <m:r>
              <m:t>α</m:t>
            </m:r>
          </m:e>
          <m:sub>
            <m:r>
              <m:t>H</m:t>
            </m:r>
            <m:r>
              <m:t>S</m:t>
            </m:r>
            <m:d>
              <m:dPr>
                <m:begChr m:val="["/>
                <m:endChr m:val="]"/>
                <m:sepChr m:val=""/>
                <m:grow/>
              </m:dPr>
              <m:e>
                <m:r>
                  <m:t>i</m:t>
                </m:r>
              </m:e>
            </m:d>
          </m:sub>
        </m:sSub>
      </m:oMath>
      <w:r>
        <w:t xml:space="preserve"> </w:t>
      </w:r>
      <w:r>
        <w:t xml:space="preserve">represents the average entropy for each hearing status group, and</w:t>
      </w:r>
      <w:r>
        <w:t xml:space="preserve"> </w:t>
      </w:r>
      <m:oMath>
        <m:sSub>
          <m:e>
            <m:r>
              <m:t>β</m:t>
            </m:r>
          </m:e>
          <m:sub>
            <m:r>
              <m:t>A</m:t>
            </m:r>
            <m:r>
              <m:rPr>
                <m:sty m:val="p"/>
              </m:rPr>
              <m:t>,</m:t>
            </m:r>
            <m:r>
              <m:t>H</m:t>
            </m:r>
            <m:r>
              <m:t>S</m:t>
            </m:r>
            <m:d>
              <m:dPr>
                <m:begChr m:val="["/>
                <m:endChr m:val="]"/>
                <m:sepChr m:val=""/>
                <m:grow/>
              </m:dPr>
              <m:e>
                <m:r>
                  <m:t>i</m:t>
                </m:r>
              </m:e>
            </m:d>
          </m:sub>
        </m:sSub>
      </m:oMath>
      <w:r>
        <w:t xml:space="preserve"> </w:t>
      </w:r>
      <w:r>
        <w:t xml:space="preserve">denotes the evolution of the average entropy per unit of chronological age</w:t>
      </w:r>
      <w:r>
        <w:t xml:space="preserve"> </w:t>
      </w:r>
      <m:oMath>
        <m:sSub>
          <m:e>
            <m:r>
              <m:t>A</m:t>
            </m:r>
          </m:e>
          <m:sub>
            <m:r>
              <m:t>i</m:t>
            </m:r>
          </m:sub>
        </m:sSub>
      </m:oMath>
      <w:r>
        <w:t xml:space="preserve"> </w:t>
      </w:r>
      <w:r>
        <w:t xml:space="preserve">for each hearing status group. Furthermore,</w:t>
      </w:r>
      <w:r>
        <w:t xml:space="preserve"> </w:t>
      </w:r>
      <m:oMath>
        <m:sSub>
          <m:e>
            <m:r>
              <m:t>u</m:t>
            </m:r>
          </m:e>
          <m:sub>
            <m:r>
              <m:t>s</m:t>
            </m:r>
            <m:r>
              <m:t>i</m:t>
            </m:r>
          </m:sub>
        </m:sSub>
      </m:oMath>
      <w:r>
        <w:t xml:space="preserve"> </w:t>
      </w:r>
      <w:r>
        <w:t xml:space="preserve">denotes the sentence-speaker random effects measuring the unexplained entropy variability within sentences for each speaker,</w:t>
      </w:r>
      <w:r>
        <w:t xml:space="preserve"> </w:t>
      </w:r>
      <m:oMath>
        <m:sSub>
          <m:e>
            <m:r>
              <m:t>e</m:t>
            </m:r>
          </m:e>
          <m:sub>
            <m:r>
              <m:t>i</m:t>
            </m:r>
          </m:sub>
        </m:sSub>
      </m:oMath>
      <w:r>
        <w:t xml:space="preserve"> </w:t>
      </w:r>
      <w:r>
        <w:t xml:space="preserve">denotes the speaker random effects describing the unexplained entropy variability between speakers, and</w:t>
      </w:r>
      <w:r>
        <w:t xml:space="preserve"> </w:t>
      </w:r>
      <m:oMath>
        <m:sSub>
          <m:e>
            <m:r>
              <m:t>a</m:t>
            </m:r>
          </m:e>
          <m:sub>
            <m:r>
              <m:t>b</m:t>
            </m:r>
          </m:sub>
        </m:sSub>
      </m:oMath>
      <w:r>
        <w:t xml:space="preserve"> </w:t>
      </w:r>
      <w:r>
        <w:t xml:space="preserve">denotes the block random effects assessing the unexplained variability between experimental blocks.</w:t>
      </w:r>
    </w:p>
    <w:p>
      <w:pPr>
        <w:pStyle w:val="BodyText"/>
      </w:pPr>
      <w:r>
        <w:t xml:space="preserve">Several notable features of the Normal LLM can be discerned from the equations. Firstly,</w:t>
      </w:r>
      <w:r>
        <w:t xml:space="preserve"> </w:t>
      </w:r>
      <w:hyperlink w:anchor="eq-normal-LMM-likelihood">
        <w:r>
          <w:rPr>
            <w:rStyle w:val="Hyperlink"/>
          </w:rPr>
          <w:t xml:space="preserve">Equation 2</w:t>
        </w:r>
      </w:hyperlink>
      <w:r>
        <w:t xml:space="preserve"> </w:t>
      </w:r>
      <w:r>
        <w:t xml:space="preserve">indicates that the variability of the average entropy at the word level can differ for each speaker, enhancing the model’s</w:t>
      </w:r>
      <w:r>
        <w:t xml:space="preserve"> </w:t>
      </w:r>
      <w:r>
        <w:rPr>
          <w:i/>
          <w:iCs/>
        </w:rPr>
        <w:t xml:space="preserve">robustness</w:t>
      </w:r>
      <w:r>
        <w:t xml:space="preserve"> </w:t>
      </w:r>
      <w:r>
        <w:t xml:space="preserve">to mild or moderate data departures from the normal distribution assumption, such as in the presence of heteroscedasticity or outliers. Secondly,</w:t>
      </w:r>
      <w:r>
        <w:t xml:space="preserve"> </w:t>
      </w:r>
      <w:hyperlink w:anchor="eq-normal-LMM-linearpred">
        <w:r>
          <w:rPr>
            <w:rStyle w:val="Hyperlink"/>
          </w:rPr>
          <w:t xml:space="preserve">Equation 3</w:t>
        </w:r>
      </w:hyperlink>
      <w:r>
        <w:t xml:space="preserve"> </w:t>
      </w:r>
      <w:r>
        <w:t xml:space="preserve">reveals that the model assumes no transformation is applied to the relationship between the average entropy and the linear combination of characteristics. This is commonly known as a direct link function. Moreover,</w:t>
      </w:r>
      <w:r>
        <w:t xml:space="preserve"> </w:t>
      </w:r>
      <w:hyperlink w:anchor="eq-normal-LMM-linearpred">
        <w:r>
          <w:rPr>
            <w:rStyle w:val="Hyperlink"/>
          </w:rPr>
          <w:t xml:space="preserve">Equation 3</w:t>
        </w:r>
      </w:hyperlink>
      <w:r>
        <w:t xml:space="preserve"> </w:t>
      </w:r>
      <w:r>
        <w:t xml:space="preserve">indicates that chronological age is centered around the minimum chronological age in the sample</w:t>
      </w:r>
      <w:r>
        <w:t xml:space="preserve"> </w:t>
      </w:r>
      <m:oMath>
        <m:acc>
          <m:accPr>
            <m:chr m:val="‾"/>
          </m:accPr>
          <m:e>
            <m:r>
              <m:t>A</m:t>
            </m:r>
          </m:e>
        </m:acc>
      </m:oMath>
      <w:r>
        <w:t xml:space="preserve">. The</w:t>
      </w:r>
      <w:r>
        <w:t xml:space="preserve"> </w:t>
      </w:r>
      <w:r>
        <w:rPr>
          <w:i/>
          <w:iCs/>
        </w:rPr>
        <w:t xml:space="preserve">centering</w:t>
      </w:r>
      <w:r>
        <w:t xml:space="preserve"> </w:t>
      </w:r>
      <w:r>
        <w:t xml:space="preserve">procedure prevents the interpretation of parameters outside the range of chronological ages available in the data</w:t>
      </w:r>
      <w:r>
        <w:t xml:space="preserve"> </w:t>
      </w:r>
      <w:r>
        <w:t xml:space="preserve">(Everitt and Skrondal 2010)</w:t>
      </w:r>
      <w:r>
        <w:t xml:space="preserve">. Lastly, the equation implies the model considers separate intercept and separate slope of age for each hearing status group, i.e., NH and HI/CI speakers,</w:t>
      </w:r>
      <w:r>
        <w:t xml:space="preserve"> </w:t>
      </w:r>
      <m:oMath>
        <m:sSub>
          <m:e>
            <m:r>
              <m:t>α</m:t>
            </m:r>
          </m:e>
          <m:sub>
            <m:r>
              <m:t>H</m:t>
            </m:r>
            <m:r>
              <m:t>S</m:t>
            </m:r>
            <m:d>
              <m:dPr>
                <m:begChr m:val="["/>
                <m:endChr m:val="]"/>
                <m:sepChr m:val=""/>
                <m:grow/>
              </m:dPr>
              <m:e>
                <m:r>
                  <m:t>1</m:t>
                </m:r>
              </m:e>
            </m:d>
          </m:sub>
        </m:sSub>
      </m:oMath>
      <w:r>
        <w:t xml:space="preserve"> </w:t>
      </w:r>
      <w:r>
        <w:t xml:space="preserve">and</w:t>
      </w:r>
      <w:r>
        <w:t xml:space="preserve"> </w:t>
      </w:r>
      <m:oMath>
        <m:sSub>
          <m:e>
            <m:r>
              <m:t>α</m:t>
            </m:r>
          </m:e>
          <m:sub>
            <m:r>
              <m:t>H</m:t>
            </m:r>
            <m:r>
              <m:t>S</m:t>
            </m:r>
            <m:d>
              <m:dPr>
                <m:begChr m:val="["/>
                <m:endChr m:val="]"/>
                <m:sepChr m:val=""/>
                <m:grow/>
              </m:dPr>
              <m:e>
                <m:r>
                  <m:t>2</m:t>
                </m:r>
              </m:e>
            </m:d>
          </m:sub>
        </m:sSub>
      </m:oMath>
      <w:r>
        <w:t xml:space="preserve">, respectively.</w:t>
      </w:r>
    </w:p>
    <w:bookmarkEnd w:id="31"/>
    <w:bookmarkStart w:id="35" w:name="sec-M-SM-BGLLAMM"/>
    <w:p>
      <w:pPr>
        <w:pStyle w:val="Heading3"/>
      </w:pPr>
      <w:r>
        <w:t xml:space="preserve">Beta-proportion GLLAMM</w:t>
      </w:r>
    </w:p>
    <w:p>
      <w:pPr>
        <w:pStyle w:val="FirstParagraph"/>
      </w:pPr>
      <w:r>
        <w:t xml:space="preserve">The general mathematical formalism of the proposed Beta-proportion GLLAMM comprises four components: a response model likelihood, a linear predictor, a link function, and a structural model. The likelihood of response model posits the entropy scores follow a Beta-proportion distribution,</w:t>
      </w:r>
    </w:p>
    <w:p>
      <w:pPr>
        <w:pStyle w:val="BodyText"/>
      </w:pPr>
      <w:bookmarkStart w:id="32" w:name="eq-beta-GLLAMM-likelihood"/>
      <m:oMathPara>
        <m:oMathParaPr>
          <m:jc m:val="center"/>
        </m:oMathParaPr>
        <m:oMath>
          <m:sSub>
            <m:e>
              <m:r>
                <m:t>H</m:t>
              </m:r>
            </m:e>
            <m:sub>
              <m:r>
                <m:t>w</m:t>
              </m:r>
              <m:r>
                <m:t>s</m:t>
              </m:r>
              <m:r>
                <m:t>i</m:t>
              </m:r>
              <m:r>
                <m:t>b</m:t>
              </m:r>
            </m:sub>
          </m:sSub>
          <m:r>
            <m:rPr>
              <m:sty m:val="p"/>
            </m:rPr>
            <m:t>∼</m:t>
          </m:r>
          <m:r>
            <m:rPr>
              <m:nor/>
              <m:sty m:val="p"/>
            </m:rPr>
            <m:t>BetaProp</m:t>
          </m:r>
          <m:d>
            <m:dPr>
              <m:begChr m:val="("/>
              <m:endChr m:val=")"/>
              <m:sepChr m:val=""/>
              <m:grow/>
            </m:dPr>
            <m:e>
              <m:sSub>
                <m:e>
                  <m:r>
                    <m:t>μ</m:t>
                  </m:r>
                </m:e>
                <m:sub>
                  <m:r>
                    <m:t>i</m:t>
                  </m:r>
                  <m:r>
                    <m:t>b</m:t>
                  </m:r>
                </m:sub>
              </m:sSub>
              <m:r>
                <m:rPr>
                  <m:sty m:val="p"/>
                </m:rPr>
                <m:t>,</m:t>
              </m:r>
              <m:sSub>
                <m:e>
                  <m:r>
                    <m:t>M</m:t>
                  </m:r>
                </m:e>
                <m:sub>
                  <m:r>
                    <m:t>i</m:t>
                  </m:r>
                </m:sub>
              </m:sSub>
            </m:e>
          </m:d>
          <m:r>
            <m:t>  </m:t>
          </m:r>
          <m:d>
            <m:dPr>
              <m:begChr m:val="("/>
              <m:endChr m:val=")"/>
              <m:sepChr m:val=""/>
              <m:grow/>
            </m:dPr>
            <m:e>
              <m:r>
                <m:t>4</m:t>
              </m:r>
            </m:e>
          </m:d>
        </m:oMath>
      </m:oMathPara>
      <w:bookmarkEnd w:id="32"/>
    </w:p>
    <w:p>
      <w:pPr>
        <w:pStyle w:val="FirstParagraph"/>
      </w:pPr>
      <w:r>
        <w:t xml:space="preserve">where</w:t>
      </w:r>
      <m:oMath>
        <m:sSub>
          <m:e>
            <m:r>
              <m:t>μ</m:t>
            </m:r>
          </m:e>
          <m:sub>
            <m:r>
              <m:t>i</m:t>
            </m:r>
            <m:r>
              <m:t>b</m:t>
            </m:r>
          </m:sub>
        </m:sSub>
      </m:oMath>
      <w:r>
        <w:t xml:space="preserve"> </w:t>
      </w:r>
      <w:r>
        <w:t xml:space="preserve">denotes the average entropy at the word-level and</w:t>
      </w:r>
      <w:r>
        <w:t xml:space="preserve"> </w:t>
      </w:r>
      <m:oMath>
        <m:sSub>
          <m:e>
            <m:r>
              <m:t>M</m:t>
            </m:r>
          </m:e>
          <m:sub>
            <m:r>
              <m:t>i</m:t>
            </m:r>
          </m:sub>
        </m:sSub>
      </m:oMath>
      <w:r>
        <w:t xml:space="preserve"> </w:t>
      </w:r>
      <w:r>
        <w:t xml:space="preserve">signifies the</w:t>
      </w:r>
      <w:r>
        <w:t xml:space="preserve"> </w:t>
      </w:r>
      <w:r>
        <w:rPr>
          <w:i/>
          <w:iCs/>
        </w:rPr>
        <w:t xml:space="preserve">dispersion</w:t>
      </w:r>
      <w:r>
        <w:t xml:space="preserve"> </w:t>
      </w:r>
      <w:r>
        <w:t xml:space="preserve">of the average entropy at the word-level, varying for each speaker. Additionally,</w:t>
      </w:r>
      <w:r>
        <w:t xml:space="preserve"> </w:t>
      </w:r>
      <m:oMath>
        <m:sSub>
          <m:e>
            <m:r>
              <m:t>μ</m:t>
            </m:r>
          </m:e>
          <m:sub>
            <m:r>
              <m:t>i</m:t>
            </m:r>
            <m:r>
              <m:t>b</m:t>
            </m:r>
          </m:sub>
        </m:sSub>
      </m:oMath>
      <w:r>
        <w:t xml:space="preserve"> </w:t>
      </w:r>
      <w:r>
        <w:t xml:space="preserve">is defined as,</w:t>
      </w:r>
    </w:p>
    <w:p>
      <w:pPr>
        <w:pStyle w:val="BodyText"/>
      </w:pPr>
      <w:bookmarkStart w:id="33" w:name="eq-beta-GLLAMM-linpred"/>
      <m:oMathPara>
        <m:oMathParaPr>
          <m:jc m:val="center"/>
        </m:oMathParaPr>
        <m:oMath>
          <m:sSub>
            <m:e>
              <m:r>
                <m:t>μ</m:t>
              </m:r>
            </m:e>
            <m:sub>
              <m:r>
                <m:t>i</m:t>
              </m:r>
              <m:r>
                <m:t>b</m:t>
              </m:r>
            </m:sub>
          </m:sSub>
          <m:r>
            <m:rPr>
              <m:sty m:val="p"/>
            </m:rPr>
            <m:t>=</m:t>
          </m:r>
          <m:sSup>
            <m:e>
              <m:r>
                <m:rPr>
                  <m:nor/>
                  <m:sty m:val="p"/>
                </m:rPr>
                <m:t>logit</m:t>
              </m:r>
            </m:e>
            <m:sup>
              <m:r>
                <m:rPr>
                  <m:sty m:val="p"/>
                </m:rPr>
                <m:t>−</m:t>
              </m:r>
              <m:r>
                <m:t>1</m:t>
              </m:r>
            </m:sup>
          </m:sSup>
          <m:d>
            <m:dPr>
              <m:begChr m:val="["/>
              <m:endChr m:val="]"/>
              <m:sepChr m:val=""/>
              <m:grow/>
            </m:dPr>
            <m:e>
              <m:sSub>
                <m:e>
                  <m:r>
                    <m:t>a</m:t>
                  </m:r>
                </m:e>
                <m:sub>
                  <m:r>
                    <m:t>b</m:t>
                  </m:r>
                </m:sub>
              </m:sSub>
              <m:r>
                <m:rPr>
                  <m:sty m:val="p"/>
                </m:rPr>
                <m:t>−</m:t>
              </m:r>
              <m:r>
                <m:t>S</m:t>
              </m:r>
              <m:sSub>
                <m:e>
                  <m:r>
                    <m:t>I</m:t>
                  </m:r>
                </m:e>
                <m:sub>
                  <m:r>
                    <m:t>i</m:t>
                  </m:r>
                </m:sub>
              </m:sSub>
            </m:e>
          </m:d>
          <m:r>
            <m:t>  </m:t>
          </m:r>
          <m:d>
            <m:dPr>
              <m:begChr m:val="("/>
              <m:endChr m:val=")"/>
              <m:sepChr m:val=""/>
              <m:grow/>
            </m:dPr>
            <m:e>
              <m:r>
                <m:t>5</m:t>
              </m:r>
            </m:e>
          </m:d>
        </m:oMath>
      </m:oMathPara>
      <w:bookmarkEnd w:id="33"/>
    </w:p>
    <w:p>
      <w:pPr>
        <w:pStyle w:val="FirstParagraph"/>
      </w:pPr>
      <w:r>
        <w:t xml:space="preserve">where</w:t>
      </w:r>
      <w:r>
        <w:t xml:space="preserve"> </w:t>
      </w:r>
      <m:oMath>
        <m:sSup>
          <m:e>
            <m:r>
              <m:rPr>
                <m:nor/>
                <m:sty m:val="p"/>
              </m:rPr>
              <m:t>logit</m:t>
            </m:r>
          </m:e>
          <m:sup>
            <m:r>
              <m:rPr>
                <m:sty m:val="p"/>
              </m:rPr>
              <m:t>−</m:t>
            </m:r>
            <m:r>
              <m:t>1</m:t>
            </m:r>
          </m:sup>
        </m:sSup>
        <m:d>
          <m:dPr>
            <m:begChr m:val="("/>
            <m:endChr m:val=")"/>
            <m:sepChr m:val=""/>
            <m:grow/>
          </m:dPr>
          <m:e>
            <m:r>
              <m:t>x</m:t>
            </m:r>
          </m:e>
        </m:d>
        <m:r>
          <m:rPr>
            <m:sty m:val="p"/>
          </m:rPr>
          <m:t>=</m:t>
        </m:r>
        <m:r>
          <m:t>e</m:t>
        </m:r>
        <m:r>
          <m:t>x</m:t>
        </m:r>
        <m:r>
          <m:t>p</m:t>
        </m:r>
        <m:d>
          <m:dPr>
            <m:begChr m:val="("/>
            <m:endChr m:val=")"/>
            <m:sepChr m:val=""/>
            <m:grow/>
          </m:dPr>
          <m:e>
            <m:r>
              <m:t>x</m:t>
            </m:r>
          </m:e>
        </m:d>
        <m:r>
          <m:rPr>
            <m:sty m:val="p"/>
          </m:rPr>
          <m:t>/</m:t>
        </m:r>
        <m:d>
          <m:dPr>
            <m:begChr m:val="("/>
            <m:endChr m:val=")"/>
            <m:sepChr m:val=""/>
            <m:grow/>
          </m:dPr>
          <m:e>
            <m:r>
              <m:t>1</m:t>
            </m:r>
            <m:r>
              <m:rPr>
                <m:sty m:val="p"/>
              </m:rPr>
              <m:t>+</m:t>
            </m:r>
            <m:r>
              <m:t>e</m:t>
            </m:r>
            <m:r>
              <m:t>x</m:t>
            </m:r>
            <m:r>
              <m:t>p</m:t>
            </m:r>
            <m:d>
              <m:dPr>
                <m:begChr m:val="("/>
                <m:endChr m:val=")"/>
                <m:sepChr m:val=""/>
                <m:grow/>
              </m:dPr>
              <m:e>
                <m:r>
                  <m:t>x</m:t>
                </m:r>
              </m:e>
            </m:d>
          </m:e>
        </m:d>
      </m:oMath>
      <w:r>
        <w:t xml:space="preserve"> </w:t>
      </w:r>
      <w:r>
        <w:t xml:space="preserve">is the inverse-logit link function,</w:t>
      </w:r>
      <w:r>
        <w:t xml:space="preserve"> </w:t>
      </w:r>
      <m:oMath>
        <m:sSub>
          <m:e>
            <m:r>
              <m:t>a</m:t>
            </m:r>
          </m:e>
          <m:sub>
            <m:r>
              <m:t>b</m:t>
            </m:r>
          </m:sub>
        </m:sSub>
      </m:oMath>
      <w:r>
        <w:t xml:space="preserve"> </w:t>
      </w:r>
      <w:r>
        <w:t xml:space="preserve">denotes the block random effects, and</w:t>
      </w:r>
      <w:r>
        <w:t xml:space="preserve"> </w:t>
      </w:r>
      <m:oMath>
        <m:r>
          <m:t>S</m:t>
        </m:r>
        <m:sSub>
          <m:e>
            <m:r>
              <m:t>I</m:t>
            </m:r>
          </m:e>
          <m:sub>
            <m:r>
              <m:t>i</m:t>
            </m:r>
          </m:sub>
        </m:sSub>
      </m:oMath>
      <w:r>
        <w:t xml:space="preserve"> </w:t>
      </w:r>
      <w:r>
        <w:t xml:space="preserve">describes the speaker’s latent</w:t>
      </w:r>
      <w:r>
        <w:t xml:space="preserve"> </w:t>
      </w:r>
      <w:r>
        <w:rPr>
          <w:i/>
          <w:iCs/>
        </w:rPr>
        <w:t xml:space="preserve">potential intelligibility</w:t>
      </w:r>
      <w:r>
        <w:t xml:space="preserve">. Conversely, the structural equation model relates the speakers’ latent potential intelligibility to the individual characteristics:</w:t>
      </w:r>
    </w:p>
    <w:p>
      <w:pPr>
        <w:pStyle w:val="BodyText"/>
      </w:pPr>
      <w:bookmarkStart w:id="34" w:name="eq-beta-GLLAMM-structural"/>
      <m:oMathPara>
        <m:oMathParaPr>
          <m:jc m:val="center"/>
        </m:oMathParaPr>
        <m:oMath>
          <m:r>
            <m:t>S</m:t>
          </m:r>
          <m:sSub>
            <m:e>
              <m:r>
                <m:t>I</m:t>
              </m:r>
            </m:e>
            <m:sub>
              <m:r>
                <m:t>i</m:t>
              </m:r>
            </m:sub>
          </m:sSub>
          <m:r>
            <m:rPr>
              <m:sty m:val="p"/>
            </m:rPr>
            <m:t>=</m:t>
          </m:r>
          <m:r>
            <m:t>α</m:t>
          </m:r>
          <m:r>
            <m:rPr>
              <m:sty m:val="p"/>
            </m:rPr>
            <m:t>+</m:t>
          </m:r>
          <m:sSub>
            <m:e>
              <m:r>
                <m:t>α</m:t>
              </m:r>
            </m:e>
            <m:sub>
              <m:r>
                <m:t>H</m:t>
              </m:r>
              <m:r>
                <m:t>S</m:t>
              </m:r>
              <m:d>
                <m:dPr>
                  <m:begChr m:val="["/>
                  <m:endChr m:val="]"/>
                  <m:sepChr m:val=""/>
                  <m:grow/>
                </m:dPr>
                <m:e>
                  <m:r>
                    <m:t>i</m:t>
                  </m:r>
                </m:e>
              </m:d>
            </m:sub>
          </m:sSub>
          <m:r>
            <m:rPr>
              <m:sty m:val="p"/>
            </m:rPr>
            <m:t>+</m:t>
          </m:r>
          <m:sSub>
            <m:e>
              <m:r>
                <m:t>β</m:t>
              </m:r>
            </m:e>
            <m:sub>
              <m:r>
                <m:t>A</m:t>
              </m:r>
              <m:r>
                <m:rPr>
                  <m:sty m:val="p"/>
                </m:rPr>
                <m:t>,</m:t>
              </m:r>
              <m:r>
                <m:t>H</m:t>
              </m:r>
              <m:r>
                <m:t>S</m:t>
              </m:r>
              <m:d>
                <m:dPr>
                  <m:begChr m:val="["/>
                  <m:endChr m:val="]"/>
                  <m:sepChr m:val=""/>
                  <m:grow/>
                </m:dPr>
                <m:e>
                  <m:r>
                    <m:t>i</m:t>
                  </m:r>
                </m:e>
              </m:d>
            </m:sub>
          </m:sSub>
          <m:d>
            <m:dPr>
              <m:begChr m:val="("/>
              <m:endChr m:val=")"/>
              <m:sepChr m:val=""/>
              <m:grow/>
            </m:dPr>
            <m:e>
              <m:sSub>
                <m:e>
                  <m:r>
                    <m:t>A</m:t>
                  </m:r>
                </m:e>
                <m:sub>
                  <m:r>
                    <m:t>i</m:t>
                  </m:r>
                </m:sub>
              </m:sSub>
              <m:r>
                <m:rPr>
                  <m:sty m:val="p"/>
                </m:rPr>
                <m:t>−</m:t>
              </m:r>
              <m:acc>
                <m:accPr>
                  <m:chr m:val="‾"/>
                </m:accPr>
                <m:e>
                  <m:r>
                    <m:t>A</m:t>
                  </m:r>
                </m:e>
              </m:acc>
            </m:e>
          </m:d>
          <m:r>
            <m:rPr>
              <m:sty m:val="p"/>
            </m:rPr>
            <m:t>+</m:t>
          </m:r>
          <m:sSub>
            <m:e>
              <m:r>
                <m:t>e</m:t>
              </m:r>
            </m:e>
            <m:sub>
              <m:r>
                <m:t>i</m:t>
              </m:r>
            </m:sub>
          </m:sSub>
          <m:r>
            <m:rPr>
              <m:sty m:val="p"/>
            </m:rPr>
            <m:t>+</m:t>
          </m:r>
          <m:sSub>
            <m:e>
              <m:r>
                <m:t>u</m:t>
              </m:r>
            </m:e>
            <m:sub>
              <m:r>
                <m:t>i</m:t>
              </m:r>
            </m:sub>
          </m:sSub>
          <m:r>
            <m:t>  </m:t>
          </m:r>
          <m:d>
            <m:dPr>
              <m:begChr m:val="("/>
              <m:endChr m:val=")"/>
              <m:sepChr m:val=""/>
              <m:grow/>
            </m:dPr>
            <m:e>
              <m:r>
                <m:t>6</m:t>
              </m:r>
            </m:e>
          </m:d>
        </m:oMath>
      </m:oMathPara>
      <w:bookmarkEnd w:id="34"/>
    </w:p>
    <w:p>
      <w:pPr>
        <w:pStyle w:val="FirstParagraph"/>
      </w:pPr>
      <w:r>
        <w:t xml:space="preserve">where</w:t>
      </w:r>
      <w:r>
        <w:t xml:space="preserve"> </w:t>
      </w:r>
      <m:oMath>
        <m:r>
          <m:t>α</m:t>
        </m:r>
      </m:oMath>
      <w:r>
        <w:t xml:space="preserve"> </w:t>
      </w:r>
      <w:r>
        <w:t xml:space="preserve">defines the general intercept,</w:t>
      </w:r>
      <w:r>
        <w:t xml:space="preserve"> </w:t>
      </w:r>
      <m:oMath>
        <m:sSub>
          <m:e>
            <m:r>
              <m:t>α</m:t>
            </m:r>
          </m:e>
          <m:sub>
            <m:r>
              <m:t>H</m:t>
            </m:r>
            <m:r>
              <m:t>S</m:t>
            </m:r>
            <m:d>
              <m:dPr>
                <m:begChr m:val="["/>
                <m:endChr m:val="]"/>
                <m:sepChr m:val=""/>
                <m:grow/>
              </m:dPr>
              <m:e>
                <m:r>
                  <m:t>i</m:t>
                </m:r>
              </m:e>
            </m:d>
          </m:sub>
        </m:sSub>
      </m:oMath>
      <w:r>
        <w:t xml:space="preserve"> </w:t>
      </w:r>
      <w:r>
        <w:t xml:space="preserve">denotes the potential intelligibility for different hearing status groups, and</w:t>
      </w:r>
      <w:r>
        <w:t xml:space="preserve"> </w:t>
      </w:r>
      <m:oMath>
        <m:sSub>
          <m:e>
            <m:r>
              <m:t>β</m:t>
            </m:r>
          </m:e>
          <m:sub>
            <m:r>
              <m:t>A</m:t>
            </m:r>
            <m:r>
              <m:rPr>
                <m:sty m:val="p"/>
              </m:rPr>
              <m:t>,</m:t>
            </m:r>
            <m:r>
              <m:t>H</m:t>
            </m:r>
            <m:r>
              <m:t>S</m:t>
            </m:r>
            <m:d>
              <m:dPr>
                <m:begChr m:val="["/>
                <m:endChr m:val="]"/>
                <m:sepChr m:val=""/>
                <m:grow/>
              </m:dPr>
              <m:e>
                <m:r>
                  <m:t>i</m:t>
                </m:r>
              </m:e>
            </m:d>
          </m:sub>
        </m:sSub>
      </m:oMath>
      <w:r>
        <w:t xml:space="preserve"> </w:t>
      </w:r>
      <w:r>
        <w:t xml:space="preserve">indicates the evolution of potential intelligibility per unit of chronological age for each hearing status group. Furthermore,</w:t>
      </w:r>
      <w:r>
        <w:t xml:space="preserve"> </w:t>
      </w:r>
      <m:oMath>
        <m:sSub>
          <m:e>
            <m:r>
              <m:t>e</m:t>
            </m:r>
          </m:e>
          <m:sub>
            <m:r>
              <m:t>i</m:t>
            </m:r>
          </m:sub>
        </m:sSub>
      </m:oMath>
      <w:r>
        <w:t xml:space="preserve"> </w:t>
      </w:r>
      <w:r>
        <w:t xml:space="preserve">represents speakers block effects, describing unexplained potential intelligibility variability between speakers, and</w:t>
      </w:r>
      <w:r>
        <w:t xml:space="preserve"> </w:t>
      </w:r>
      <m:oMath>
        <m:sSub>
          <m:e>
            <m:r>
              <m:t>u</m:t>
            </m:r>
          </m:e>
          <m:sub>
            <m:r>
              <m:t>i</m:t>
            </m:r>
          </m:sub>
        </m:sSub>
        <m:r>
          <m:rPr>
            <m:sty m:val="p"/>
          </m:rPr>
          <m:t>=</m:t>
        </m:r>
        <m:nary>
          <m:naryPr>
            <m:chr m:val="∑"/>
            <m:limLoc m:val="undOvr"/>
            <m:subHide m:val="off"/>
            <m:supHide m:val="off"/>
          </m:naryPr>
          <m:sub>
            <m:r>
              <m:t>s</m:t>
            </m:r>
            <m:r>
              <m:rPr>
                <m:sty m:val="p"/>
              </m:rPr>
              <m:t>=</m:t>
            </m:r>
            <m:r>
              <m:t>1</m:t>
            </m:r>
          </m:sub>
          <m:sup>
            <m:r>
              <m:t>S</m:t>
            </m:r>
          </m:sup>
          <m:e>
            <m:sSub>
              <m:e>
                <m:r>
                  <m:t>u</m:t>
                </m:r>
              </m:e>
              <m:sub>
                <m:r>
                  <m:t>s</m:t>
                </m:r>
                <m:r>
                  <m:t>i</m:t>
                </m:r>
              </m:sub>
            </m:sSub>
          </m:e>
        </m:nary>
        <m:r>
          <m:rPr>
            <m:sty m:val="p"/>
          </m:rPr>
          <m:t>/</m:t>
        </m:r>
        <m:r>
          <m:t>S</m:t>
        </m:r>
      </m:oMath>
      <w:r>
        <w:t xml:space="preserve"> </w:t>
      </w:r>
      <w:r>
        <w:t xml:space="preserve">denotes sentence random effects, assessing the average unexplained potential intelligibility variability among sentences within each speaker, with</w:t>
      </w:r>
      <w:r>
        <w:t xml:space="preserve"> </w:t>
      </w:r>
      <m:oMath>
        <m:r>
          <m:t>S</m:t>
        </m:r>
      </m:oMath>
      <w:r>
        <w:t xml:space="preserve"> </w:t>
      </w:r>
      <w:r>
        <w:t xml:space="preserve">denoting the total number of sentences per speaker.</w:t>
      </w:r>
    </w:p>
    <w:p>
      <w:pPr>
        <w:pStyle w:val="BodyText"/>
      </w:pPr>
      <w:r>
        <w:t xml:space="preserve">Several features are evident in this probabilistic representation. Firstly, akin to the Normal LMM,</w:t>
      </w:r>
      <w:r>
        <w:t xml:space="preserve"> </w:t>
      </w:r>
      <w:hyperlink w:anchor="eq-beta-GLLAMM-likelihood">
        <w:r>
          <w:rPr>
            <w:rStyle w:val="Hyperlink"/>
          </w:rPr>
          <w:t xml:space="preserve">Equation 4</w:t>
        </w:r>
      </w:hyperlink>
      <w:r>
        <w:t xml:space="preserve"> </w:t>
      </w:r>
      <w:r>
        <w:t xml:space="preserve">reveals that the</w:t>
      </w:r>
      <w:r>
        <w:t xml:space="preserve"> </w:t>
      </w:r>
      <w:r>
        <w:rPr>
          <w:i/>
          <w:iCs/>
        </w:rPr>
        <w:t xml:space="preserve">dispersion</w:t>
      </w:r>
      <w:r>
        <w:t xml:space="preserve"> </w:t>
      </w:r>
      <w:r>
        <w:t xml:space="preserve">of average entropy at the word level can differ for each speaker. This enhances the model’s robustness to mild or moderate data departures from the beta-proportion distribution assumption. Secondly, in contrast with the Normal LMM,</w:t>
      </w:r>
      <w:r>
        <w:t xml:space="preserve"> </w:t>
      </w:r>
      <w:hyperlink w:anchor="eq-beta-GLLAMM-linpred">
        <w:r>
          <w:rPr>
            <w:rStyle w:val="Hyperlink"/>
          </w:rPr>
          <w:t xml:space="preserve">Equation 5</w:t>
        </w:r>
      </w:hyperlink>
      <w:r>
        <w:t xml:space="preserve"> </w:t>
      </w:r>
      <w:r>
        <w:t xml:space="preserve">shows the potential intelligibility of a speakers has a negative non-linear relationship with the entropy scores, explicitly highlighting the inverse relationship between intelligibility and entropy. This feature also maps the unbounded linear predictor to the bounded limits of the entropy scores. Thirdly, in contrast with the Normal LMM,</w:t>
      </w:r>
      <w:r>
        <w:t xml:space="preserve"> </w:t>
      </w:r>
      <w:hyperlink w:anchor="eq-beta-GLLAMM-structural">
        <w:r>
          <w:rPr>
            <w:rStyle w:val="Hyperlink"/>
          </w:rPr>
          <w:t xml:space="preserve">Equation 6</w:t>
        </w:r>
      </w:hyperlink>
      <w:r>
        <w:t xml:space="preserve"> </w:t>
      </w:r>
      <w:r>
        <w:t xml:space="preserve">demonstrates that the structural parameters are interpretable in terms of the latent potential intelligibility scores, where the scale of the latent trait is set by the general intercept</w:t>
      </w:r>
      <w:r>
        <w:t xml:space="preserve"> </w:t>
      </w:r>
      <m:oMath>
        <m:r>
          <m:t>α</m:t>
        </m:r>
      </m:oMath>
      <w:r>
        <w:t xml:space="preserve">, as required in latent variable models</w:t>
      </w:r>
      <w:r>
        <w:t xml:space="preserve"> </w:t>
      </w:r>
      <w:r>
        <w:t xml:space="preserve">(Depaoli 2021)</w:t>
      </w:r>
      <w:r>
        <w:t xml:space="preserve">. Furthermore, the equation implies the model also considers separate intercept and separate slope of age for each hearing status group, i.e., NH and HI/CI speakers (</w:t>
      </w:r>
      <m:oMath>
        <m:sSub>
          <m:e>
            <m:r>
              <m:t>α</m:t>
            </m:r>
          </m:e>
          <m:sub>
            <m:r>
              <m:t>H</m:t>
            </m:r>
            <m:r>
              <m:t>S</m:t>
            </m:r>
            <m:d>
              <m:dPr>
                <m:begChr m:val="["/>
                <m:endChr m:val="]"/>
                <m:sepChr m:val=""/>
                <m:grow/>
              </m:dPr>
              <m:e>
                <m:r>
                  <m:t>1</m:t>
                </m:r>
              </m:e>
            </m:d>
          </m:sub>
        </m:sSub>
      </m:oMath>
      <w:r>
        <w:t xml:space="preserve"> </w:t>
      </w:r>
      <w:r>
        <w:t xml:space="preserve">and</w:t>
      </w:r>
      <w:r>
        <w:t xml:space="preserve"> </w:t>
      </w:r>
      <m:oMath>
        <m:sSub>
          <m:e>
            <m:r>
              <m:t>α</m:t>
            </m:r>
          </m:e>
          <m:sub>
            <m:r>
              <m:t>H</m:t>
            </m:r>
            <m:r>
              <m:t>S</m:t>
            </m:r>
            <m:d>
              <m:dPr>
                <m:begChr m:val="["/>
                <m:endChr m:val="]"/>
                <m:sepChr m:val=""/>
                <m:grow/>
              </m:dPr>
              <m:e>
                <m:r>
                  <m:t>2</m:t>
                </m:r>
              </m:e>
            </m:d>
          </m:sub>
        </m:sSub>
      </m:oMath>
      <w:r>
        <w:t xml:space="preserve">, respectively). Additionally,</w:t>
      </w:r>
      <w:r>
        <w:t xml:space="preserve"> </w:t>
      </w:r>
      <w:hyperlink w:anchor="eq-beta-GLLAMM-structural">
        <w:r>
          <w:rPr>
            <w:rStyle w:val="Hyperlink"/>
          </w:rPr>
          <w:t xml:space="preserve">Equation 6</w:t>
        </w:r>
      </w:hyperlink>
      <w:r>
        <w:t xml:space="preserve"> </w:t>
      </w:r>
      <w:r>
        <w:t xml:space="preserve">indicates that chronological age is</w:t>
      </w:r>
      <w:r>
        <w:t xml:space="preserve"> </w:t>
      </w:r>
      <w:r>
        <w:rPr>
          <w:i/>
          <w:iCs/>
        </w:rPr>
        <w:t xml:space="preserve">centered</w:t>
      </w:r>
      <w:r>
        <w:t xml:space="preserve"> </w:t>
      </w:r>
      <w:r>
        <w:t xml:space="preserve">around the minimum chronological age in the sample</w:t>
      </w:r>
      <w:r>
        <w:t xml:space="preserve"> </w:t>
      </w:r>
      <m:oMath>
        <m:acc>
          <m:accPr>
            <m:chr m:val="‾"/>
          </m:accPr>
          <m:e>
            <m:r>
              <m:t>A</m:t>
            </m:r>
          </m:e>
        </m:acc>
      </m:oMath>
      <w:r>
        <w:t xml:space="preserve">. Lastly, the same equation assumes the intelligibility scores have two sources of unexplained variability:</w:t>
      </w:r>
      <w:r>
        <w:t xml:space="preserve"> </w:t>
      </w:r>
      <m:oMath>
        <m:sSub>
          <m:e>
            <m:r>
              <m:t>e</m:t>
            </m:r>
          </m:e>
          <m:sub>
            <m:r>
              <m:t>i</m:t>
            </m:r>
          </m:sub>
        </m:sSub>
      </m:oMath>
      <w:r>
        <w:t xml:space="preserve"> </w:t>
      </w:r>
      <w:r>
        <w:t xml:space="preserve">and</w:t>
      </w:r>
      <w:r>
        <w:t xml:space="preserve"> </w:t>
      </w:r>
      <m:oMath>
        <m:sSub>
          <m:e>
            <m:r>
              <m:t>u</m:t>
            </m:r>
          </m:e>
          <m:sub>
            <m:r>
              <m:t>i</m:t>
            </m:r>
          </m:sub>
        </m:sSub>
      </m:oMath>
      <w:r>
        <w:t xml:space="preserve">. The former represents inherent differences in potential intelligibility among different speakers, while the latter assumes that different sentences measure potential intelligibility differently due to variations in word difficulties and their interplay within the sentence.</w:t>
      </w:r>
    </w:p>
    <w:bookmarkEnd w:id="35"/>
    <w:bookmarkStart w:id="40" w:name="sec-M-SM-P"/>
    <w:p>
      <w:pPr>
        <w:pStyle w:val="Heading3"/>
      </w:pPr>
      <w:r>
        <w:t xml:space="preserve">Prior distributions</w:t>
      </w:r>
    </w:p>
    <w:p>
      <w:pPr>
        <w:pStyle w:val="FirstParagraph"/>
      </w:pPr>
      <w:r>
        <w:t xml:space="preserve">Bayesian procedures require the incorporation of priors. Priors are probability distributions summarizing the information about known or assumed parameters prior to observing any empirical data</w:t>
      </w:r>
      <w:r>
        <w:t xml:space="preserve"> </w:t>
      </w:r>
      <w:r>
        <w:t xml:space="preserve">(Everitt and Skrondal 2010)</w:t>
      </w:r>
      <w:r>
        <w:t xml:space="preserve">. Upon observing empirical data, these priors undergo updating to posterior distributions following Bayes’ rule</w:t>
      </w:r>
      <w:r>
        <w:t xml:space="preserve"> </w:t>
      </w:r>
      <w:r>
        <w:t xml:space="preserve">(Jeffreys 1998)</w:t>
      </w:r>
      <w:r>
        <w:t xml:space="preserve">. In cases requiring greater modeling flexibility, a more refined representation of the parameters’ priors can be defined in terms of hyperparameters and hyperpriors.</w:t>
      </w:r>
      <w:r>
        <w:t xml:space="preserve"> </w:t>
      </w:r>
      <w:r>
        <w:rPr>
          <w:i/>
          <w:iCs/>
        </w:rPr>
        <w:t xml:space="preserve">Hyperparameters</w:t>
      </w:r>
      <w:r>
        <w:t xml:space="preserve"> </w:t>
      </w:r>
      <w:r>
        <w:t xml:space="preserve">refer to parameters indexing a family of possible prior distributions for the original parameter, while</w:t>
      </w:r>
      <w:r>
        <w:t xml:space="preserve"> </w:t>
      </w:r>
      <w:r>
        <w:rPr>
          <w:i/>
          <w:iCs/>
        </w:rPr>
        <w:t xml:space="preserve">hyperpriors</w:t>
      </w:r>
      <w:r>
        <w:t xml:space="preserve"> </w:t>
      </w:r>
      <w:r>
        <w:t xml:space="preserve">are prior distributions for such hyperparameters</w:t>
      </w:r>
      <w:r>
        <w:t xml:space="preserve"> </w:t>
      </w:r>
      <w:r>
        <w:t xml:space="preserve">(Everitt and Skrondal 2010)</w:t>
      </w:r>
      <w:r>
        <w:t xml:space="preserve">.</w:t>
      </w:r>
    </w:p>
    <w:p>
      <w:pPr>
        <w:pStyle w:val="BodyText"/>
      </w:pPr>
      <w:r>
        <w:t xml:space="preserve">This study establishes priors and hyperpriors for the parameters of both the Normal LMM and the Beta-proportion GLLAMM using prior predictive simulations. This procedure entails the semi-independent simulation of parameters, which are subsequently transformed into simulated data values according to the models’ specifications. This procedure aims to establish meaningful priors and comprehend their implications within the context of the model before incorporating any information derived from empirical data</w:t>
      </w:r>
      <w:r>
        <w:t xml:space="preserve"> </w:t>
      </w:r>
      <w:r>
        <w:t xml:space="preserve">(McElreath 2020)</w:t>
      </w:r>
      <w:r>
        <w:t xml:space="preserve">. For reader inspection, the prior predictive simulations are provided in the accompanying digital walk-through document (refer to</w:t>
      </w:r>
      <w:r>
        <w:t xml:space="preserve"> </w:t>
      </w:r>
      <w:hyperlink w:anchor="sec-M-SM-OS">
        <w:r>
          <w:rPr>
            <w:rStyle w:val="Hyperlink"/>
          </w:rPr>
          <w:t xml:space="preserve">Section 2.2.7</w:t>
        </w:r>
      </w:hyperlink>
      <w:r>
        <w:t xml:space="preserve"> </w:t>
      </w:r>
      <w:r>
        <w:t xml:space="preserve">Open Science Statement).</w:t>
      </w:r>
    </w:p>
    <w:bookmarkStart w:id="37" w:name="sec-M-SM-P-NLMM"/>
    <w:p>
      <w:pPr>
        <w:pStyle w:val="Heading4"/>
      </w:pPr>
      <w:r>
        <w:t xml:space="preserve">Normal LMM</w:t>
      </w:r>
    </w:p>
    <w:p>
      <w:pPr>
        <w:pStyle w:val="FirstParagraph"/>
      </w:pPr>
      <w:r>
        <w:t xml:space="preserve">For the parameters of the Normal LMM, non-informative priors and hyperpriors are established to align with analogous model assumptions in frequentist methods. A</w:t>
      </w:r>
      <w:r>
        <w:t xml:space="preserve"> </w:t>
      </w:r>
      <w:r>
        <w:rPr>
          <w:i/>
          <w:iCs/>
        </w:rPr>
        <w:t xml:space="preserve">non-informative</w:t>
      </w:r>
      <w:r>
        <w:t xml:space="preserve"> </w:t>
      </w:r>
      <w:r>
        <w:t xml:space="preserve">prior reflects the distributional commitment of a parameter to a wide range of values within a specific parameter space</w:t>
      </w:r>
      <w:r>
        <w:t xml:space="preserve"> </w:t>
      </w:r>
      <w:r>
        <w:t xml:space="preserve">(Everitt and Skrondal 2010)</w:t>
      </w:r>
      <w:r>
        <w:t xml:space="preserve">. The specified priors are as follows:</w:t>
      </w:r>
    </w:p>
    <w:p>
      <w:pPr>
        <w:pStyle w:val="BodyText"/>
      </w:pPr>
      <w:bookmarkStart w:id="36" w:name="eq-normal-LMM-priors"/>
      <m:oMathPara>
        <m:oMathParaPr>
          <m:jc m:val="center"/>
        </m:oMathParaPr>
        <m:oMath>
          <m:m>
            <m:mPr>
              <m:baseJc m:val="center"/>
              <m:plcHide m:val="on"/>
              <m:mcs>
                <m:mc>
                  <m:mcPr>
                    <m:mcJc m:val="right"/>
                    <m:count m:val="1"/>
                  </m:mcPr>
                </m:mc>
                <m:mc>
                  <m:mcPr>
                    <m:mcJc m:val="left"/>
                    <m:count m:val="1"/>
                  </m:mcPr>
                </m:mc>
              </m:mcs>
            </m:mPr>
            <m:mr>
              <m:e>
                <m:sSub>
                  <m:e>
                    <m:r>
                      <m:t>r</m:t>
                    </m:r>
                  </m:e>
                  <m:sub>
                    <m:r>
                      <m:t>S</m:t>
                    </m:r>
                  </m:sub>
                </m:sSub>
              </m:e>
              <m:e>
                <m:r>
                  <m:rPr>
                    <m:sty m:val="p"/>
                  </m:rPr>
                  <m:t>∼</m:t>
                </m:r>
                <m:r>
                  <m:rPr>
                    <m:nor/>
                    <m:sty m:val="p"/>
                  </m:rPr>
                  <m:t>Exponential</m:t>
                </m:r>
                <m:d>
                  <m:dPr>
                    <m:begChr m:val="("/>
                    <m:endChr m:val=")"/>
                    <m:sepChr m:val=""/>
                    <m:grow/>
                  </m:dPr>
                  <m:e>
                    <m:r>
                      <m:t>2</m:t>
                    </m:r>
                  </m:e>
                </m:d>
              </m:e>
            </m:mr>
            <m:mr>
              <m:e>
                <m:sSub>
                  <m:e>
                    <m:r>
                      <m:t>σ</m:t>
                    </m:r>
                  </m:e>
                  <m:sub>
                    <m:r>
                      <m:t>i</m:t>
                    </m:r>
                  </m:sub>
                </m:sSub>
              </m:e>
              <m:e>
                <m:r>
                  <m:rPr>
                    <m:sty m:val="p"/>
                  </m:rPr>
                  <m:t>∼</m:t>
                </m:r>
                <m:r>
                  <m:rPr>
                    <m:nor/>
                    <m:sty m:val="p"/>
                  </m:rPr>
                  <m:t>Exponential</m:t>
                </m:r>
                <m:d>
                  <m:dPr>
                    <m:begChr m:val="("/>
                    <m:endChr m:val=")"/>
                    <m:sepChr m:val=""/>
                    <m:grow/>
                  </m:dPr>
                  <m:e>
                    <m:sSub>
                      <m:e>
                        <m:r>
                          <m:t>r</m:t>
                        </m:r>
                      </m:e>
                      <m:sub>
                        <m:r>
                          <m:t>S</m:t>
                        </m:r>
                      </m:sub>
                    </m:sSub>
                  </m:e>
                </m:d>
              </m:e>
            </m:mr>
            <m:mr>
              <m:e>
                <m:sSub>
                  <m:e>
                    <m:r>
                      <m:t>m</m:t>
                    </m:r>
                  </m:e>
                  <m:sub>
                    <m:r>
                      <m:t>i</m:t>
                    </m:r>
                  </m:sub>
                </m:sSub>
              </m:e>
              <m:e>
                <m:r>
                  <m:rPr>
                    <m:sty m:val="p"/>
                  </m:rPr>
                  <m:t>∼</m:t>
                </m:r>
                <m:r>
                  <m:rPr>
                    <m:nor/>
                    <m:sty m:val="p"/>
                  </m:rPr>
                  <m:t>Normal</m:t>
                </m:r>
                <m:d>
                  <m:dPr>
                    <m:begChr m:val="("/>
                    <m:endChr m:val=")"/>
                    <m:sepChr m:val=""/>
                    <m:grow/>
                  </m:dPr>
                  <m:e>
                    <m:r>
                      <m:t>0</m:t>
                    </m:r>
                    <m:r>
                      <m:rPr>
                        <m:sty m:val="p"/>
                      </m:rPr>
                      <m:t>,</m:t>
                    </m:r>
                    <m:r>
                      <m:t>0.05</m:t>
                    </m:r>
                  </m:e>
                </m:d>
              </m:e>
            </m:mr>
            <m:mr>
              <m:e>
                <m:sSub>
                  <m:e>
                    <m:r>
                      <m:t>s</m:t>
                    </m:r>
                  </m:e>
                  <m:sub>
                    <m:r>
                      <m:t>i</m:t>
                    </m:r>
                  </m:sub>
                </m:sSub>
              </m:e>
              <m:e>
                <m:r>
                  <m:rPr>
                    <m:sty m:val="p"/>
                  </m:rPr>
                  <m:t>∼</m:t>
                </m:r>
                <m:r>
                  <m:rPr>
                    <m:nor/>
                    <m:sty m:val="p"/>
                  </m:rPr>
                  <m:t>Exponential</m:t>
                </m:r>
                <m:d>
                  <m:dPr>
                    <m:begChr m:val="("/>
                    <m:endChr m:val=")"/>
                    <m:sepChr m:val=""/>
                    <m:grow/>
                  </m:dPr>
                  <m:e>
                    <m:r>
                      <m:t>2</m:t>
                    </m:r>
                  </m:e>
                </m:d>
              </m:e>
            </m:mr>
            <m:mr>
              <m:e>
                <m:sSub>
                  <m:e>
                    <m:r>
                      <m:t>e</m:t>
                    </m:r>
                  </m:e>
                  <m:sub>
                    <m:r>
                      <m:t>i</m:t>
                    </m:r>
                  </m:sub>
                </m:sSub>
              </m:e>
              <m:e>
                <m:r>
                  <m:rPr>
                    <m:sty m:val="p"/>
                  </m:rPr>
                  <m:t>∼</m:t>
                </m:r>
                <m:r>
                  <m:rPr>
                    <m:nor/>
                    <m:sty m:val="p"/>
                  </m:rPr>
                  <m:t>Normal</m:t>
                </m:r>
                <m:d>
                  <m:dPr>
                    <m:begChr m:val="("/>
                    <m:endChr m:val=")"/>
                    <m:sepChr m:val=""/>
                    <m:grow/>
                  </m:dPr>
                  <m:e>
                    <m:sSub>
                      <m:e>
                        <m:r>
                          <m:t>m</m:t>
                        </m:r>
                      </m:e>
                      <m:sub>
                        <m:r>
                          <m:t>i</m:t>
                        </m:r>
                      </m:sub>
                    </m:sSub>
                    <m:r>
                      <m:rPr>
                        <m:sty m:val="p"/>
                      </m:rPr>
                      <m:t>,</m:t>
                    </m:r>
                    <m:sSub>
                      <m:e>
                        <m:r>
                          <m:t>s</m:t>
                        </m:r>
                      </m:e>
                      <m:sub>
                        <m:r>
                          <m:t>i</m:t>
                        </m:r>
                      </m:sub>
                    </m:sSub>
                  </m:e>
                </m:d>
              </m:e>
            </m:mr>
            <m:mr>
              <m:e>
                <m:sSub>
                  <m:e>
                    <m:r>
                      <m:t>m</m:t>
                    </m:r>
                  </m:e>
                  <m:sub>
                    <m:r>
                      <m:t>b</m:t>
                    </m:r>
                  </m:sub>
                </m:sSub>
              </m:e>
              <m:e>
                <m:r>
                  <m:rPr>
                    <m:sty m:val="p"/>
                  </m:rPr>
                  <m:t>∼</m:t>
                </m:r>
                <m:r>
                  <m:rPr>
                    <m:nor/>
                    <m:sty m:val="p"/>
                  </m:rPr>
                  <m:t>Normal</m:t>
                </m:r>
                <m:d>
                  <m:dPr>
                    <m:begChr m:val="("/>
                    <m:endChr m:val=")"/>
                    <m:sepChr m:val=""/>
                    <m:grow/>
                  </m:dPr>
                  <m:e>
                    <m:r>
                      <m:t>0</m:t>
                    </m:r>
                    <m:r>
                      <m:rPr>
                        <m:sty m:val="p"/>
                      </m:rPr>
                      <m:t>,</m:t>
                    </m:r>
                    <m:r>
                      <m:t>0.05</m:t>
                    </m:r>
                  </m:e>
                </m:d>
              </m:e>
            </m:mr>
            <m:mr>
              <m:e>
                <m:sSub>
                  <m:e>
                    <m:r>
                      <m:t>s</m:t>
                    </m:r>
                  </m:e>
                  <m:sub>
                    <m:r>
                      <m:t>b</m:t>
                    </m:r>
                  </m:sub>
                </m:sSub>
              </m:e>
              <m:e>
                <m:r>
                  <m:rPr>
                    <m:sty m:val="p"/>
                  </m:rPr>
                  <m:t>∼</m:t>
                </m:r>
                <m:r>
                  <m:rPr>
                    <m:nor/>
                    <m:sty m:val="p"/>
                  </m:rPr>
                  <m:t>Exponential</m:t>
                </m:r>
                <m:d>
                  <m:dPr>
                    <m:begChr m:val="("/>
                    <m:endChr m:val=")"/>
                    <m:sepChr m:val=""/>
                    <m:grow/>
                  </m:dPr>
                  <m:e>
                    <m:r>
                      <m:t>2</m:t>
                    </m:r>
                  </m:e>
                </m:d>
              </m:e>
            </m:mr>
            <m:mr>
              <m:e>
                <m:sSub>
                  <m:e>
                    <m:r>
                      <m:t>a</m:t>
                    </m:r>
                  </m:e>
                  <m:sub>
                    <m:r>
                      <m:t>b</m:t>
                    </m:r>
                  </m:sub>
                </m:sSub>
              </m:e>
              <m:e>
                <m:r>
                  <m:rPr>
                    <m:sty m:val="p"/>
                  </m:rPr>
                  <m:t>∼</m:t>
                </m:r>
                <m:r>
                  <m:rPr>
                    <m:nor/>
                    <m:sty m:val="p"/>
                  </m:rPr>
                  <m:t>Normal</m:t>
                </m:r>
                <m:d>
                  <m:dPr>
                    <m:begChr m:val="("/>
                    <m:endChr m:val=")"/>
                    <m:sepChr m:val=""/>
                    <m:grow/>
                  </m:dPr>
                  <m:e>
                    <m:sSub>
                      <m:e>
                        <m:r>
                          <m:t>m</m:t>
                        </m:r>
                      </m:e>
                      <m:sub>
                        <m:r>
                          <m:t>b</m:t>
                        </m:r>
                      </m:sub>
                    </m:sSub>
                    <m:r>
                      <m:rPr>
                        <m:sty m:val="p"/>
                      </m:rPr>
                      <m:t>,</m:t>
                    </m:r>
                    <m:sSub>
                      <m:e>
                        <m:r>
                          <m:t>s</m:t>
                        </m:r>
                      </m:e>
                      <m:sub>
                        <m:r>
                          <m:t>b</m:t>
                        </m:r>
                      </m:sub>
                    </m:sSub>
                  </m:e>
                </m:d>
              </m:e>
            </m:mr>
            <m:mr>
              <m:e>
                <m:r>
                  <m:t>α</m:t>
                </m:r>
              </m:e>
              <m:e>
                <m:r>
                  <m:rPr>
                    <m:sty m:val="p"/>
                  </m:rPr>
                  <m:t>∼</m:t>
                </m:r>
                <m:r>
                  <m:rPr>
                    <m:nor/>
                    <m:sty m:val="p"/>
                  </m:rPr>
                  <m:t>Normal</m:t>
                </m:r>
                <m:d>
                  <m:dPr>
                    <m:begChr m:val="("/>
                    <m:endChr m:val=")"/>
                    <m:sepChr m:val=""/>
                    <m:grow/>
                  </m:dPr>
                  <m:e>
                    <m:r>
                      <m:t>0</m:t>
                    </m:r>
                    <m:r>
                      <m:rPr>
                        <m:sty m:val="p"/>
                      </m:rPr>
                      <m:t>,</m:t>
                    </m:r>
                    <m:r>
                      <m:t>0.05</m:t>
                    </m:r>
                  </m:e>
                </m:d>
              </m:e>
            </m:mr>
            <m:mr>
              <m:e>
                <m:sSub>
                  <m:e>
                    <m:r>
                      <m:t>α</m:t>
                    </m:r>
                  </m:e>
                  <m:sub>
                    <m:r>
                      <m:t>H</m:t>
                    </m:r>
                    <m:r>
                      <m:t>S</m:t>
                    </m:r>
                    <m:d>
                      <m:dPr>
                        <m:begChr m:val="["/>
                        <m:endChr m:val="]"/>
                        <m:sepChr m:val=""/>
                        <m:grow/>
                      </m:dPr>
                      <m:e>
                        <m:r>
                          <m:t>i</m:t>
                        </m:r>
                      </m:e>
                    </m:d>
                  </m:sub>
                </m:sSub>
              </m:e>
              <m:e>
                <m:r>
                  <m:rPr>
                    <m:sty m:val="p"/>
                  </m:rPr>
                  <m:t>∼</m:t>
                </m:r>
                <m:r>
                  <m:rPr>
                    <m:nor/>
                    <m:sty m:val="p"/>
                  </m:rPr>
                  <m:t>Normal</m:t>
                </m:r>
                <m:d>
                  <m:dPr>
                    <m:begChr m:val="("/>
                    <m:endChr m:val=")"/>
                    <m:sepChr m:val=""/>
                    <m:grow/>
                  </m:dPr>
                  <m:e>
                    <m:r>
                      <m:t>0</m:t>
                    </m:r>
                    <m:r>
                      <m:rPr>
                        <m:sty m:val="p"/>
                      </m:rPr>
                      <m:t>,</m:t>
                    </m:r>
                    <m:r>
                      <m:t>0.2</m:t>
                    </m:r>
                  </m:e>
                </m:d>
              </m:e>
            </m:mr>
            <m:mr>
              <m:e>
                <m:sSub>
                  <m:e>
                    <m:r>
                      <m:t>β</m:t>
                    </m:r>
                  </m:e>
                  <m:sub>
                    <m:r>
                      <m:t>A</m:t>
                    </m:r>
                    <m:r>
                      <m:rPr>
                        <m:sty m:val="p"/>
                      </m:rPr>
                      <m:t>,</m:t>
                    </m:r>
                    <m:r>
                      <m:t>H</m:t>
                    </m:r>
                    <m:r>
                      <m:t>S</m:t>
                    </m:r>
                    <m:d>
                      <m:dPr>
                        <m:begChr m:val="["/>
                        <m:endChr m:val="]"/>
                        <m:sepChr m:val=""/>
                        <m:grow/>
                      </m:dPr>
                      <m:e>
                        <m:r>
                          <m:t>i</m:t>
                        </m:r>
                      </m:e>
                    </m:d>
                  </m:sub>
                </m:sSub>
              </m:e>
              <m:e>
                <m:r>
                  <m:rPr>
                    <m:sty m:val="p"/>
                  </m:rPr>
                  <m:t>∼</m:t>
                </m:r>
                <m:r>
                  <m:rPr>
                    <m:nor/>
                    <m:sty m:val="p"/>
                  </m:rPr>
                  <m:t>Normal</m:t>
                </m:r>
                <m:d>
                  <m:dPr>
                    <m:begChr m:val="("/>
                    <m:endChr m:val=")"/>
                    <m:sepChr m:val=""/>
                    <m:grow/>
                  </m:dPr>
                  <m:e>
                    <m:r>
                      <m:t>0</m:t>
                    </m:r>
                    <m:r>
                      <m:rPr>
                        <m:sty m:val="p"/>
                      </m:rPr>
                      <m:t>,</m:t>
                    </m:r>
                    <m:r>
                      <m:t>0.1</m:t>
                    </m:r>
                  </m:e>
                </m:d>
              </m:e>
            </m:mr>
          </m:m>
          <m:r>
            <m:t>  </m:t>
          </m:r>
          <m:d>
            <m:dPr>
              <m:begChr m:val="("/>
              <m:endChr m:val=")"/>
              <m:sepChr m:val=""/>
              <m:grow/>
            </m:dPr>
            <m:e>
              <m:r>
                <m:t>7</m:t>
              </m:r>
            </m:e>
          </m:d>
        </m:oMath>
      </m:oMathPara>
      <w:bookmarkEnd w:id="36"/>
    </w:p>
    <w:bookmarkEnd w:id="37"/>
    <w:bookmarkStart w:id="39" w:name="sec-M-SM-P-BGLLAMM"/>
    <w:p>
      <w:pPr>
        <w:pStyle w:val="Heading4"/>
      </w:pPr>
      <w:r>
        <w:t xml:space="preserve">Beta-proportion GLLAMM</w:t>
      </w:r>
    </w:p>
    <w:p>
      <w:pPr>
        <w:pStyle w:val="FirstParagraph"/>
      </w:pPr>
      <w:r>
        <w:t xml:space="preserve">For the parameters of the Beta-proportion GLLAMM, weakly informative priors and hyperpriors are established.</w:t>
      </w:r>
      <w:r>
        <w:t xml:space="preserve"> </w:t>
      </w:r>
      <w:r>
        <w:rPr>
          <w:i/>
          <w:iCs/>
        </w:rPr>
        <w:t xml:space="preserve">Weakly informative priors</w:t>
      </w:r>
      <w:r>
        <w:t xml:space="preserve"> </w:t>
      </w:r>
      <w:r>
        <w:t xml:space="preserve">reflect the distributional commitment of a parameter to a weakly constraint range of values within a realistic parameter space</w:t>
      </w:r>
      <w:r>
        <w:t xml:space="preserve"> </w:t>
      </w:r>
      <w:r>
        <w:t xml:space="preserve">(McElreath 2020)</w:t>
      </w:r>
      <w:r>
        <w:t xml:space="preserve">. The specified priors are as follows:</w:t>
      </w:r>
    </w:p>
    <w:p>
      <w:pPr>
        <w:pStyle w:val="BodyText"/>
      </w:pPr>
      <w:bookmarkStart w:id="38" w:name="eq-beta-GLLAMM-priors"/>
      <m:oMathPara>
        <m:oMathParaPr>
          <m:jc m:val="center"/>
        </m:oMathParaPr>
        <m:oMath>
          <m:m>
            <m:mPr>
              <m:baseJc m:val="center"/>
              <m:plcHide m:val="on"/>
              <m:mcs>
                <m:mc>
                  <m:mcPr>
                    <m:mcJc m:val="right"/>
                    <m:count m:val="1"/>
                  </m:mcPr>
                </m:mc>
                <m:mc>
                  <m:mcPr>
                    <m:mcJc m:val="left"/>
                    <m:count m:val="1"/>
                  </m:mcPr>
                </m:mc>
              </m:mcs>
            </m:mPr>
            <m:mr>
              <m:e>
                <m:sSub>
                  <m:e>
                    <m:r>
                      <m:t>r</m:t>
                    </m:r>
                  </m:e>
                  <m:sub>
                    <m:r>
                      <m:t>M</m:t>
                    </m:r>
                  </m:sub>
                </m:sSub>
              </m:e>
              <m:e>
                <m:r>
                  <m:rPr>
                    <m:sty m:val="p"/>
                  </m:rPr>
                  <m:t>∼</m:t>
                </m:r>
                <m:r>
                  <m:rPr>
                    <m:nor/>
                    <m:sty m:val="p"/>
                  </m:rPr>
                  <m:t>Exponential</m:t>
                </m:r>
                <m:d>
                  <m:dPr>
                    <m:begChr m:val="("/>
                    <m:endChr m:val=")"/>
                    <m:sepChr m:val=""/>
                    <m:grow/>
                  </m:dPr>
                  <m:e>
                    <m:r>
                      <m:t>2</m:t>
                    </m:r>
                  </m:e>
                </m:d>
              </m:e>
            </m:mr>
            <m:mr>
              <m:e>
                <m:sSub>
                  <m:e>
                    <m:r>
                      <m:t>M</m:t>
                    </m:r>
                  </m:e>
                  <m:sub>
                    <m:r>
                      <m:t>i</m:t>
                    </m:r>
                  </m:sub>
                </m:sSub>
              </m:e>
              <m:e>
                <m:r>
                  <m:rPr>
                    <m:sty m:val="p"/>
                  </m:rPr>
                  <m:t>∼</m:t>
                </m:r>
                <m:r>
                  <m:rPr>
                    <m:nor/>
                    <m:sty m:val="p"/>
                  </m:rPr>
                  <m:t>Exponential</m:t>
                </m:r>
                <m:d>
                  <m:dPr>
                    <m:begChr m:val="("/>
                    <m:endChr m:val=")"/>
                    <m:sepChr m:val=""/>
                    <m:grow/>
                  </m:dPr>
                  <m:e>
                    <m:sSub>
                      <m:e>
                        <m:r>
                          <m:t>r</m:t>
                        </m:r>
                      </m:e>
                      <m:sub>
                        <m:r>
                          <m:t>M</m:t>
                        </m:r>
                      </m:sub>
                    </m:sSub>
                  </m:e>
                </m:d>
              </m:e>
            </m:mr>
            <m:mr>
              <m:e>
                <m:sSub>
                  <m:e>
                    <m:r>
                      <m:t>m</m:t>
                    </m:r>
                  </m:e>
                  <m:sub>
                    <m:r>
                      <m:t>i</m:t>
                    </m:r>
                  </m:sub>
                </m:sSub>
              </m:e>
              <m:e>
                <m:r>
                  <m:rPr>
                    <m:sty m:val="p"/>
                  </m:rPr>
                  <m:t>∼</m:t>
                </m:r>
                <m:r>
                  <m:rPr>
                    <m:nor/>
                    <m:sty m:val="p"/>
                  </m:rPr>
                  <m:t>Normal</m:t>
                </m:r>
                <m:d>
                  <m:dPr>
                    <m:begChr m:val="("/>
                    <m:endChr m:val=")"/>
                    <m:sepChr m:val=""/>
                    <m:grow/>
                  </m:dPr>
                  <m:e>
                    <m:r>
                      <m:t>0</m:t>
                    </m:r>
                    <m:r>
                      <m:rPr>
                        <m:sty m:val="p"/>
                      </m:rPr>
                      <m:t>,</m:t>
                    </m:r>
                    <m:r>
                      <m:t>0.05</m:t>
                    </m:r>
                  </m:e>
                </m:d>
              </m:e>
            </m:mr>
            <m:mr>
              <m:e>
                <m:sSub>
                  <m:e>
                    <m:r>
                      <m:t>s</m:t>
                    </m:r>
                  </m:e>
                  <m:sub>
                    <m:r>
                      <m:t>i</m:t>
                    </m:r>
                  </m:sub>
                </m:sSub>
              </m:e>
              <m:e>
                <m:r>
                  <m:rPr>
                    <m:sty m:val="p"/>
                  </m:rPr>
                  <m:t>∼</m:t>
                </m:r>
                <m:r>
                  <m:rPr>
                    <m:nor/>
                    <m:sty m:val="p"/>
                  </m:rPr>
                  <m:t>Exponential</m:t>
                </m:r>
                <m:d>
                  <m:dPr>
                    <m:begChr m:val="("/>
                    <m:endChr m:val=")"/>
                    <m:sepChr m:val=""/>
                    <m:grow/>
                  </m:dPr>
                  <m:e>
                    <m:r>
                      <m:t>2</m:t>
                    </m:r>
                  </m:e>
                </m:d>
              </m:e>
            </m:mr>
            <m:mr>
              <m:e>
                <m:sSub>
                  <m:e>
                    <m:r>
                      <m:t>e</m:t>
                    </m:r>
                  </m:e>
                  <m:sub>
                    <m:r>
                      <m:t>i</m:t>
                    </m:r>
                  </m:sub>
                </m:sSub>
              </m:e>
              <m:e>
                <m:r>
                  <m:rPr>
                    <m:sty m:val="p"/>
                  </m:rPr>
                  <m:t>∼</m:t>
                </m:r>
                <m:r>
                  <m:rPr>
                    <m:nor/>
                    <m:sty m:val="p"/>
                  </m:rPr>
                  <m:t>Normal</m:t>
                </m:r>
                <m:d>
                  <m:dPr>
                    <m:begChr m:val="("/>
                    <m:endChr m:val=")"/>
                    <m:sepChr m:val=""/>
                    <m:grow/>
                  </m:dPr>
                  <m:e>
                    <m:sSub>
                      <m:e>
                        <m:r>
                          <m:t>m</m:t>
                        </m:r>
                      </m:e>
                      <m:sub>
                        <m:r>
                          <m:t>i</m:t>
                        </m:r>
                      </m:sub>
                    </m:sSub>
                    <m:r>
                      <m:rPr>
                        <m:sty m:val="p"/>
                      </m:rPr>
                      <m:t>,</m:t>
                    </m:r>
                    <m:sSub>
                      <m:e>
                        <m:r>
                          <m:t>s</m:t>
                        </m:r>
                      </m:e>
                      <m:sub>
                        <m:r>
                          <m:t>i</m:t>
                        </m:r>
                      </m:sub>
                    </m:sSub>
                  </m:e>
                </m:d>
              </m:e>
            </m:mr>
            <m:mr>
              <m:e>
                <m:sSub>
                  <m:e>
                    <m:r>
                      <m:t>m</m:t>
                    </m:r>
                  </m:e>
                  <m:sub>
                    <m:r>
                      <m:t>b</m:t>
                    </m:r>
                  </m:sub>
                </m:sSub>
              </m:e>
              <m:e>
                <m:r>
                  <m:rPr>
                    <m:sty m:val="p"/>
                  </m:rPr>
                  <m:t>∼</m:t>
                </m:r>
                <m:r>
                  <m:rPr>
                    <m:nor/>
                    <m:sty m:val="p"/>
                  </m:rPr>
                  <m:t>Normal</m:t>
                </m:r>
                <m:d>
                  <m:dPr>
                    <m:begChr m:val="("/>
                    <m:endChr m:val=")"/>
                    <m:sepChr m:val=""/>
                    <m:grow/>
                  </m:dPr>
                  <m:e>
                    <m:r>
                      <m:t>0</m:t>
                    </m:r>
                    <m:r>
                      <m:rPr>
                        <m:sty m:val="p"/>
                      </m:rPr>
                      <m:t>,</m:t>
                    </m:r>
                    <m:r>
                      <m:t>0.05</m:t>
                    </m:r>
                  </m:e>
                </m:d>
              </m:e>
            </m:mr>
            <m:mr>
              <m:e>
                <m:sSub>
                  <m:e>
                    <m:r>
                      <m:t>s</m:t>
                    </m:r>
                  </m:e>
                  <m:sub>
                    <m:r>
                      <m:t>b</m:t>
                    </m:r>
                  </m:sub>
                </m:sSub>
              </m:e>
              <m:e>
                <m:r>
                  <m:rPr>
                    <m:sty m:val="p"/>
                  </m:rPr>
                  <m:t>∼</m:t>
                </m:r>
                <m:r>
                  <m:rPr>
                    <m:nor/>
                    <m:sty m:val="p"/>
                  </m:rPr>
                  <m:t>Exponential</m:t>
                </m:r>
                <m:d>
                  <m:dPr>
                    <m:begChr m:val="("/>
                    <m:endChr m:val=")"/>
                    <m:sepChr m:val=""/>
                    <m:grow/>
                  </m:dPr>
                  <m:e>
                    <m:r>
                      <m:t>2</m:t>
                    </m:r>
                  </m:e>
                </m:d>
              </m:e>
            </m:mr>
            <m:mr>
              <m:e>
                <m:sSub>
                  <m:e>
                    <m:r>
                      <m:t>a</m:t>
                    </m:r>
                  </m:e>
                  <m:sub>
                    <m:r>
                      <m:t>b</m:t>
                    </m:r>
                  </m:sub>
                </m:sSub>
              </m:e>
              <m:e>
                <m:r>
                  <m:rPr>
                    <m:sty m:val="p"/>
                  </m:rPr>
                  <m:t>∼</m:t>
                </m:r>
                <m:r>
                  <m:rPr>
                    <m:nor/>
                    <m:sty m:val="p"/>
                  </m:rPr>
                  <m:t>Normal</m:t>
                </m:r>
                <m:d>
                  <m:dPr>
                    <m:begChr m:val="("/>
                    <m:endChr m:val=")"/>
                    <m:sepChr m:val=""/>
                    <m:grow/>
                  </m:dPr>
                  <m:e>
                    <m:sSub>
                      <m:e>
                        <m:r>
                          <m:t>m</m:t>
                        </m:r>
                      </m:e>
                      <m:sub>
                        <m:r>
                          <m:t>b</m:t>
                        </m:r>
                      </m:sub>
                    </m:sSub>
                    <m:r>
                      <m:rPr>
                        <m:sty m:val="p"/>
                      </m:rPr>
                      <m:t>,</m:t>
                    </m:r>
                    <m:sSub>
                      <m:e>
                        <m:r>
                          <m:t>s</m:t>
                        </m:r>
                      </m:e>
                      <m:sub>
                        <m:r>
                          <m:t>b</m:t>
                        </m:r>
                      </m:sub>
                    </m:sSub>
                  </m:e>
                </m:d>
              </m:e>
            </m:mr>
            <m:mr>
              <m:e>
                <m:r>
                  <m:t>α</m:t>
                </m:r>
              </m:e>
              <m:e>
                <m:r>
                  <m:rPr>
                    <m:sty m:val="p"/>
                  </m:rPr>
                  <m:t>∼</m:t>
                </m:r>
                <m:r>
                  <m:rPr>
                    <m:nor/>
                    <m:sty m:val="p"/>
                  </m:rPr>
                  <m:t>Normal</m:t>
                </m:r>
                <m:d>
                  <m:dPr>
                    <m:begChr m:val="("/>
                    <m:endChr m:val=")"/>
                    <m:sepChr m:val=""/>
                    <m:grow/>
                  </m:dPr>
                  <m:e>
                    <m:r>
                      <m:t>0</m:t>
                    </m:r>
                    <m:r>
                      <m:rPr>
                        <m:sty m:val="p"/>
                      </m:rPr>
                      <m:t>,</m:t>
                    </m:r>
                    <m:r>
                      <m:t>0.05</m:t>
                    </m:r>
                  </m:e>
                </m:d>
              </m:e>
            </m:mr>
            <m:mr>
              <m:e>
                <m:sSub>
                  <m:e>
                    <m:r>
                      <m:t>α</m:t>
                    </m:r>
                  </m:e>
                  <m:sub>
                    <m:r>
                      <m:t>H</m:t>
                    </m:r>
                    <m:r>
                      <m:t>S</m:t>
                    </m:r>
                    <m:d>
                      <m:dPr>
                        <m:begChr m:val="["/>
                        <m:endChr m:val="]"/>
                        <m:sepChr m:val=""/>
                        <m:grow/>
                      </m:dPr>
                      <m:e>
                        <m:r>
                          <m:t>i</m:t>
                        </m:r>
                      </m:e>
                    </m:d>
                  </m:sub>
                </m:sSub>
              </m:e>
              <m:e>
                <m:r>
                  <m:rPr>
                    <m:sty m:val="p"/>
                  </m:rPr>
                  <m:t>∼</m:t>
                </m:r>
                <m:r>
                  <m:rPr>
                    <m:nor/>
                    <m:sty m:val="p"/>
                  </m:rPr>
                  <m:t>Normal</m:t>
                </m:r>
                <m:d>
                  <m:dPr>
                    <m:begChr m:val="("/>
                    <m:endChr m:val=")"/>
                    <m:sepChr m:val=""/>
                    <m:grow/>
                  </m:dPr>
                  <m:e>
                    <m:r>
                      <m:t>0</m:t>
                    </m:r>
                    <m:r>
                      <m:rPr>
                        <m:sty m:val="p"/>
                      </m:rPr>
                      <m:t>,</m:t>
                    </m:r>
                    <m:r>
                      <m:t>0.3</m:t>
                    </m:r>
                  </m:e>
                </m:d>
              </m:e>
            </m:mr>
            <m:mr>
              <m:e>
                <m:sSub>
                  <m:e>
                    <m:r>
                      <m:t>β</m:t>
                    </m:r>
                  </m:e>
                  <m:sub>
                    <m:r>
                      <m:t>A</m:t>
                    </m:r>
                    <m:r>
                      <m:rPr>
                        <m:sty m:val="p"/>
                      </m:rPr>
                      <m:t>,</m:t>
                    </m:r>
                    <m:r>
                      <m:t>H</m:t>
                    </m:r>
                    <m:r>
                      <m:t>S</m:t>
                    </m:r>
                    <m:d>
                      <m:dPr>
                        <m:begChr m:val="["/>
                        <m:endChr m:val="]"/>
                        <m:sepChr m:val=""/>
                        <m:grow/>
                      </m:dPr>
                      <m:e>
                        <m:r>
                          <m:t>i</m:t>
                        </m:r>
                      </m:e>
                    </m:d>
                  </m:sub>
                </m:sSub>
              </m:e>
              <m:e>
                <m:r>
                  <m:rPr>
                    <m:sty m:val="p"/>
                  </m:rPr>
                  <m:t>∼</m:t>
                </m:r>
                <m:r>
                  <m:rPr>
                    <m:nor/>
                    <m:sty m:val="p"/>
                  </m:rPr>
                  <m:t>Normal</m:t>
                </m:r>
                <m:d>
                  <m:dPr>
                    <m:begChr m:val="("/>
                    <m:endChr m:val=")"/>
                    <m:sepChr m:val=""/>
                    <m:grow/>
                  </m:dPr>
                  <m:e>
                    <m:r>
                      <m:t>0</m:t>
                    </m:r>
                    <m:r>
                      <m:rPr>
                        <m:sty m:val="p"/>
                      </m:rPr>
                      <m:t>,</m:t>
                    </m:r>
                    <m:r>
                      <m:t>0.1</m:t>
                    </m:r>
                  </m:e>
                </m:d>
              </m:e>
            </m:mr>
          </m:m>
          <m:r>
            <m:t>  </m:t>
          </m:r>
          <m:d>
            <m:dPr>
              <m:begChr m:val="("/>
              <m:endChr m:val=")"/>
              <m:sepChr m:val=""/>
              <m:grow/>
            </m:dPr>
            <m:e>
              <m:r>
                <m:t>8</m:t>
              </m:r>
            </m:e>
          </m:d>
        </m:oMath>
      </m:oMathPara>
      <w:bookmarkEnd w:id="38"/>
    </w:p>
    <w:bookmarkEnd w:id="39"/>
    <w:bookmarkEnd w:id="40"/>
    <w:bookmarkStart w:id="42" w:name="sec-M-SM-FM"/>
    <w:p>
      <w:pPr>
        <w:pStyle w:val="Heading3"/>
      </w:pPr>
      <w:r>
        <w:t xml:space="preserve">Fitted models</w:t>
      </w:r>
    </w:p>
    <w:p>
      <w:pPr>
        <w:pStyle w:val="FirstParagraph"/>
      </w:pPr>
      <w:r>
        <w:t xml:space="preserve">This study evaluates the comparative predictive capabilities of both the Normal LMM and the Beta-proportion GLLAMM (RQ1) while simultaneously examining various formulations regarding how speaker-related factors influence intelligibility (RQ3). In this context, the predictive capabilities of the models are intricately connected to these formulations. As a result, the study requires fitting</w:t>
      </w:r>
      <w:r>
        <w:t xml:space="preserve"> </w:t>
      </w:r>
      <m:oMath>
        <m:r>
          <m:t>12</m:t>
        </m:r>
      </m:oMath>
      <w:r>
        <w:t xml:space="preserve"> </w:t>
      </w:r>
      <w:r>
        <w:t xml:space="preserve">different models, each representing a specific manner to investigate one or both research questions. The models comprised six versions of both the Normal LMM and the Beta-proportion GLLAMM. The differences among the models hinged on (1) whether they addressed data clustering in conjunction with measurement error, denoted as the model type, (2) the assumed distribution for the entropy scores, which aimed to handle boundedness, (3) whether the model incorporates a robust feature to address mild or moderate departures of the data from distributional assumptions, and (4) the inclusion or exclusion of speaker-related factors in the models. A detailed overview of the fitted models is available in</w:t>
      </w:r>
      <w:r>
        <w:t xml:space="preserve"> </w:t>
      </w:r>
      <w:hyperlink w:anchor="tbl-fitted">
        <w:r>
          <w:rPr>
            <w:rStyle w:val="Hyperlink"/>
          </w:rPr>
          <w:t xml:space="preserve">Table 2</w:t>
        </w:r>
      </w:hyperlink>
      <w:r>
        <w:t xml:space="preserve">.</w:t>
      </w:r>
    </w:p>
    <w:tbl>
      <w:tblPr>
        <w:tblStyle w:val="Table"/>
        <w:tblW w:type="pct" w:w="5000"/>
        <w:jc w:val="left"/>
        <w:tblLayout w:type="fixed"/>
        <w:tblLook w:firstRow="0" w:lastRow="0" w:firstColumn="0" w:lastColumn="0" w:noHBand="0" w:noVBand="0" w:val="0000"/>
      </w:tblPr>
      <w:tblGrid>
        <w:gridCol w:w="7920"/>
      </w:tblGrid>
      <w:tr>
        <w:tc>
          <w:tcPr/>
          <w:bookmarkStart w:id="41" w:name="tbl-fitted"/>
          <w:p>
            <w:pPr>
              <w:jc w:val="center"/>
            </w:pPr>
            <w:pPr>
              <w:jc w:val="start"/>
              <w:spacing w:before="200"/>
              <w:pStyle w:val="ImageCaption"/>
            </w:pPr>
            <w:r>
              <w:t xml:space="preserve">Table 2: Fitted models.</w:t>
            </w:r>
          </w:p>
          <w:tbl>
            <w:tblPr>
              <w:tblStyle w:val="Table"/>
              <w:tblW w:type="pct" w:w="4747"/>
              <w:jc w:val="left"/>
              <w:tblLayout w:type="fixed"/>
              <w:tblLook w:firstRow="1" w:lastRow="0" w:firstColumn="0" w:lastColumn="0" w:noHBand="0" w:noVBand="0" w:val="0020"/>
            </w:tblPr>
            <w:tblGrid>
              <w:gridCol w:w="640"/>
              <w:gridCol w:w="800"/>
              <w:gridCol w:w="1200"/>
              <w:gridCol w:w="800"/>
              <w:gridCol w:w="1360"/>
              <w:gridCol w:w="1120"/>
              <w:gridCol w:w="1600"/>
            </w:tblGrid>
            <w:tr>
              <w:trPr>
                <w:tblHeader w:val="on"/>
              </w:trPr>
              <w:tc>
                <w:tcPr/>
                <w:p>
                  <w:pPr>
                    <w:pStyle w:val="Compact"/>
                  </w:pPr>
                </w:p>
              </w:tc>
              <w:tc>
                <w:tcPr/>
                <w:p>
                  <w:pPr>
                    <w:pStyle w:val="Compact"/>
                    <w:jc w:val="center"/>
                    <w:jc w:val="center"/>
                  </w:pPr>
                  <w:r>
                    <w:t xml:space="preserve">Model</w:t>
                  </w:r>
                </w:p>
              </w:tc>
              <w:tc>
                <w:tcPr/>
                <w:p>
                  <w:pPr>
                    <w:pStyle w:val="Compact"/>
                    <w:jc w:val="center"/>
                    <w:jc w:val="center"/>
                  </w:pPr>
                  <w:r>
                    <w:t xml:space="preserve">Entropy</w:t>
                  </w:r>
                </w:p>
              </w:tc>
              <w:tc>
                <w:tcPr/>
                <w:p>
                  <w:pPr>
                    <w:pStyle w:val="Compact"/>
                    <w:jc w:val="center"/>
                    <w:jc w:val="center"/>
                  </w:pPr>
                  <w:r>
                    <w:t xml:space="preserve">Robust</w:t>
                  </w:r>
                </w:p>
              </w:tc>
              <w:tc>
                <w:tcPr/>
                <w:p>
                  <w:pPr>
                    <w:pStyle w:val="Compact"/>
                    <w:jc w:val="center"/>
                    <w:jc w:val="center"/>
                  </w:pPr>
                  <w:r>
                    <w:t xml:space="preserve">Fixed effects</w:t>
                  </w:r>
                </w:p>
              </w:tc>
              <w:tc>
                <w:tcPr/>
                <w:p>
                  <w:pPr>
                    <w:pStyle w:val="Compact"/>
                  </w:pPr>
                </w:p>
              </w:tc>
              <w:tc>
                <w:tcPr/>
                <w:p>
                  <w:pPr>
                    <w:pStyle w:val="Compact"/>
                  </w:pPr>
                </w:p>
              </w:tc>
            </w:tr>
            <w:tr>
              <w:trPr>
                <w:tblHeader w:val="on"/>
              </w:trPr>
              <w:tc>
                <w:tcPr/>
                <w:p>
                  <w:pPr>
                    <w:pStyle w:val="Compact"/>
                    <w:jc w:val="center"/>
                    <w:jc w:val="center"/>
                  </w:pPr>
                  <w:r>
                    <w:t xml:space="preserve">Model</w:t>
                  </w:r>
                </w:p>
              </w:tc>
              <w:tc>
                <w:tcPr/>
                <w:p>
                  <w:pPr>
                    <w:pStyle w:val="Compact"/>
                    <w:jc w:val="center"/>
                    <w:jc w:val="center"/>
                  </w:pPr>
                  <w:r>
                    <w:t xml:space="preserve">type</w:t>
                  </w:r>
                </w:p>
              </w:tc>
              <w:tc>
                <w:tcPr/>
                <w:p>
                  <w:pPr>
                    <w:pStyle w:val="Compact"/>
                    <w:jc w:val="center"/>
                    <w:jc w:val="center"/>
                  </w:pPr>
                  <w:r>
                    <w:t xml:space="preserve">distribution</w:t>
                  </w:r>
                </w:p>
              </w:tc>
              <w:tc>
                <w:tcPr/>
                <w:p>
                  <w:pPr>
                    <w:pStyle w:val="Compact"/>
                    <w:jc w:val="center"/>
                    <w:jc w:val="center"/>
                  </w:pPr>
                  <w:r>
                    <w:t xml:space="preserve">feature</w:t>
                  </w:r>
                </w:p>
              </w:tc>
              <w:tc>
                <w:tcPr/>
                <w:p>
                  <w:pPr>
                    <w:pStyle w:val="Compact"/>
                    <w:jc w:val="center"/>
                    <w:jc w:val="center"/>
                  </w:pPr>
                  <m:oMath>
                    <m:sSub>
                      <m:e>
                        <m:r>
                          <m:t>β</m:t>
                        </m:r>
                      </m:e>
                      <m:sub>
                        <m:r>
                          <m:t>H</m:t>
                        </m:r>
                        <m:r>
                          <m:t>S</m:t>
                        </m:r>
                        <m:d>
                          <m:dPr>
                            <m:begChr m:val="["/>
                            <m:endChr m:val="]"/>
                            <m:sepChr m:val=""/>
                            <m:grow/>
                          </m:dPr>
                          <m:e>
                            <m:r>
                              <m:t>i</m:t>
                            </m:r>
                          </m:e>
                        </m:d>
                      </m:sub>
                    </m:sSub>
                  </m:oMath>
                </w:p>
              </w:tc>
              <w:tc>
                <w:tcPr/>
                <w:p>
                  <w:pPr>
                    <w:pStyle w:val="Compact"/>
                    <w:jc w:val="center"/>
                    <w:jc w:val="center"/>
                  </w:pPr>
                  <m:oMath>
                    <m:sSub>
                      <m:e>
                        <m:r>
                          <m:t>β</m:t>
                        </m:r>
                      </m:e>
                      <m:sub>
                        <m:r>
                          <m:t>A</m:t>
                        </m:r>
                      </m:sub>
                    </m:sSub>
                  </m:oMath>
                </w:p>
              </w:tc>
              <w:tc>
                <w:tcPr/>
                <w:p>
                  <w:pPr>
                    <w:pStyle w:val="Compact"/>
                    <w:jc w:val="center"/>
                    <w:jc w:val="center"/>
                  </w:pPr>
                  <m:oMath>
                    <m:sSub>
                      <m:e>
                        <m:r>
                          <m:t>β</m:t>
                        </m:r>
                      </m:e>
                      <m:sub>
                        <m:r>
                          <m:t>A</m:t>
                        </m:r>
                        <m:r>
                          <m:rPr>
                            <m:sty m:val="p"/>
                          </m:rPr>
                          <m:t>,</m:t>
                        </m:r>
                        <m:r>
                          <m:t>H</m:t>
                        </m:r>
                        <m:r>
                          <m:t>S</m:t>
                        </m:r>
                        <m:d>
                          <m:dPr>
                            <m:begChr m:val="["/>
                            <m:endChr m:val="]"/>
                            <m:sepChr m:val=""/>
                            <m:grow/>
                          </m:dPr>
                          <m:e>
                            <m:r>
                              <m:t>i</m:t>
                            </m:r>
                          </m:e>
                        </m:d>
                      </m:sub>
                    </m:sSub>
                  </m:oMath>
                </w:p>
              </w:tc>
            </w:tr>
            <w:tr>
              <w:tc>
                <w:tcPr/>
                <w:p>
                  <w:pPr>
                    <w:pStyle w:val="Compact"/>
                    <w:jc w:val="center"/>
                    <w:jc w:val="center"/>
                  </w:pPr>
                  <w:r>
                    <w:t xml:space="preserve">1</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r>
            <w:tr>
              <w:tc>
                <w:tcPr/>
                <w:p>
                  <w:pPr>
                    <w:pStyle w:val="Compact"/>
                    <w:jc w:val="center"/>
                    <w:jc w:val="center"/>
                  </w:pPr>
                  <w:r>
                    <w:t xml:space="preserve">2</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No</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r>
            <w:tr>
              <w:tc>
                <w:tcPr/>
                <w:p>
                  <w:pPr>
                    <w:pStyle w:val="Compact"/>
                    <w:jc w:val="center"/>
                    <w:jc w:val="center"/>
                  </w:pPr>
                  <w:r>
                    <w:t xml:space="preserve">3</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No</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Yes</w:t>
                  </w:r>
                </w:p>
              </w:tc>
            </w:tr>
            <w:tr>
              <w:tc>
                <w:tcPr/>
                <w:p>
                  <w:pPr>
                    <w:pStyle w:val="Compact"/>
                    <w:jc w:val="center"/>
                    <w:jc w:val="center"/>
                  </w:pPr>
                  <w:r>
                    <w:t xml:space="preserve">4</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r>
            <w:tr>
              <w:tc>
                <w:tcPr/>
                <w:p>
                  <w:pPr>
                    <w:pStyle w:val="Compact"/>
                    <w:jc w:val="center"/>
                    <w:jc w:val="center"/>
                  </w:pPr>
                  <w:r>
                    <w:t xml:space="preserve">5</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r>
            <w:tr>
              <w:tc>
                <w:tcPr/>
                <w:p>
                  <w:pPr>
                    <w:pStyle w:val="Compact"/>
                    <w:jc w:val="center"/>
                    <w:jc w:val="center"/>
                  </w:pPr>
                  <w:r>
                    <w:t xml:space="preserve">6</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Yes</w:t>
                  </w:r>
                </w:p>
              </w:tc>
            </w:tr>
            <w:tr>
              <w:tc>
                <w:tcPr/>
                <w:p>
                  <w:pPr>
                    <w:pStyle w:val="Compact"/>
                    <w:jc w:val="center"/>
                    <w:jc w:val="center"/>
                  </w:pPr>
                  <w:r>
                    <w:t xml:space="preserve">7</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r>
            <w:tr>
              <w:tc>
                <w:tcPr/>
                <w:p>
                  <w:pPr>
                    <w:pStyle w:val="Compact"/>
                    <w:jc w:val="center"/>
                    <w:jc w:val="center"/>
                  </w:pPr>
                  <w:r>
                    <w:t xml:space="preserve">8</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No</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r>
            <w:tr>
              <w:tc>
                <w:tcPr/>
                <w:p>
                  <w:pPr>
                    <w:pStyle w:val="Compact"/>
                    <w:jc w:val="center"/>
                    <w:jc w:val="center"/>
                  </w:pPr>
                  <w:r>
                    <w:t xml:space="preserve">9</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No</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Yes</w:t>
                  </w:r>
                </w:p>
              </w:tc>
            </w:tr>
            <w:tr>
              <w:tc>
                <w:tcPr/>
                <w:p>
                  <w:pPr>
                    <w:pStyle w:val="Compact"/>
                    <w:jc w:val="center"/>
                    <w:jc w:val="center"/>
                  </w:pPr>
                  <w:r>
                    <w:t xml:space="preserve">10</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r>
            <w:tr>
              <w:tc>
                <w:tcPr/>
                <w:p>
                  <w:pPr>
                    <w:pStyle w:val="Compact"/>
                    <w:jc w:val="center"/>
                    <w:jc w:val="center"/>
                  </w:pPr>
                  <w:r>
                    <w:t xml:space="preserve">11</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r>
            <w:tr>
              <w:tc>
                <w:tcPr/>
                <w:p>
                  <w:pPr>
                    <w:pStyle w:val="Compact"/>
                    <w:jc w:val="center"/>
                    <w:jc w:val="center"/>
                  </w:pPr>
                  <w:r>
                    <w:t xml:space="preserve">12</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Yes</w:t>
                  </w:r>
                </w:p>
              </w:tc>
            </w:tr>
          </w:tbl>
          <w:bookmarkEnd w:id="41"/>
          <w:p/>
        </w:tc>
      </w:tr>
    </w:tbl>
    <w:bookmarkEnd w:id="42"/>
    <w:bookmarkStart w:id="43" w:name="sec-M-SM-CQ"/>
    <w:p>
      <w:pPr>
        <w:pStyle w:val="Heading3"/>
      </w:pPr>
      <w:r>
        <w:t xml:space="preserve">Estimation and chain quality</w:t>
      </w:r>
    </w:p>
    <w:p>
      <w:pPr>
        <w:pStyle w:val="FirstParagraph"/>
      </w:pPr>
      <w:r>
        <w:t xml:space="preserve">The models were estimated using</w:t>
      </w:r>
      <w:r>
        <w:t xml:space="preserve"> </w:t>
      </w:r>
      <w:r>
        <w:rPr>
          <w:rStyle w:val="VerbatimChar"/>
        </w:rPr>
        <w:t xml:space="preserve">R</w:t>
      </w:r>
      <w:r>
        <w:t xml:space="preserve"> </w:t>
      </w:r>
      <w:r>
        <w:t xml:space="preserve">version 4.2.2</w:t>
      </w:r>
      <w:r>
        <w:t xml:space="preserve"> </w:t>
      </w:r>
      <w:r>
        <w:t xml:space="preserve">(R Core Team 2015)</w:t>
      </w:r>
      <w:r>
        <w:t xml:space="preserve"> </w:t>
      </w:r>
      <w:r>
        <w:t xml:space="preserve">and</w:t>
      </w:r>
      <w:r>
        <w:t xml:space="preserve"> </w:t>
      </w:r>
      <w:r>
        <w:rPr>
          <w:rStyle w:val="VerbatimChar"/>
        </w:rPr>
        <w:t xml:space="preserve">Stan</w:t>
      </w:r>
      <w:r>
        <w:t xml:space="preserve"> </w:t>
      </w:r>
      <w:r>
        <w:t xml:space="preserve">version 2.26.1</w:t>
      </w:r>
      <w:r>
        <w:t xml:space="preserve"> </w:t>
      </w:r>
      <w:r>
        <w:t xml:space="preserve">(Stan Development Team. 2021)</w:t>
      </w:r>
      <w:r>
        <w:t xml:space="preserve">. Four Markov chains were implemented for each parameter, each with distinct starting values. Each chain underwent</w:t>
      </w:r>
      <w:r>
        <w:t xml:space="preserve"> </w:t>
      </w:r>
      <m:oMath>
        <m:r>
          <m:t>4</m:t>
        </m:r>
        <m:r>
          <m:rPr>
            <m:sty m:val="p"/>
          </m:rPr>
          <m:t>,</m:t>
        </m:r>
        <m:r>
          <m:t>000</m:t>
        </m:r>
      </m:oMath>
      <w:r>
        <w:t xml:space="preserve"> </w:t>
      </w:r>
      <w:r>
        <w:t xml:space="preserve">iterations, where the first</w:t>
      </w:r>
      <w:r>
        <w:t xml:space="preserve"> </w:t>
      </w:r>
      <m:oMath>
        <m:r>
          <m:t>2</m:t>
        </m:r>
        <m:r>
          <m:rPr>
            <m:sty m:val="p"/>
          </m:rPr>
          <m:t>,</m:t>
        </m:r>
        <m:r>
          <m:t>000</m:t>
        </m:r>
      </m:oMath>
      <w:r>
        <w:t xml:space="preserve"> </w:t>
      </w:r>
      <w:r>
        <w:t xml:space="preserve">serving as a warm-up phase and the remaining</w:t>
      </w:r>
      <w:r>
        <w:t xml:space="preserve"> </w:t>
      </w:r>
      <m:oMath>
        <m:r>
          <m:t>2</m:t>
        </m:r>
        <m:r>
          <m:rPr>
            <m:sty m:val="p"/>
          </m:rPr>
          <m:t>,</m:t>
        </m:r>
        <m:r>
          <m:t>000</m:t>
        </m:r>
      </m:oMath>
      <w:r>
        <w:t xml:space="preserve"> </w:t>
      </w:r>
      <w:r>
        <w:t xml:space="preserve">were considered samples from the posterior distribution. Verification of stationarity, convergence, and mixing for the parameter chains involved graphical analysis and diagnostic statistics. Graphical analysis utilized trace, trace-rank, and autocorrelation plots (ACF). Diagnostic statistics included the</w:t>
      </w:r>
      <w:r>
        <w:t xml:space="preserve"> </w:t>
      </w:r>
      <w:r>
        <w:rPr>
          <w:i/>
          <w:iCs/>
        </w:rPr>
        <w:t xml:space="preserve">potential scale reduction factor statistics</w:t>
      </w:r>
      <w:r>
        <w:t xml:space="preserve"> </w:t>
      </w:r>
      <m:oMath>
        <m:acc>
          <m:accPr>
            <m:chr m:val="̂"/>
          </m:accPr>
          <m:e>
            <m:r>
              <m:rPr>
                <m:nor/>
                <m:sty m:val="p"/>
              </m:rPr>
              <m:t>R</m:t>
            </m:r>
          </m:e>
        </m:acc>
      </m:oMath>
      <w:r>
        <w:t xml:space="preserve"> </w:t>
      </w:r>
      <w:r>
        <w:t xml:space="preserve">with a cut-off value of</w:t>
      </w:r>
      <w:r>
        <w:t xml:space="preserve"> </w:t>
      </w:r>
      <m:oMath>
        <m:r>
          <m:t>1.05</m:t>
        </m:r>
      </m:oMath>
      <w:r>
        <w:t xml:space="preserve"> </w:t>
      </w:r>
      <w:r>
        <w:t xml:space="preserve">(Vehtari et al. 2021)</w:t>
      </w:r>
      <w:r>
        <w:t xml:space="preserve">. Furthermore, to confirm whether the parameters posterior distributions were generated with a sufficient number of uncorrelated sampling points, each posterior distribution density plot was inspected along with their effective sample size statistics</w:t>
      </w:r>
      <w:r>
        <w:t xml:space="preserve"> </w:t>
      </w:r>
      <m:oMath>
        <m:sSub>
          <m:e>
            <m:r>
              <m:t>n</m:t>
            </m:r>
          </m:e>
          <m:sub>
            <m:r>
              <m:rPr>
                <m:nor/>
                <m:sty m:val="p"/>
              </m:rPr>
              <m:t>eff</m:t>
            </m:r>
          </m:sub>
        </m:sSub>
      </m:oMath>
      <w:r>
        <w:t xml:space="preserve"> </w:t>
      </w:r>
      <w:r>
        <w:t xml:space="preserve">(Gelman et al. 2014)</w:t>
      </w:r>
      <w:r>
        <w:t xml:space="preserve">.</w:t>
      </w:r>
    </w:p>
    <w:p>
      <w:pPr>
        <w:pStyle w:val="BodyText"/>
      </w:pPr>
      <w:r>
        <w:t xml:space="preserve">In general, both graphical analysis and diagnostic statistics indicated that all chains exhibited low to moderate autocorrelation, explored the parameter space in a seemingly random manner, and converged to a constant mean and variance in their post-warm-up phase. Moreover, the density plots and statistics collectively confirmed that all posterior distributions are unimodal distributions with values centered around a mean, generated with a satisfactory number of uncorrelated sampling points, making substantive sense compared to the models’ prior beliefs. The trace, trace-rank, ACF, and distribution density plots, along with</w:t>
      </w:r>
      <w:r>
        <w:t xml:space="preserve"> </w:t>
      </w:r>
      <m:oMath>
        <m:acc>
          <m:accPr>
            <m:chr m:val="̂"/>
          </m:accPr>
          <m:e>
            <m:r>
              <m:rPr>
                <m:nor/>
                <m:sty m:val="p"/>
              </m:rPr>
              <m:t>R</m:t>
            </m:r>
          </m:e>
        </m:acc>
      </m:oMath>
      <w:r>
        <w:t xml:space="preserve"> </w:t>
      </w:r>
      <w:r>
        <w:t xml:space="preserve">and</w:t>
      </w:r>
      <w:r>
        <w:t xml:space="preserve"> </w:t>
      </w:r>
      <m:oMath>
        <m:sSub>
          <m:e>
            <m:r>
              <m:t>n</m:t>
            </m:r>
          </m:e>
          <m:sub>
            <m:r>
              <m:rPr>
                <m:nor/>
                <m:sty m:val="p"/>
              </m:rPr>
              <m:t>eff</m:t>
            </m:r>
          </m:sub>
        </m:sSub>
      </m:oMath>
      <w:r>
        <w:t xml:space="preserve"> </w:t>
      </w:r>
      <w:r>
        <w:t xml:space="preserve">statistics, are provided in the accompanying digital walk-through document for reader inspection (refer to</w:t>
      </w:r>
      <w:r>
        <w:t xml:space="preserve"> </w:t>
      </w:r>
      <w:hyperlink w:anchor="sec-M-SM-OS">
        <w:r>
          <w:rPr>
            <w:rStyle w:val="Hyperlink"/>
          </w:rPr>
          <w:t xml:space="preserve">Section 2.2.7</w:t>
        </w:r>
      </w:hyperlink>
      <w:r>
        <w:t xml:space="preserve"> </w:t>
      </w:r>
      <w:r>
        <w:t xml:space="preserve">Open Science Statement).</w:t>
      </w:r>
    </w:p>
    <w:bookmarkEnd w:id="43"/>
    <w:bookmarkStart w:id="44" w:name="sec-M-SM-MC"/>
    <w:p>
      <w:pPr>
        <w:pStyle w:val="Heading3"/>
      </w:pPr>
      <w:r>
        <w:t xml:space="preserve">Model comparison</w:t>
      </w:r>
    </w:p>
    <w:p>
      <w:pPr>
        <w:pStyle w:val="FirstParagraph"/>
      </w:pPr>
      <w:r>
        <w:t xml:space="preserve">The study compares the fitted models using three criteria: the deviance information criterion (</w:t>
      </w:r>
      <w:r>
        <w:rPr>
          <w:rStyle w:val="VerbatimChar"/>
        </w:rPr>
        <w:t xml:space="preserve">DIC</w:t>
      </w:r>
      <w:r>
        <w:t xml:space="preserve">) by</w:t>
      </w:r>
      <w:r>
        <w:t xml:space="preserve"> </w:t>
      </w:r>
      <w:r>
        <w:t xml:space="preserve">Spiegelhalter et al. (2002)</w:t>
      </w:r>
      <w:r>
        <w:t xml:space="preserve">, the widely applicable information criterion (</w:t>
      </w:r>
      <w:r>
        <w:rPr>
          <w:rStyle w:val="VerbatimChar"/>
        </w:rPr>
        <w:t xml:space="preserve">WAIC</w:t>
      </w:r>
      <w:r>
        <w:t xml:space="preserve">) by</w:t>
      </w:r>
      <w:r>
        <w:t xml:space="preserve"> </w:t>
      </w:r>
      <w:r>
        <w:t xml:space="preserve">Watanabe (2013)</w:t>
      </w:r>
      <w:r>
        <w:t xml:space="preserve">, and the Pareto Smoothing Importance Sampling criterion (</w:t>
      </w:r>
      <w:r>
        <w:rPr>
          <w:rStyle w:val="VerbatimChar"/>
        </w:rPr>
        <w:t xml:space="preserve">PSIS</w:t>
      </w:r>
      <w:r>
        <w:t xml:space="preserve">) by</w:t>
      </w:r>
      <w:r>
        <w:t xml:space="preserve"> </w:t>
      </w:r>
      <w:r>
        <w:t xml:space="preserve">Vehtari, Gelman, and Gabry (2017)</w:t>
      </w:r>
      <w:r>
        <w:t xml:space="preserve">. These criteria score models in terms of deviations from perfect predictive accuracy, with smaller values indicating less deviation</w:t>
      </w:r>
      <w:r>
        <w:t xml:space="preserve"> </w:t>
      </w:r>
      <w:r>
        <w:t xml:space="preserve">(McElreath 2020)</w:t>
      </w:r>
      <w:r>
        <w:t xml:space="preserve">. Specifically,</w:t>
      </w:r>
      <w:r>
        <w:t xml:space="preserve"> </w:t>
      </w:r>
      <w:r>
        <w:rPr>
          <w:rStyle w:val="VerbatimChar"/>
        </w:rPr>
        <w:t xml:space="preserve">DIC</w:t>
      </w:r>
      <w:r>
        <w:t xml:space="preserve"> </w:t>
      </w:r>
      <w:r>
        <w:t xml:space="preserve">measures in-sample deviations, while</w:t>
      </w:r>
      <w:r>
        <w:t xml:space="preserve"> </w:t>
      </w:r>
      <w:r>
        <w:rPr>
          <w:rStyle w:val="VerbatimChar"/>
        </w:rPr>
        <w:t xml:space="preserve">WAIC</w:t>
      </w:r>
      <w:r>
        <w:t xml:space="preserve"> </w:t>
      </w:r>
      <w:r>
        <w:t xml:space="preserve">and</w:t>
      </w:r>
      <w:r>
        <w:t xml:space="preserve"> </w:t>
      </w:r>
      <w:r>
        <w:rPr>
          <w:rStyle w:val="VerbatimChar"/>
        </w:rPr>
        <w:t xml:space="preserve">PSIS</w:t>
      </w:r>
      <w:r>
        <w:t xml:space="preserve"> </w:t>
      </w:r>
      <w:r>
        <w:t xml:space="preserve">offer an approximate measure of out-of-sample deviations. Deviations from perfect predictive accuracy serve as the closest estimate for the Kullback-Leibler divergence</w:t>
      </w:r>
      <w:r>
        <w:t xml:space="preserve"> </w:t>
      </w:r>
      <w:r>
        <w:t xml:space="preserve">(Kullback and Leibler 1951)</w:t>
      </w:r>
      <w:r>
        <w:t xml:space="preserve">, which measures the degree to which a model accurately represents the true distribution of the data. Moreover,</w:t>
      </w:r>
      <w:r>
        <w:t xml:space="preserve"> </w:t>
      </w:r>
      <w:r>
        <w:rPr>
          <w:rStyle w:val="VerbatimChar"/>
        </w:rPr>
        <w:t xml:space="preserve">WAIC</w:t>
      </w:r>
      <w:r>
        <w:t xml:space="preserve"> </w:t>
      </w:r>
      <w:r>
        <w:t xml:space="preserve">and</w:t>
      </w:r>
      <w:r>
        <w:t xml:space="preserve"> </w:t>
      </w:r>
      <w:r>
        <w:rPr>
          <w:rStyle w:val="VerbatimChar"/>
        </w:rPr>
        <w:t xml:space="preserve">PSIS</w:t>
      </w:r>
      <w:r>
        <w:t xml:space="preserve"> </w:t>
      </w:r>
      <w:r>
        <w:t xml:space="preserve">are considered full Bayesian criteria as they incorporate all the information encompassed in the parameter’s posterior distribution. This effectively integrates and reports the inherent uncertainty in the predictive accuracy estimates. Predictive accuracy aside,</w:t>
      </w:r>
      <w:r>
        <w:t xml:space="preserve"> </w:t>
      </w:r>
      <w:r>
        <w:rPr>
          <w:rStyle w:val="VerbatimChar"/>
        </w:rPr>
        <w:t xml:space="preserve">PSIS</w:t>
      </w:r>
      <w:r>
        <w:t xml:space="preserve"> </w:t>
      </w:r>
      <w:r>
        <w:t xml:space="preserve">offers an additional advantage in identifying highly influential data points. To achieve this, the criterion uses a built-in warning system that flags observations that make out-of-sample predictions unreliable. The key intuition is that observations that are relatively unlikely, according to the model, exert more influence and render predictions more unreliable than those relatively expected</w:t>
      </w:r>
      <w:r>
        <w:t xml:space="preserve"> </w:t>
      </w:r>
      <w:r>
        <w:t xml:space="preserve">(McElreath 2020)</w:t>
      </w:r>
      <w:r>
        <w:t xml:space="preserve">.</w:t>
      </w:r>
    </w:p>
    <w:bookmarkEnd w:id="44"/>
    <w:bookmarkStart w:id="46" w:name="sec-M-SM-OS"/>
    <w:p>
      <w:pPr>
        <w:pStyle w:val="Heading3"/>
      </w:pPr>
      <w:r>
        <w:t xml:space="preserve">Open Science Statement</w:t>
      </w:r>
    </w:p>
    <w:p>
      <w:pPr>
        <w:pStyle w:val="FirstParagraph"/>
      </w:pPr>
      <w:r>
        <w:t xml:space="preserve">In an effort to improve the transparency and replicability of the analysis, this study provides access to an online walk-through. The digital document contains all the code and materials utilized in the study. Furthermore, the walk-through meticulously follows the When-to-Worry-and-How-to-Avoid-the-Misuse-of-Bayesian-Statistics checklist (WAMBS checklist) developed by</w:t>
      </w:r>
      <w:r>
        <w:t xml:space="preserve"> </w:t>
      </w:r>
      <w:r>
        <w:t xml:space="preserve">Depaoli and van de Schoot (2017)</w:t>
      </w:r>
      <w:r>
        <w:t xml:space="preserve">. This checklist outlines the ten crucial points that need careful scrutiny when employing Bayesian inference procedures. The digital walk-through is available at the following URL:</w:t>
      </w:r>
      <w:r>
        <w:t xml:space="preserve"> </w:t>
      </w:r>
      <w:hyperlink r:id="rId45">
        <w:r>
          <w:rPr>
            <w:rStyle w:val="Hyperlink"/>
          </w:rPr>
          <w:t xml:space="preserve">https://jriveraespejo.github.io/paper1_manuscript/</w:t>
        </w:r>
      </w:hyperlink>
    </w:p>
    <w:bookmarkEnd w:id="46"/>
    <w:bookmarkEnd w:id="47"/>
    <w:bookmarkEnd w:id="48"/>
    <w:bookmarkStart w:id="96" w:name="sec-results"/>
    <w:p>
      <w:pPr>
        <w:pStyle w:val="Heading1"/>
      </w:pPr>
      <w:r>
        <w:t xml:space="preserve">Results</w:t>
      </w:r>
    </w:p>
    <w:p>
      <w:pPr>
        <w:pStyle w:val="FirstParagraph"/>
      </w:pPr>
      <w:r>
        <w:t xml:space="preserve">This section presents the results of the Bayesian inference procedures, with particular emphasis on answering the three research questions.</w:t>
      </w:r>
    </w:p>
    <w:bookmarkStart w:id="59" w:name="sec-R-RQ1"/>
    <w:p>
      <w:pPr>
        <w:pStyle w:val="Heading2"/>
      </w:pPr>
      <w:r>
        <w:t xml:space="preserve">Predictive capabilities of the Beta-proportion GLLAMM compared to the Normal LMM (RQ1)</w:t>
      </w:r>
    </w:p>
    <w:p>
      <w:pPr>
        <w:pStyle w:val="FirstParagraph"/>
      </w:pPr>
      <w:r>
        <w:t xml:space="preserve">This research question evaluates the effectiveness of the Beta-proportion GLLAMM in handling the features of entropy scores by comparing its predictive accuracy to the Normal LMM. Models</w:t>
      </w:r>
      <w:r>
        <w:t xml:space="preserve"> </w:t>
      </w:r>
      <m:oMath>
        <m:r>
          <m:t>1</m:t>
        </m:r>
      </m:oMath>
      <w:r>
        <w:t xml:space="preserve">,</w:t>
      </w:r>
      <w:r>
        <w:t xml:space="preserve"> </w:t>
      </w:r>
      <m:oMath>
        <m:r>
          <m:t>4</m:t>
        </m:r>
      </m:oMath>
      <w:r>
        <w:t xml:space="preserve">,</w:t>
      </w:r>
      <w:r>
        <w:t xml:space="preserve"> </w:t>
      </w:r>
      <m:oMath>
        <m:r>
          <m:t>7</m:t>
        </m:r>
      </m:oMath>
      <w:r>
        <w:t xml:space="preserve">, and</w:t>
      </w:r>
      <w:r>
        <w:t xml:space="preserve"> </w:t>
      </w:r>
      <m:oMath>
        <m:r>
          <m:t>10</m:t>
        </m:r>
      </m:oMath>
      <w:r>
        <w:t xml:space="preserve"> </w:t>
      </w:r>
      <w:r>
        <w:t xml:space="preserve">are specifically chosen for this comparison because their assumptions exclusively address the features of the scores, without integrating additional covariate information. As detailed in</w:t>
      </w:r>
      <w:r>
        <w:t xml:space="preserve"> </w:t>
      </w:r>
      <w:hyperlink w:anchor="tbl-fitted">
        <w:r>
          <w:rPr>
            <w:rStyle w:val="Hyperlink"/>
          </w:rPr>
          <w:t xml:space="preserve">Table 2</w:t>
        </w:r>
      </w:hyperlink>
      <w:r>
        <w:t xml:space="preserve">, Model</w:t>
      </w:r>
      <w:r>
        <w:t xml:space="preserve"> </w:t>
      </w:r>
      <m:oMath>
        <m:r>
          <m:t>1</m:t>
        </m:r>
      </m:oMath>
      <w:r>
        <w:t xml:space="preserve"> </w:t>
      </w:r>
      <w:r>
        <w:t xml:space="preserve">is a Normal LMM that solely addresses data clustering. Building upon this, Model</w:t>
      </w:r>
      <w:r>
        <w:t xml:space="preserve"> </w:t>
      </w:r>
      <m:oMath>
        <m:r>
          <m:t>4</m:t>
        </m:r>
      </m:oMath>
      <w:r>
        <w:t xml:space="preserve"> </w:t>
      </w:r>
      <w:r>
        <w:t xml:space="preserve">introduces a robust feature. Conversely, Model</w:t>
      </w:r>
      <w:r>
        <w:t xml:space="preserve"> </w:t>
      </w:r>
      <m:oMath>
        <m:r>
          <m:t>7</m:t>
        </m:r>
      </m:oMath>
      <w:r>
        <w:t xml:space="preserve"> </w:t>
      </w:r>
      <w:r>
        <w:t xml:space="preserve">is a Beta-proportion GLLAMM that deals with boundedness, measurement error and data clustering, and Model</w:t>
      </w:r>
      <w:r>
        <w:t xml:space="preserve"> </w:t>
      </w:r>
      <m:oMath>
        <m:r>
          <m:t>10</m:t>
        </m:r>
      </m:oMath>
      <w:r>
        <w:t xml:space="preserve"> </w:t>
      </w:r>
      <w:r>
        <w:t xml:space="preserve">extends this model by incorporating a robust feature.</w:t>
      </w:r>
    </w:p>
    <w:p>
      <w:pPr>
        <w:pStyle w:val="BodyText"/>
      </w:pPr>
      <w:hyperlink w:anchor="fig-rq1-waic-psis">
        <w:r>
          <w:rPr>
            <w:rStyle w:val="Hyperlink"/>
          </w:rPr>
          <w:t xml:space="preserve">Figure 1</w:t>
        </w:r>
      </w:hyperlink>
      <w:r>
        <w:t xml:space="preserve"> </w:t>
      </w:r>
      <w:r>
        <w:t xml:space="preserve">displays values for the</w:t>
      </w:r>
      <w:r>
        <w:t xml:space="preserve"> </w:t>
      </w:r>
      <w:r>
        <w:rPr>
          <w:rStyle w:val="VerbatimChar"/>
        </w:rPr>
        <w:t xml:space="preserve">DIC</w:t>
      </w:r>
      <w:r>
        <w:t xml:space="preserve">,</w:t>
      </w:r>
      <w:r>
        <w:t xml:space="preserve"> </w:t>
      </w:r>
      <w:r>
        <w:rPr>
          <w:rStyle w:val="VerbatimChar"/>
        </w:rPr>
        <w:t xml:space="preserve">WAIC</w:t>
      </w:r>
      <w:r>
        <w:t xml:space="preserve">, and</w:t>
      </w:r>
      <w:r>
        <w:t xml:space="preserve"> </w:t>
      </w:r>
      <w:r>
        <w:rPr>
          <w:rStyle w:val="VerbatimChar"/>
        </w:rPr>
        <w:t xml:space="preserve">PSIS</w:t>
      </w:r>
      <w:r>
        <w:t xml:space="preserve">. They also include the components</w:t>
      </w:r>
      <w:r>
        <w:t xml:space="preserve"> </w:t>
      </w:r>
      <w:r>
        <w:rPr>
          <w:rStyle w:val="VerbatimChar"/>
        </w:rPr>
        <w:t xml:space="preserve">dWAIC</w:t>
      </w:r>
      <w:r>
        <w:t xml:space="preserve"> </w:t>
      </w:r>
      <w:r>
        <w:t xml:space="preserve">and</w:t>
      </w:r>
      <w:r>
        <w:t xml:space="preserve"> </w:t>
      </w:r>
      <w:r>
        <w:rPr>
          <w:rStyle w:val="VerbatimChar"/>
        </w:rPr>
        <w:t xml:space="preserve">dPSIS</w:t>
      </w:r>
      <w:r>
        <w:t xml:space="preserve">, highlighting the differences in out-of-sample deviations from the best-fitting model and its associated uncertainty. The associated</w:t>
      </w:r>
      <w:r>
        <w:t xml:space="preserve"> </w:t>
      </w:r>
      <w:hyperlink w:anchor="tbl-rq1-waic">
        <w:r>
          <w:rPr>
            <w:rStyle w:val="Hyperlink"/>
          </w:rPr>
          <w:t xml:space="preserve">Table 6</w:t>
        </w:r>
      </w:hyperlink>
      <w:r>
        <w:t xml:space="preserve"> </w:t>
      </w:r>
      <w:r>
        <w:t xml:space="preserve">and</w:t>
      </w:r>
      <w:r>
        <w:t xml:space="preserve"> </w:t>
      </w:r>
      <w:hyperlink w:anchor="tbl-rq1-psis">
        <w:r>
          <w:rPr>
            <w:rStyle w:val="Hyperlink"/>
          </w:rPr>
          <w:t xml:space="preserve">Table 7</w:t>
        </w:r>
      </w:hyperlink>
      <w:r>
        <w:t xml:space="preserve"> </w:t>
      </w:r>
      <w:r>
        <w:t xml:space="preserve">provide similar information, while also reporting the</w:t>
      </w:r>
      <w:r>
        <w:t xml:space="preserve"> </w:t>
      </w:r>
      <w:r>
        <w:rPr>
          <w:rStyle w:val="VerbatimChar"/>
        </w:rPr>
        <w:t xml:space="preserve">pWAIC</w:t>
      </w:r>
      <w:r>
        <w:t xml:space="preserve"> </w:t>
      </w:r>
      <w:r>
        <w:t xml:space="preserve">and</w:t>
      </w:r>
      <w:r>
        <w:t xml:space="preserve"> </w:t>
      </w:r>
      <w:r>
        <w:rPr>
          <w:rStyle w:val="VerbatimChar"/>
        </w:rPr>
        <w:t xml:space="preserve">pPSIS</w:t>
      </w:r>
      <w:r>
        <w:t xml:space="preserve"> </w:t>
      </w:r>
      <w:r>
        <w:t xml:space="preserve">values, indicating the penalization received by the models for their complexity (roughly associated with their number of parameters). Lastly, the tables show the</w:t>
      </w:r>
      <w:r>
        <w:t xml:space="preserve"> </w:t>
      </w:r>
      <w:r>
        <w:rPr>
          <w:rStyle w:val="VerbatimChar"/>
        </w:rPr>
        <w:t xml:space="preserve">weight</w:t>
      </w:r>
      <w:r>
        <w:t xml:space="preserve"> </w:t>
      </w:r>
      <w:r>
        <w:t xml:space="preserve">of evidence, which summarizes the relative support for each model.</w:t>
      </w:r>
    </w:p>
    <w:p>
      <w:pPr>
        <w:pStyle w:val="BodyText"/>
      </w:pPr>
      <w:r>
        <w:t xml:space="preserve">Overall, all criteria consistently point to Model</w:t>
      </w:r>
      <w:r>
        <w:t xml:space="preserve"> </w:t>
      </w:r>
      <m:oMath>
        <m:r>
          <m:t>10</m:t>
        </m:r>
      </m:oMath>
      <w:r>
        <w:t xml:space="preserve"> </w:t>
      </w:r>
      <w:r>
        <w:t xml:space="preserve">as the most plausible choice for the data. The model exhibits the lowest values for both</w:t>
      </w:r>
      <w:r>
        <w:t xml:space="preserve"> </w:t>
      </w:r>
      <w:r>
        <w:rPr>
          <w:rStyle w:val="VerbatimChar"/>
        </w:rPr>
        <w:t xml:space="preserve">WAIC</w:t>
      </w:r>
      <w:r>
        <w:t xml:space="preserve"> </w:t>
      </w:r>
      <w:r>
        <w:t xml:space="preserve">and</w:t>
      </w:r>
      <w:r>
        <w:t xml:space="preserve"> </w:t>
      </w:r>
      <w:r>
        <w:rPr>
          <w:rStyle w:val="VerbatimChar"/>
        </w:rPr>
        <w:t xml:space="preserve">PSIS</w:t>
      </w:r>
      <w:r>
        <w:t xml:space="preserve">, establishing itself as the model with the least deviation from</w:t>
      </w:r>
      <w:r>
        <w:t xml:space="preserve"> </w:t>
      </w:r>
      <w:r>
        <w:rPr>
          <w:i/>
          <w:iCs/>
        </w:rPr>
        <w:t xml:space="preserve">perfect</w:t>
      </w:r>
      <w:r>
        <w:t xml:space="preserve"> </w:t>
      </w:r>
      <w:r>
        <w:t xml:space="preserve">predictive accuracy among those under comparison. Additionally,</w:t>
      </w:r>
      <w:r>
        <w:t xml:space="preserve"> </w:t>
      </w:r>
      <w:hyperlink w:anchor="fig-rq1-waic-psis">
        <w:r>
          <w:rPr>
            <w:rStyle w:val="Hyperlink"/>
          </w:rPr>
          <w:t xml:space="preserve">Figure 1</w:t>
        </w:r>
      </w:hyperlink>
      <w:r>
        <w:t xml:space="preserve"> </w:t>
      </w:r>
      <w:r>
        <w:t xml:space="preserve">visually demonstrates the non-overlapping uncertainty (horizontal blue lines) in both</w:t>
      </w:r>
      <w:r>
        <w:t xml:space="preserve"> </w:t>
      </w:r>
      <w:r>
        <w:rPr>
          <w:rStyle w:val="VerbatimChar"/>
        </w:rPr>
        <w:t xml:space="preserve">dWAIC</w:t>
      </w:r>
      <w:r>
        <w:t xml:space="preserve"> </w:t>
      </w:r>
      <w:r>
        <w:t xml:space="preserve">and</w:t>
      </w:r>
      <w:r>
        <w:t xml:space="preserve"> </w:t>
      </w:r>
      <w:r>
        <w:rPr>
          <w:rStyle w:val="VerbatimChar"/>
        </w:rPr>
        <w:t xml:space="preserve">dPSIS</w:t>
      </w:r>
      <w:r>
        <w:t xml:space="preserve"> </w:t>
      </w:r>
      <w:r>
        <w:t xml:space="preserve">values for Models</w:t>
      </w:r>
      <w:r>
        <w:t xml:space="preserve"> </w:t>
      </w:r>
      <m:oMath>
        <m:r>
          <m:t>1</m:t>
        </m:r>
      </m:oMath>
      <w:r>
        <w:t xml:space="preserve">,</w:t>
      </w:r>
      <w:r>
        <w:t xml:space="preserve"> </w:t>
      </w:r>
      <m:oMath>
        <m:r>
          <m:t>4</m:t>
        </m:r>
      </m:oMath>
      <w:r>
        <w:t xml:space="preserve">, and</w:t>
      </w:r>
      <w:r>
        <w:t xml:space="preserve"> </w:t>
      </w:r>
      <m:oMath>
        <m:r>
          <m:t>7</m:t>
        </m:r>
      </m:oMath>
      <w:r>
        <w:t xml:space="preserve"> </w:t>
      </w:r>
      <w:r>
        <w:t xml:space="preserve">when compared to Model</w:t>
      </w:r>
      <w:r>
        <w:t xml:space="preserve"> </w:t>
      </w:r>
      <m:oMath>
        <m:r>
          <m:t>10</m:t>
        </m:r>
      </m:oMath>
      <w:r>
        <w:t xml:space="preserve">. This indicates that Model</w:t>
      </w:r>
      <w:r>
        <w:t xml:space="preserve"> </w:t>
      </w:r>
      <m:oMath>
        <m:r>
          <m:t>10</m:t>
        </m:r>
      </m:oMath>
      <w:r>
        <w:t xml:space="preserve"> </w:t>
      </w:r>
      <w:r>
        <w:t xml:space="preserve">significantly deviates the least from</w:t>
      </w:r>
      <w:r>
        <w:t xml:space="preserve"> </w:t>
      </w:r>
      <w:r>
        <w:rPr>
          <w:i/>
          <w:iCs/>
        </w:rPr>
        <w:t xml:space="preserve">perfect</w:t>
      </w:r>
      <w:r>
        <w:t xml:space="preserve"> </w:t>
      </w:r>
      <w:r>
        <w:t xml:space="preserve">predictive accuracy when compared to the rest of the models. Lastly, the</w:t>
      </w:r>
      <w:r>
        <w:t xml:space="preserve"> </w:t>
      </w:r>
      <w:r>
        <w:rPr>
          <w:rStyle w:val="VerbatimChar"/>
        </w:rPr>
        <w:t xml:space="preserve">weight</w:t>
      </w:r>
      <w:r>
        <w:t xml:space="preserve"> </w:t>
      </w:r>
      <w:r>
        <w:t xml:space="preserve">of evidence in</w:t>
      </w:r>
      <w:r>
        <w:t xml:space="preserve"> </w:t>
      </w:r>
      <w:hyperlink w:anchor="tbl-rq1-waic">
        <w:r>
          <w:rPr>
            <w:rStyle w:val="Hyperlink"/>
          </w:rPr>
          <w:t xml:space="preserve">Table 6</w:t>
        </w:r>
      </w:hyperlink>
      <w:r>
        <w:t xml:space="preserve"> </w:t>
      </w:r>
      <w:r>
        <w:t xml:space="preserve">and</w:t>
      </w:r>
      <w:r>
        <w:t xml:space="preserve"> </w:t>
      </w:r>
      <w:hyperlink w:anchor="tbl-rq1-psis">
        <w:r>
          <w:rPr>
            <w:rStyle w:val="Hyperlink"/>
          </w:rPr>
          <w:t xml:space="preserve">Table 7</w:t>
        </w:r>
      </w:hyperlink>
      <w:r>
        <w:t xml:space="preserve"> </w:t>
      </w:r>
      <w:r>
        <w:t xml:space="preserve">underscores that</w:t>
      </w:r>
      <w:r>
        <w:t xml:space="preserve"> </w:t>
      </w:r>
      <m:oMath>
        <m:r>
          <m:t>100</m:t>
        </m:r>
        <m:r>
          <m:rPr>
            <m:sty m:val="p"/>
          </m:rPr>
          <m:t>%</m:t>
        </m:r>
      </m:oMath>
      <w:r>
        <w:t xml:space="preserve"> </w:t>
      </w:r>
      <w:r>
        <w:t xml:space="preserve">of the evidence aligns with and supports Model</w:t>
      </w:r>
      <w:r>
        <w:t xml:space="preserve"> </w:t>
      </w:r>
      <m:oMath>
        <m:r>
          <m:t>10</m:t>
        </m:r>
      </m:oMath>
      <w:r>
        <w:t xml:space="preserve">.</w:t>
      </w:r>
    </w:p>
    <w:bookmarkStart w:id="53" w:name="cell-fig-rq1-waic-psis"/>
    <w:tbl>
      <w:tblPr>
        <w:tblStyle w:val="Table"/>
        <w:tblW w:type="pct" w:w="5000"/>
        <w:jc w:val="left"/>
        <w:tblLayout w:type="fixed"/>
        <w:tblLook w:firstRow="0" w:lastRow="0" w:firstColumn="0" w:lastColumn="0" w:noHBand="0" w:noVBand="0" w:val="0000"/>
      </w:tblPr>
      <w:tblGrid>
        <w:gridCol w:w="7920"/>
      </w:tblGrid>
      <w:tr>
        <w:tc>
          <w:tcPr/>
          <w:bookmarkStart w:id="52" w:name="fig-rq1-waic-psis"/>
          <w:p>
            <w:pPr>
              <w:pStyle w:val="Compact"/>
              <w:jc w:val="center"/>
            </w:pPr>
            <w:r>
              <w:drawing>
                <wp:inline>
                  <wp:extent cx="5334000" cy="2133600"/>
                  <wp:effectExtent b="0" l="0" r="0" t="0"/>
                  <wp:docPr descr="" title="" id="50" name="Picture"/>
                  <a:graphic>
                    <a:graphicData uri="http://schemas.openxmlformats.org/drawingml/2006/picture">
                      <pic:pic>
                        <pic:nvPicPr>
                          <pic:cNvPr descr="index_files/figure-docx/fig-rq1-waic-psis-1.png" id="51" name="Picture"/>
                          <pic:cNvPicPr>
                            <a:picLocks noChangeArrowheads="1" noChangeAspect="1"/>
                          </pic:cNvPicPr>
                        </pic:nvPicPr>
                        <pic:blipFill>
                          <a:blip r:embed="rId49"/>
                          <a:stretch>
                            <a:fillRect/>
                          </a:stretch>
                        </pic:blipFill>
                        <pic:spPr bwMode="auto">
                          <a:xfrm>
                            <a:off x="0" y="0"/>
                            <a:ext cx="5334000" cy="2133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WAIC and PSIS model comparison plot.</w:t>
            </w:r>
            <w:r>
              <w:t xml:space="preserve"> </w:t>
            </w:r>
            <w:r>
              <w:rPr>
                <w:i/>
                <w:iCs/>
              </w:rPr>
              <w:t xml:space="preserve">Note:</w:t>
            </w:r>
            <w:r>
              <w:t xml:space="preserve"> </w:t>
            </w:r>
            <w:r>
              <w:t xml:space="preserve">Black and blue points describe point estimates, and continuous horizontal lines indicate the associated uncertainty.</w:t>
            </w:r>
          </w:p>
          <w:bookmarkEnd w:id="52"/>
        </w:tc>
      </w:tr>
    </w:tbl>
    <w:bookmarkEnd w:id="53"/>
    <w:p>
      <w:pPr>
        <w:pStyle w:val="BodyText"/>
      </w:pPr>
      <w:r>
        <w:t xml:space="preserve">Upon closer examination, the reasons behind the observed disparities in the models become more apparent. Specifically,</w:t>
      </w:r>
      <w:r>
        <w:t xml:space="preserve"> </w:t>
      </w:r>
      <w:hyperlink w:anchor="fig-rq1-pred-speaker">
        <w:r>
          <w:rPr>
            <w:rStyle w:val="Hyperlink"/>
          </w:rPr>
          <w:t xml:space="preserve">Figure 2</w:t>
        </w:r>
      </w:hyperlink>
      <w:r>
        <w:t xml:space="preserve"> </w:t>
      </w:r>
      <w:r>
        <w:t xml:space="preserve">highlights that the Normal LMM, as outlined in Model</w:t>
      </w:r>
      <w:r>
        <w:t xml:space="preserve"> </w:t>
      </w:r>
      <m:oMath>
        <m:r>
          <m:t>4</m:t>
        </m:r>
      </m:oMath>
      <w:r>
        <w:t xml:space="preserve">, fails to capture the underlying data patterns, resulting in predictions that are physically inconsistent, falling outside the outcome’s range between zero and one. Further insight into this issue is provided by</w:t>
      </w:r>
      <w:r>
        <w:t xml:space="preserve"> </w:t>
      </w:r>
      <w:hyperlink w:anchor="fig-rq1-pred-speaker_model04">
        <w:r>
          <w:rPr>
            <w:rStyle w:val="Hyperlink"/>
          </w:rPr>
          <w:t xml:space="preserve">Figure 9</w:t>
        </w:r>
      </w:hyperlink>
      <w:r>
        <w:t xml:space="preserve"> </w:t>
      </w:r>
      <w:r>
        <w:t xml:space="preserve">and</w:t>
      </w:r>
      <w:r>
        <w:t xml:space="preserve"> </w:t>
      </w:r>
      <w:hyperlink w:anchor="fig-rq1-model-outliers">
        <w:r>
          <w:rPr>
            <w:rStyle w:val="Hyperlink"/>
          </w:rPr>
          <w:t xml:space="preserve">Figure 11</w:t>
        </w:r>
      </w:hyperlink>
      <w:r>
        <w:t xml:space="preserve">.</w:t>
      </w:r>
      <w:r>
        <w:t xml:space="preserve"> </w:t>
      </w:r>
      <w:hyperlink w:anchor="fig-rq1-pred-speaker_model04">
        <w:r>
          <w:rPr>
            <w:rStyle w:val="Hyperlink"/>
          </w:rPr>
          <w:t xml:space="preserve">Figure 9</w:t>
        </w:r>
      </w:hyperlink>
      <w:r>
        <w:t xml:space="preserve"> </w:t>
      </w:r>
      <w:r>
        <w:t xml:space="preserve">displays Model</w:t>
      </w:r>
      <w:r>
        <w:t xml:space="preserve"> </w:t>
      </w:r>
      <m:oMath>
        <m:r>
          <m:t>4</m:t>
        </m:r>
      </m:oMath>
      <w:r>
        <w:t xml:space="preserve">’s score prediction densities which bear no resemblance to the actual data densities. Furthermore, the top two panels in</w:t>
      </w:r>
      <w:r>
        <w:t xml:space="preserve"> </w:t>
      </w:r>
      <w:hyperlink w:anchor="fig-rq1-model-outliers">
        <w:r>
          <w:rPr>
            <w:rStyle w:val="Hyperlink"/>
          </w:rPr>
          <w:t xml:space="preserve">Figure 11</w:t>
        </w:r>
      </w:hyperlink>
      <w:r>
        <w:t xml:space="preserve"> </w:t>
      </w:r>
      <w:r>
        <w:t xml:space="preserve">reveal that misspecification in the Normal LMM causes the model to be</w:t>
      </w:r>
      <w:r>
        <w:t xml:space="preserve"> </w:t>
      </w:r>
      <w:r>
        <w:rPr>
          <w:i/>
          <w:iCs/>
        </w:rPr>
        <w:t xml:space="preserve">more surprised</w:t>
      </w:r>
      <w:r>
        <w:t xml:space="preserve"> </w:t>
      </w:r>
      <w:r>
        <w:t xml:space="preserve">by</w:t>
      </w:r>
      <w:r>
        <w:t xml:space="preserve"> </w:t>
      </w:r>
      <w:r>
        <w:t xml:space="preserve">‘</w:t>
      </w:r>
      <w:r>
        <w:t xml:space="preserve">extreme</w:t>
      </w:r>
      <w:r>
        <w:t xml:space="preserve">’</w:t>
      </w:r>
      <w:r>
        <w:t xml:space="preserve"> </w:t>
      </w:r>
      <w:r>
        <w:t xml:space="preserve">entropy scores, leading to their identification as highly unlikely and influential observations. Consequently, the model is rendered unreliable due to the potential biases present in the parameter estimates. In contrast, the Beta-proportion GLLAMM appears to effectively capture the data patterns, generating predictions within the expected data range. This is evident in</w:t>
      </w:r>
      <w:r>
        <w:t xml:space="preserve"> </w:t>
      </w:r>
      <w:hyperlink w:anchor="fig-rq1-pred-speaker">
        <w:r>
          <w:rPr>
            <w:rStyle w:val="Hyperlink"/>
          </w:rPr>
          <w:t xml:space="preserve">Figure 2</w:t>
        </w:r>
      </w:hyperlink>
      <w:r>
        <w:t xml:space="preserve"> </w:t>
      </w:r>
      <w:r>
        <w:t xml:space="preserve">and complemented by</w:t>
      </w:r>
      <w:r>
        <w:t xml:space="preserve"> </w:t>
      </w:r>
      <w:hyperlink w:anchor="fig-rq1-pred-speaker_model10">
        <w:r>
          <w:rPr>
            <w:rStyle w:val="Hyperlink"/>
          </w:rPr>
          <w:t xml:space="preserve">Figure 10</w:t>
        </w:r>
      </w:hyperlink>
      <w:r>
        <w:t xml:space="preserve"> </w:t>
      </w:r>
      <w:r>
        <w:t xml:space="preserve">and</w:t>
      </w:r>
      <w:r>
        <w:t xml:space="preserve"> </w:t>
      </w:r>
      <w:hyperlink w:anchor="fig-rq1-model-outliers">
        <w:r>
          <w:rPr>
            <w:rStyle w:val="Hyperlink"/>
          </w:rPr>
          <w:t xml:space="preserve">Figure 11</w:t>
        </w:r>
      </w:hyperlink>
      <w:r>
        <w:t xml:space="preserve">. In</w:t>
      </w:r>
      <w:r>
        <w:t xml:space="preserve"> </w:t>
      </w:r>
      <w:hyperlink w:anchor="fig-rq1-pred-speaker_model10">
        <w:r>
          <w:rPr>
            <w:rStyle w:val="Hyperlink"/>
          </w:rPr>
          <w:t xml:space="preserve">Figure 10</w:t>
        </w:r>
      </w:hyperlink>
      <w:r>
        <w:t xml:space="preserve">, Model</w:t>
      </w:r>
      <w:r>
        <w:t xml:space="preserve"> </w:t>
      </w:r>
      <m:oMath>
        <m:r>
          <m:t>10</m:t>
        </m:r>
      </m:oMath>
      <w:r>
        <w:t xml:space="preserve"> </w:t>
      </w:r>
      <w:r>
        <w:t xml:space="preserve">display prediction densities that bear more resemblance to the actual data densities. Furthermore, the bottom two panels in</w:t>
      </w:r>
      <w:r>
        <w:t xml:space="preserve"> </w:t>
      </w:r>
      <w:hyperlink w:anchor="fig-rq1-model-outliers">
        <w:r>
          <w:rPr>
            <w:rStyle w:val="Hyperlink"/>
          </w:rPr>
          <w:t xml:space="preserve">Figure 11</w:t>
        </w:r>
      </w:hyperlink>
      <w:r>
        <w:t xml:space="preserve"> </w:t>
      </w:r>
      <w:r>
        <w:t xml:space="preserve">show the model is</w:t>
      </w:r>
      <w:r>
        <w:t xml:space="preserve"> </w:t>
      </w:r>
      <w:r>
        <w:rPr>
          <w:i/>
          <w:iCs/>
        </w:rPr>
        <w:t xml:space="preserve">less surprised</w:t>
      </w:r>
      <w:r>
        <w:t xml:space="preserve"> </w:t>
      </w:r>
      <w:r>
        <w:t xml:space="preserve">by</w:t>
      </w:r>
      <w:r>
        <w:t xml:space="preserve"> </w:t>
      </w:r>
      <w:r>
        <w:t xml:space="preserve">‘</w:t>
      </w:r>
      <w:r>
        <w:t xml:space="preserve">extreme</w:t>
      </w:r>
      <w:r>
        <w:t xml:space="preserve">’</w:t>
      </w:r>
      <w:r>
        <w:t xml:space="preserve"> </w:t>
      </w:r>
      <w:r>
        <w:t xml:space="preserve">scores, fostering more trust in the model’s estimates.</w:t>
      </w:r>
    </w:p>
    <w:bookmarkStart w:id="58" w:name="cell-fig-rq1-pred-speaker"/>
    <w:tbl>
      <w:tblPr>
        <w:tblStyle w:val="Table"/>
        <w:tblW w:type="pct" w:w="5000"/>
        <w:jc w:val="left"/>
        <w:tblLayout w:type="fixed"/>
        <w:tblLook w:firstRow="0" w:lastRow="0" w:firstColumn="0" w:lastColumn="0" w:noHBand="0" w:noVBand="0" w:val="0000"/>
      </w:tblPr>
      <w:tblGrid>
        <w:gridCol w:w="7920"/>
      </w:tblGrid>
      <w:tr>
        <w:tc>
          <w:tcPr/>
          <w:bookmarkStart w:id="57" w:name="fig-rq1-pred-speaker"/>
          <w:p>
            <w:pPr>
              <w:pStyle w:val="Compact"/>
              <w:jc w:val="center"/>
            </w:pPr>
            <w:r>
              <w:drawing>
                <wp:inline>
                  <wp:extent cx="5334000" cy="3200400"/>
                  <wp:effectExtent b="0" l="0" r="0" t="0"/>
                  <wp:docPr descr="" title="" id="55" name="Picture"/>
                  <a:graphic>
                    <a:graphicData uri="http://schemas.openxmlformats.org/drawingml/2006/picture">
                      <pic:pic>
                        <pic:nvPicPr>
                          <pic:cNvPr descr="index_files/figure-docx/fig-rq1-pred-speaker-1.png" id="56" name="Picture"/>
                          <pic:cNvPicPr>
                            <a:picLocks noChangeArrowheads="1" noChangeAspect="1"/>
                          </pic:cNvPicPr>
                        </pic:nvPicPr>
                        <pic:blipFill>
                          <a:blip r:embed="rId54"/>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Entropy scores prediction for selected models.</w:t>
            </w:r>
            <w:r>
              <w:t xml:space="preserve"> </w:t>
            </w:r>
            <w:r>
              <w:rPr>
                <w:i/>
                <w:iCs/>
              </w:rPr>
              <w:t xml:space="preserve">Note:</w:t>
            </w:r>
            <w:r>
              <w:t xml:space="preserve"> </w:t>
            </w:r>
            <w:r>
              <w:t xml:space="preserve">Black dots show manifest entropy scores, orange dots and vertical lines show the point estimates and 95% highest probability density interval (HPDI) derived from Model 4, blue dots and vertical lines show similar information for Model 10.</w:t>
            </w:r>
          </w:p>
          <w:bookmarkEnd w:id="57"/>
        </w:tc>
      </w:tr>
    </w:tbl>
    <w:bookmarkEnd w:id="58"/>
    <w:bookmarkEnd w:id="59"/>
    <w:bookmarkStart w:id="71" w:name="sec-R-RQ2"/>
    <w:p>
      <w:pPr>
        <w:pStyle w:val="Heading2"/>
      </w:pPr>
      <w:r>
        <w:t xml:space="preserve">Estimation of speakers’ latent potential intelligibility from manifest entropy scores (RQ2)</w:t>
      </w:r>
    </w:p>
    <w:p>
      <w:pPr>
        <w:pStyle w:val="FirstParagraph"/>
      </w:pPr>
      <w:r>
        <w:t xml:space="preserve">The second research question aimed to demonstrate the application of the Beta-proportion GLLAMM in estimating the latent potential intelligibility of speakers. This was achieved by employing the general mathematical formalism outlined in</w:t>
      </w:r>
      <w:r>
        <w:t xml:space="preserve"> </w:t>
      </w:r>
      <w:hyperlink w:anchor="eq-beta-GLLAMM-structural">
        <w:r>
          <w:rPr>
            <w:rStyle w:val="Hyperlink"/>
          </w:rPr>
          <w:t xml:space="preserve">Equation 6</w:t>
        </w:r>
      </w:hyperlink>
      <w:r>
        <w:t xml:space="preserve">, along with additional specifications provided in</w:t>
      </w:r>
      <w:r>
        <w:t xml:space="preserve"> </w:t>
      </w:r>
      <w:hyperlink w:anchor="tbl-fitted">
        <w:r>
          <w:rPr>
            <w:rStyle w:val="Hyperlink"/>
          </w:rPr>
          <w:t xml:space="preserve">Table 2</w:t>
        </w:r>
      </w:hyperlink>
      <w:r>
        <w:t xml:space="preserve">. The Bayesian procedure successfully estimated the latent potential intelligibility of speakers under Model</w:t>
      </w:r>
      <w:r>
        <w:t xml:space="preserve"> </w:t>
      </w:r>
      <m:oMath>
        <m:r>
          <m:t>10</m:t>
        </m:r>
      </m:oMath>
      <w:r>
        <w:t xml:space="preserve"> </w:t>
      </w:r>
      <w:r>
        <w:t xml:space="preserve">through the structural equation:</w:t>
      </w:r>
    </w:p>
    <w:p>
      <w:pPr>
        <w:pStyle w:val="BodyText"/>
      </w:pPr>
      <w:bookmarkStart w:id="60" w:name="eq-beta-GLLAMM-structural-model10"/>
      <m:oMathPara>
        <m:oMathParaPr>
          <m:jc m:val="center"/>
        </m:oMathParaPr>
        <m:oMath>
          <m:r>
            <m:t>S</m:t>
          </m:r>
          <m:sSub>
            <m:e>
              <m:r>
                <m:t>I</m:t>
              </m:r>
            </m:e>
            <m:sub>
              <m:r>
                <m:t>i</m:t>
              </m:r>
            </m:sub>
          </m:sSub>
          <m:r>
            <m:rPr>
              <m:sty m:val="p"/>
            </m:rPr>
            <m:t>=</m:t>
          </m:r>
          <m:r>
            <m:t>α</m:t>
          </m:r>
          <m:r>
            <m:rPr>
              <m:sty m:val="p"/>
            </m:rPr>
            <m:t>+</m:t>
          </m:r>
          <m:sSub>
            <m:e>
              <m:r>
                <m:t>e</m:t>
              </m:r>
            </m:e>
            <m:sub>
              <m:r>
                <m:t>i</m:t>
              </m:r>
            </m:sub>
          </m:sSub>
          <m:r>
            <m:rPr>
              <m:sty m:val="p"/>
            </m:rPr>
            <m:t>+</m:t>
          </m:r>
          <m:sSub>
            <m:e>
              <m:r>
                <m:t>u</m:t>
              </m:r>
            </m:e>
            <m:sub>
              <m:r>
                <m:t>i</m:t>
              </m:r>
            </m:sub>
          </m:sSub>
          <m:r>
            <m:t>  </m:t>
          </m:r>
          <m:d>
            <m:dPr>
              <m:begChr m:val="("/>
              <m:endChr m:val=")"/>
              <m:sepChr m:val=""/>
              <m:grow/>
            </m:dPr>
            <m:e>
              <m:r>
                <m:t>9</m:t>
              </m:r>
            </m:e>
          </m:d>
        </m:oMath>
      </m:oMathPara>
      <w:bookmarkEnd w:id="60"/>
    </w:p>
    <w:p>
      <w:pPr>
        <w:pStyle w:val="FirstParagraph"/>
      </w:pPr>
      <w:r>
        <w:t xml:space="preserve">Moreover, due to its implementation under Bayesian procedures, Model</w:t>
      </w:r>
      <w:r>
        <w:t xml:space="preserve"> </w:t>
      </w:r>
      <m:oMath>
        <m:r>
          <m:t>10</m:t>
        </m:r>
      </m:oMath>
      <w:r>
        <w:t xml:space="preserve"> </w:t>
      </w:r>
      <w:r>
        <w:t xml:space="preserve">provides the complete posterior distribution of the speakers’ potential intelligibility scores. This provision, in turn, (1) enables the calculation of summaries, facilitating the ranking of individuals, and (2) supports the assessment of differences among selected speakers. In both cases, the model considers the inherent uncertainty of the estimates resulting from its measurement using multiple entropy scores.</w:t>
      </w:r>
    </w:p>
    <w:bookmarkStart w:id="65" w:name="cell-fig-rq2-si-model10"/>
    <w:tbl>
      <w:tblPr>
        <w:tblStyle w:val="Table"/>
        <w:tblW w:type="pct" w:w="5000"/>
        <w:jc w:val="left"/>
        <w:tblLayout w:type="fixed"/>
        <w:tblLook w:firstRow="0" w:lastRow="0" w:firstColumn="0" w:lastColumn="0" w:noHBand="0" w:noVBand="0" w:val="0000"/>
      </w:tblPr>
      <w:tblGrid>
        <w:gridCol w:w="7920"/>
      </w:tblGrid>
      <w:tr>
        <w:tc>
          <w:tcPr/>
          <w:bookmarkStart w:id="64" w:name="fig-rq2-si-model10"/>
          <w:p>
            <w:pPr>
              <w:pStyle w:val="Compact"/>
              <w:jc w:val="center"/>
            </w:pPr>
            <w:r>
              <w:drawing>
                <wp:inline>
                  <wp:extent cx="5334000" cy="2667000"/>
                  <wp:effectExtent b="0" l="0" r="0" t="0"/>
                  <wp:docPr descr="" title="" id="62" name="Picture"/>
                  <a:graphic>
                    <a:graphicData uri="http://schemas.openxmlformats.org/drawingml/2006/picture">
                      <pic:pic>
                        <pic:nvPicPr>
                          <pic:cNvPr descr="index_files/figure-docx/fig-rq2-si-model10-1.png" id="63" name="Picture"/>
                          <pic:cNvPicPr>
                            <a:picLocks noChangeArrowheads="1" noChangeAspect="1"/>
                          </pic:cNvPicPr>
                        </pic:nvPicPr>
                        <pic:blipFill>
                          <a:blip r:embed="rId61"/>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Model 10, latent potential intelligibility of speakers.</w:t>
            </w:r>
            <w:r>
              <w:t xml:space="preserve"> </w:t>
            </w:r>
            <w:r>
              <w:rPr>
                <w:i/>
                <w:iCs/>
              </w:rPr>
              <w:t xml:space="preserve">Note:</w:t>
            </w:r>
            <w:r>
              <w:t xml:space="preserve"> </w:t>
            </w:r>
            <w:r>
              <w:t xml:space="preserve">Black dots and vertical lines show mean point estimates and 95% HPDI intervals.</w:t>
            </w:r>
          </w:p>
          <w:bookmarkEnd w:id="64"/>
        </w:tc>
      </w:tr>
    </w:tbl>
    <w:bookmarkEnd w:id="65"/>
    <w:p>
      <w:pPr>
        <w:pStyle w:val="BodyText"/>
      </w:pPr>
      <w:hyperlink w:anchor="fig-rq2-si-model10">
        <w:r>
          <w:rPr>
            <w:rStyle w:val="Hyperlink"/>
          </w:rPr>
          <w:t xml:space="preserve">Figure 3</w:t>
        </w:r>
      </w:hyperlink>
      <w:r>
        <w:t xml:space="preserve"> </w:t>
      </w:r>
      <w:r>
        <w:t xml:space="preserve">displays the ranking of speakers in decreasing order based on point estimates of the latent potential intelligibility. These estimates are accompanied by their associated</w:t>
      </w:r>
      <w:r>
        <w:t xml:space="preserve"> </w:t>
      </w:r>
      <m:oMath>
        <m:r>
          <m:t>95</m:t>
        </m:r>
        <m:r>
          <m:rPr>
            <m:sty m:val="p"/>
          </m:rPr>
          <m:t>%</m:t>
        </m:r>
      </m:oMath>
      <w:r>
        <w:t xml:space="preserve"> </w:t>
      </w:r>
      <w:r>
        <w:t xml:space="preserve">highest probability density intervals (HPDI). The figure clearly indicates that clearly indicate that speaker</w:t>
      </w:r>
      <w:r>
        <w:t xml:space="preserve"> </w:t>
      </w:r>
      <m:oMath>
        <m:r>
          <m:t>6</m:t>
        </m:r>
      </m:oMath>
      <w:r>
        <w:t xml:space="preserve"> </w:t>
      </w:r>
      <w:r>
        <w:t xml:space="preserve">stands out as the least intelligible in the sample, followed farther behind by speaker</w:t>
      </w:r>
      <w:r>
        <w:t xml:space="preserve"> </w:t>
      </w:r>
      <m:oMath>
        <m:r>
          <m:t>1</m:t>
        </m:r>
      </m:oMath>
      <w:r>
        <w:t xml:space="preserve">,</w:t>
      </w:r>
      <w:r>
        <w:t xml:space="preserve"> </w:t>
      </w:r>
      <m:oMath>
        <m:r>
          <m:t>17</m:t>
        </m:r>
      </m:oMath>
      <w:r>
        <w:t xml:space="preserve"> </w:t>
      </w:r>
      <w:r>
        <w:t xml:space="preserve">and</w:t>
      </w:r>
      <w:r>
        <w:t xml:space="preserve"> </w:t>
      </w:r>
      <m:oMath>
        <m:r>
          <m:t>9</m:t>
        </m:r>
      </m:oMath>
      <w:r>
        <w:t xml:space="preserve">. In contrast, the figure highlights speaker</w:t>
      </w:r>
      <w:r>
        <w:t xml:space="preserve"> </w:t>
      </w:r>
      <m:oMath>
        <m:r>
          <m:t>20</m:t>
        </m:r>
      </m:oMath>
      <w:r>
        <w:t xml:space="preserve"> </w:t>
      </w:r>
      <w:r>
        <w:t xml:space="preserve">as the most intelligible, closely followed by speakers</w:t>
      </w:r>
      <w:r>
        <w:t xml:space="preserve"> </w:t>
      </w:r>
      <m:oMath>
        <m:r>
          <m:t>23</m:t>
        </m:r>
      </m:oMath>
      <w:r>
        <w:t xml:space="preserve">,</w:t>
      </w:r>
      <w:r>
        <w:t xml:space="preserve"> </w:t>
      </w:r>
      <m:oMath>
        <m:r>
          <m:t>31</m:t>
        </m:r>
      </m:oMath>
      <w:r>
        <w:t xml:space="preserve"> </w:t>
      </w:r>
      <w:r>
        <w:t xml:space="preserve">and</w:t>
      </w:r>
      <w:r>
        <w:t xml:space="preserve"> </w:t>
      </w:r>
      <m:oMath>
        <m:r>
          <m:t>3</m:t>
        </m:r>
      </m:oMath>
      <w:r>
        <w:t xml:space="preserve">. Conversely,</w:t>
      </w:r>
      <w:r>
        <w:t xml:space="preserve"> </w:t>
      </w:r>
      <w:hyperlink w:anchor="fig-si_contr_model10">
        <w:r>
          <w:rPr>
            <w:rStyle w:val="Hyperlink"/>
          </w:rPr>
          <w:t xml:space="preserve">Figure 4</w:t>
        </w:r>
      </w:hyperlink>
      <w:r>
        <w:t xml:space="preserve"> </w:t>
      </w:r>
      <w:r>
        <w:t xml:space="preserve">shows the full posterior distribution for the comparison of potential intelligibility among selected speakers. The figure reveals that only the differences between speakers</w:t>
      </w:r>
      <w:r>
        <w:t xml:space="preserve"> </w:t>
      </w:r>
      <m:oMath>
        <m:r>
          <m:t>6</m:t>
        </m:r>
      </m:oMath>
      <w:r>
        <w:t xml:space="preserve">,</w:t>
      </w:r>
      <w:r>
        <w:t xml:space="preserve"> </w:t>
      </w:r>
      <m:oMath>
        <m:r>
          <m:t>1</m:t>
        </m:r>
      </m:oMath>
      <w:r>
        <w:t xml:space="preserve">,</w:t>
      </w:r>
      <w:r>
        <w:t xml:space="preserve"> </w:t>
      </w:r>
      <m:oMath>
        <m:r>
          <m:t>17</m:t>
        </m:r>
      </m:oMath>
      <w:r>
        <w:t xml:space="preserve">, and</w:t>
      </w:r>
      <w:r>
        <w:t xml:space="preserve"> </w:t>
      </w:r>
      <m:oMath>
        <m:r>
          <m:t>9</m:t>
        </m:r>
      </m:oMath>
      <w:r>
        <w:t xml:space="preserve">, along with the difference between speakers</w:t>
      </w:r>
      <w:r>
        <w:t xml:space="preserve"> </w:t>
      </w:r>
      <m:oMath>
        <m:r>
          <m:t>20</m:t>
        </m:r>
      </m:oMath>
      <w:r>
        <w:t xml:space="preserve"> </w:t>
      </w:r>
      <w:r>
        <w:t xml:space="preserve">and</w:t>
      </w:r>
      <w:r>
        <w:t xml:space="preserve"> </w:t>
      </w:r>
      <m:oMath>
        <m:r>
          <m:t>3</m:t>
        </m:r>
      </m:oMath>
      <w:r>
        <w:t xml:space="preserve"> </w:t>
      </w:r>
      <w:r>
        <w:t xml:space="preserve">are statistically significant, as their associated</w:t>
      </w:r>
      <w:r>
        <w:t xml:space="preserve"> </w:t>
      </w:r>
      <m:oMath>
        <m:r>
          <m:t>95</m:t>
        </m:r>
        <m:r>
          <m:rPr>
            <m:sty m:val="p"/>
          </m:rPr>
          <m:t>%</m:t>
        </m:r>
      </m:oMath>
      <w:r>
        <w:t xml:space="preserve"> </w:t>
      </w:r>
      <w:r>
        <w:t xml:space="preserve">HPDI did not overlap with zero (shaded area). The R code to derive these scores and generate the figure is available in the digital walk-through document (refer to</w:t>
      </w:r>
      <w:r>
        <w:t xml:space="preserve"> </w:t>
      </w:r>
      <w:hyperlink w:anchor="sec-M-SM-OS">
        <w:r>
          <w:rPr>
            <w:rStyle w:val="Hyperlink"/>
          </w:rPr>
          <w:t xml:space="preserve">Section 2.2.7</w:t>
        </w:r>
      </w:hyperlink>
      <w:r>
        <w:t xml:space="preserve"> </w:t>
      </w:r>
      <w:r>
        <w:t xml:space="preserve">Open Science Statement).</w:t>
      </w:r>
    </w:p>
    <w:bookmarkStart w:id="70" w:name="cell-fig-si_contr_model10"/>
    <w:tbl>
      <w:tblPr>
        <w:tblStyle w:val="Table"/>
        <w:tblW w:type="pct" w:w="5000"/>
        <w:jc w:val="left"/>
        <w:tblLayout w:type="fixed"/>
        <w:tblLook w:firstRow="0" w:lastRow="0" w:firstColumn="0" w:lastColumn="0" w:noHBand="0" w:noVBand="0" w:val="0000"/>
      </w:tblPr>
      <w:tblGrid>
        <w:gridCol w:w="7920"/>
      </w:tblGrid>
      <w:tr>
        <w:tc>
          <w:tcPr/>
          <w:bookmarkStart w:id="69" w:name="fig-si_contr_model10"/>
          <w:p>
            <w:pPr>
              <w:pStyle w:val="Compact"/>
              <w:jc w:val="center"/>
            </w:pPr>
            <w:r>
              <w:drawing>
                <wp:inline>
                  <wp:extent cx="5334000" cy="3733800"/>
                  <wp:effectExtent b="0" l="0" r="0" t="0"/>
                  <wp:docPr descr="" title="" id="67" name="Picture"/>
                  <a:graphic>
                    <a:graphicData uri="http://schemas.openxmlformats.org/drawingml/2006/picture">
                      <pic:pic>
                        <pic:nvPicPr>
                          <pic:cNvPr descr="index_files/figure-docx/fig-si_contr_model10-1.png" id="68" name="Picture"/>
                          <pic:cNvPicPr>
                            <a:picLocks noChangeArrowheads="1" noChangeAspect="1"/>
                          </pic:cNvPicPr>
                        </pic:nvPicPr>
                        <pic:blipFill>
                          <a:blip r:embed="rId66"/>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Model 10, potential intelligibility comparisons among selected speakers.</w:t>
            </w:r>
            <w:r>
              <w:t xml:space="preserve"> </w:t>
            </w:r>
            <w:r>
              <w:rPr>
                <w:i/>
                <w:iCs/>
              </w:rPr>
              <w:t xml:space="preserve">Note:</w:t>
            </w:r>
            <w:r>
              <w:t xml:space="preserve"> </w:t>
            </w:r>
            <w:r>
              <w:t xml:space="preserve">Shaded area describes the 95% highest probability density interval (HPDI)</w:t>
            </w:r>
          </w:p>
          <w:bookmarkEnd w:id="69"/>
        </w:tc>
      </w:tr>
    </w:tbl>
    <w:bookmarkEnd w:id="70"/>
    <w:bookmarkEnd w:id="71"/>
    <w:bookmarkStart w:id="95" w:name="sec-R-RQ3"/>
    <w:p>
      <w:pPr>
        <w:pStyle w:val="Heading2"/>
      </w:pPr>
      <w:r>
        <w:t xml:space="preserve">Testing the influence of speaker-related factors on intelligibility (RQ3)</w:t>
      </w:r>
    </w:p>
    <w:p>
      <w:pPr>
        <w:pStyle w:val="FirstParagraph"/>
      </w:pPr>
      <w:r>
        <w:t xml:space="preserve">This research question illustrates how theories on intelligibility can be examined within the model’s framework. Specifically, the focus centers on assessing the influence of speaker-related factors on intelligibility, such as chronological age and hearing status. Notably, despite RQ1 indicating the suitability of Beta-proportion GLLAMM models for entropy scores, existing statistical literature suggests that, in certain scenarios, models incorporating covariate adjustment exhibit robustness to misspecification in the functional form linking an outcome and covariates, commonly referred to as covariate-outcome relationship</w:t>
      </w:r>
      <w:r>
        <w:t xml:space="preserve"> </w:t>
      </w:r>
      <w:r>
        <w:t xml:space="preserve">(Tackney et al. 2023)</w:t>
      </w:r>
      <w:r>
        <w:t xml:space="preserve">. Consequently, this study compares all models detailed in</w:t>
      </w:r>
      <w:r>
        <w:t xml:space="preserve"> </w:t>
      </w:r>
      <w:hyperlink w:anchor="tbl-fitted">
        <w:r>
          <w:rPr>
            <w:rStyle w:val="Hyperlink"/>
          </w:rPr>
          <w:t xml:space="preserve">Table 2</w:t>
        </w:r>
      </w:hyperlink>
      <w:r>
        <w:t xml:space="preserve">. These models are characterized by different covariate adjustments on entropy scores or the latent potential intelligibility of speakers, namely chronological age and hearing status, while potentially exhibiting misspecification in the covariate-outcome relationship, as observed in the case of the Normal LMM.</w:t>
      </w:r>
    </w:p>
    <w:p>
      <w:pPr>
        <w:pStyle w:val="BodyText"/>
      </w:pPr>
      <w:r>
        <w:t xml:space="preserve">Similar to RQ1, all criteria consistently identify the Beta-proportion GLLAMM outlined in models</w:t>
      </w:r>
      <w:r>
        <w:t xml:space="preserve"> </w:t>
      </w:r>
      <m:oMath>
        <m:r>
          <m:t>11</m:t>
        </m:r>
      </m:oMath>
      <w:r>
        <w:t xml:space="preserve">,</w:t>
      </w:r>
      <w:r>
        <w:t xml:space="preserve"> </w:t>
      </w:r>
      <m:oMath>
        <m:r>
          <m:t>12</m:t>
        </m:r>
      </m:oMath>
      <w:r>
        <w:t xml:space="preserve"> </w:t>
      </w:r>
      <w:r>
        <w:t xml:space="preserve">and</w:t>
      </w:r>
      <w:r>
        <w:t xml:space="preserve"> </w:t>
      </w:r>
      <m:oMath>
        <m:r>
          <m:t>10</m:t>
        </m:r>
      </m:oMath>
      <w:r>
        <w:t xml:space="preserve"> </w:t>
      </w:r>
      <w:r>
        <w:t xml:space="preserve">as the most plausible models for the data. The models exhibit the lowest values for both</w:t>
      </w:r>
      <w:r>
        <w:t xml:space="preserve"> </w:t>
      </w:r>
      <w:r>
        <w:rPr>
          <w:rStyle w:val="VerbatimChar"/>
        </w:rPr>
        <w:t xml:space="preserve">WAIC</w:t>
      </w:r>
      <w:r>
        <w:t xml:space="preserve"> </w:t>
      </w:r>
      <w:r>
        <w:t xml:space="preserve">and</w:t>
      </w:r>
      <w:r>
        <w:t xml:space="preserve"> </w:t>
      </w:r>
      <w:r>
        <w:rPr>
          <w:rStyle w:val="VerbatimChar"/>
        </w:rPr>
        <w:t xml:space="preserve">PSIS</w:t>
      </w:r>
      <w:r>
        <w:t xml:space="preserve">, establishing them as the least deviating models among those under comparison. Moreover,</w:t>
      </w:r>
      <w:r>
        <w:t xml:space="preserve"> </w:t>
      </w:r>
      <w:hyperlink w:anchor="fig-rq3-waic-psis">
        <w:r>
          <w:rPr>
            <w:rStyle w:val="Hyperlink"/>
          </w:rPr>
          <w:t xml:space="preserve">Figure 5</w:t>
        </w:r>
      </w:hyperlink>
      <w:r>
        <w:t xml:space="preserve"> </w:t>
      </w:r>
      <w:r>
        <w:t xml:space="preserve">depicts with horizontal blue lines the non-overlapping uncertainty for the models’</w:t>
      </w:r>
      <w:r>
        <w:t xml:space="preserve"> </w:t>
      </w:r>
      <w:r>
        <w:rPr>
          <w:rStyle w:val="VerbatimChar"/>
        </w:rPr>
        <w:t xml:space="preserve">dWAIC</w:t>
      </w:r>
      <w:r>
        <w:t xml:space="preserve"> </w:t>
      </w:r>
      <w:r>
        <w:t xml:space="preserve">and</w:t>
      </w:r>
      <w:r>
        <w:t xml:space="preserve"> </w:t>
      </w:r>
      <w:r>
        <w:rPr>
          <w:rStyle w:val="VerbatimChar"/>
        </w:rPr>
        <w:t xml:space="preserve">dPSIS</w:t>
      </w:r>
      <w:r>
        <w:t xml:space="preserve"> </w:t>
      </w:r>
      <w:r>
        <w:t xml:space="preserve">values. This reveals that, when compared to Model</w:t>
      </w:r>
      <w:r>
        <w:t xml:space="preserve"> </w:t>
      </w:r>
      <m:oMath>
        <m:r>
          <m:t>11</m:t>
        </m:r>
      </m:oMath>
      <w:r>
        <w:t xml:space="preserve">, most models exhibit significantly distinct predictive capabilities. Models</w:t>
      </w:r>
      <w:r>
        <w:t xml:space="preserve"> </w:t>
      </w:r>
      <m:oMath>
        <m:r>
          <m:t>12</m:t>
        </m:r>
      </m:oMath>
      <w:r>
        <w:t xml:space="preserve"> </w:t>
      </w:r>
      <w:r>
        <w:t xml:space="preserve">and</w:t>
      </w:r>
      <w:r>
        <w:t xml:space="preserve"> </w:t>
      </w:r>
      <m:oMath>
        <m:r>
          <m:t>10</m:t>
        </m:r>
      </m:oMath>
      <w:r>
        <w:t xml:space="preserve">, however, stand out as exceptions to this pattern. This observation suggests that Models</w:t>
      </w:r>
      <w:r>
        <w:t xml:space="preserve"> </w:t>
      </w:r>
      <m:oMath>
        <m:r>
          <m:t>11</m:t>
        </m:r>
      </m:oMath>
      <w:r>
        <w:t xml:space="preserve">,</w:t>
      </w:r>
      <w:r>
        <w:t xml:space="preserve"> </w:t>
      </w:r>
      <m:oMath>
        <m:r>
          <m:t>12</m:t>
        </m:r>
      </m:oMath>
      <w:r>
        <w:t xml:space="preserve">, and</w:t>
      </w:r>
      <w:r>
        <w:t xml:space="preserve"> </w:t>
      </w:r>
      <m:oMath>
        <m:r>
          <m:t>10</m:t>
        </m:r>
      </m:oMath>
      <w:r>
        <w:t xml:space="preserve"> </w:t>
      </w:r>
      <w:r>
        <w:t xml:space="preserve">display the least deviation from</w:t>
      </w:r>
      <w:r>
        <w:t xml:space="preserve"> </w:t>
      </w:r>
      <w:r>
        <w:rPr>
          <w:i/>
          <w:iCs/>
        </w:rPr>
        <w:t xml:space="preserve">perfect</w:t>
      </w:r>
      <w:r>
        <w:t xml:space="preserve"> </w:t>
      </w:r>
      <w:r>
        <w:t xml:space="preserve">predictive accuracy in contrast to the other models. Lastly, the</w:t>
      </w:r>
      <w:r>
        <w:t xml:space="preserve"> </w:t>
      </w:r>
      <w:r>
        <w:rPr>
          <w:rStyle w:val="VerbatimChar"/>
        </w:rPr>
        <w:t xml:space="preserve">weight</w:t>
      </w:r>
      <w:r>
        <w:t xml:space="preserve"> </w:t>
      </w:r>
      <w:r>
        <w:t xml:space="preserve">of evidence in Tables</w:t>
      </w:r>
      <w:r>
        <w:t xml:space="preserve"> </w:t>
      </w:r>
      <w:hyperlink w:anchor="tbl-rq3-waic">
        <w:r>
          <w:rPr>
            <w:rStyle w:val="Hyperlink"/>
          </w:rPr>
          <w:t xml:space="preserve">Table 8</w:t>
        </w:r>
      </w:hyperlink>
      <w:r>
        <w:t xml:space="preserve"> </w:t>
      </w:r>
      <w:r>
        <w:t xml:space="preserve">and</w:t>
      </w:r>
      <w:r>
        <w:t xml:space="preserve"> </w:t>
      </w:r>
      <w:hyperlink w:anchor="tbl-rq3-psis">
        <w:r>
          <w:rPr>
            <w:rStyle w:val="Hyperlink"/>
          </w:rPr>
          <w:t xml:space="preserve">Table 9</w:t>
        </w:r>
      </w:hyperlink>
      <w:r>
        <w:t xml:space="preserve">, underscores that Model</w:t>
      </w:r>
      <w:r>
        <w:t xml:space="preserve"> </w:t>
      </w:r>
      <m:oMath>
        <m:r>
          <m:t>11</m:t>
        </m:r>
      </m:oMath>
      <w:r>
        <w:t xml:space="preserve"> </w:t>
      </w:r>
      <w:r>
        <w:t xml:space="preserve">accumulated the greatest support, followed by Model</w:t>
      </w:r>
      <w:r>
        <w:t xml:space="preserve"> </w:t>
      </w:r>
      <m:oMath>
        <m:r>
          <m:t>12</m:t>
        </m:r>
      </m:oMath>
      <w:r>
        <w:t xml:space="preserve">, and lastly, by Model</w:t>
      </w:r>
      <w:r>
        <w:t xml:space="preserve"> </w:t>
      </w:r>
      <m:oMath>
        <m:r>
          <m:t>10</m:t>
        </m:r>
      </m:oMath>
      <w:r>
        <w:t xml:space="preserve">.</w:t>
      </w:r>
    </w:p>
    <w:bookmarkStart w:id="76" w:name="cell-fig-rq3-waic-psis"/>
    <w:tbl>
      <w:tblPr>
        <w:tblStyle w:val="Table"/>
        <w:tblW w:type="pct" w:w="5000"/>
        <w:jc w:val="left"/>
        <w:tblLayout w:type="fixed"/>
        <w:tblLook w:firstRow="0" w:lastRow="0" w:firstColumn="0" w:lastColumn="0" w:noHBand="0" w:noVBand="0" w:val="0000"/>
      </w:tblPr>
      <w:tblGrid>
        <w:gridCol w:w="7920"/>
      </w:tblGrid>
      <w:tr>
        <w:tc>
          <w:tcPr/>
          <w:bookmarkStart w:id="75" w:name="fig-rq3-waic-psis"/>
          <w:p>
            <w:pPr>
              <w:pStyle w:val="Compact"/>
              <w:jc w:val="center"/>
            </w:pPr>
            <w:r>
              <w:drawing>
                <wp:inline>
                  <wp:extent cx="5334000" cy="4267200"/>
                  <wp:effectExtent b="0" l="0" r="0" t="0"/>
                  <wp:docPr descr="" title="" id="73" name="Picture"/>
                  <a:graphic>
                    <a:graphicData uri="http://schemas.openxmlformats.org/drawingml/2006/picture">
                      <pic:pic>
                        <pic:nvPicPr>
                          <pic:cNvPr descr="index_files/figure-docx/fig-rq3-waic-psis-1.png" id="74"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WAIC and PSIS model comparison plot. Note: Black and blue points describe point estimates, and continuous horizontal lines indicate the associated uncertainty.</w:t>
            </w:r>
          </w:p>
          <w:bookmarkEnd w:id="75"/>
        </w:tc>
      </w:tr>
    </w:tbl>
    <w:bookmarkEnd w:id="76"/>
    <w:p>
      <w:pPr>
        <w:pStyle w:val="BodyText"/>
      </w:pPr>
      <w:r>
        <w:t xml:space="preserve">A closer examination of two models within this comparison set reveal the reasons behind the largest observed disparities. The Normal LMM, as outlined in Model</w:t>
      </w:r>
      <w:r>
        <w:t xml:space="preserve"> </w:t>
      </w:r>
      <m:oMath>
        <m:r>
          <m:t>6</m:t>
        </m:r>
      </m:oMath>
      <w:r>
        <w:t xml:space="preserve">, continues to face challenges in capturing underlying data patterns, resulting in predictions that are physically inconsistent, falling outside the outcome’s range. Additionally, the model persists in identifying highly unlikely and influential observations, making it inherently unreliable. In contrast, the Beta-proportion GLLAMM described by Model</w:t>
      </w:r>
      <w:r>
        <w:t xml:space="preserve"> </w:t>
      </w:r>
      <m:oMath>
        <m:r>
          <m:t>12</m:t>
        </m:r>
      </m:oMath>
      <w:r>
        <w:t xml:space="preserve"> </w:t>
      </w:r>
      <w:r>
        <w:t xml:space="preserve">appears to be less susceptible to</w:t>
      </w:r>
      <w:r>
        <w:t xml:space="preserve"> </w:t>
      </w:r>
      <w:r>
        <w:t xml:space="preserve">‘</w:t>
      </w:r>
      <w:r>
        <w:t xml:space="preserve">extreme</w:t>
      </w:r>
      <w:r>
        <w:t xml:space="preserve">’</w:t>
      </w:r>
      <w:r>
        <w:t xml:space="preserve"> </w:t>
      </w:r>
      <w:r>
        <w:t xml:space="preserve">scores, effectively capturing data patterns within the expected data range and thereby instilling greater confidence in the reliability of the model’s estimates. This contrast is visually depicted in</w:t>
      </w:r>
      <w:r>
        <w:t xml:space="preserve"> </w:t>
      </w:r>
      <w:hyperlink w:anchor="fig-rq3-pred-speaker">
        <w:r>
          <w:rPr>
            <w:rStyle w:val="Hyperlink"/>
          </w:rPr>
          <w:t xml:space="preserve">Figure 12</w:t>
        </w:r>
      </w:hyperlink>
      <w:r>
        <w:t xml:space="preserve">,</w:t>
      </w:r>
      <w:r>
        <w:t xml:space="preserve"> </w:t>
      </w:r>
      <w:hyperlink w:anchor="fig-rq3-pred-speaker_model06">
        <w:r>
          <w:rPr>
            <w:rStyle w:val="Hyperlink"/>
          </w:rPr>
          <w:t xml:space="preserve">Figure 13</w:t>
        </w:r>
      </w:hyperlink>
      <w:r>
        <w:t xml:space="preserve">,</w:t>
      </w:r>
      <w:r>
        <w:t xml:space="preserve"> </w:t>
      </w:r>
      <w:hyperlink w:anchor="fig-rq3-pred-speaker_model12">
        <w:r>
          <w:rPr>
            <w:rStyle w:val="Hyperlink"/>
          </w:rPr>
          <w:t xml:space="preserve">Figure 14</w:t>
        </w:r>
      </w:hyperlink>
      <w:r>
        <w:t xml:space="preserve">, and</w:t>
      </w:r>
      <w:r>
        <w:t xml:space="preserve"> </w:t>
      </w:r>
      <w:hyperlink w:anchor="fig-rq3-model-outliers">
        <w:r>
          <w:rPr>
            <w:rStyle w:val="Hyperlink"/>
          </w:rPr>
          <w:t xml:space="preserve">Figure 15</w:t>
        </w:r>
      </w:hyperlink>
      <w:r>
        <w:t xml:space="preserve">.</w:t>
      </w:r>
    </w:p>
    <w:p>
      <w:pPr>
        <w:pStyle w:val="BodyText"/>
      </w:pPr>
      <w:r>
        <w:t xml:space="preserve">Considering the results in</w:t>
      </w:r>
      <w:r>
        <w:t xml:space="preserve"> </w:t>
      </w:r>
      <w:hyperlink w:anchor="fig-rq3-waic-psis">
        <w:r>
          <w:rPr>
            <w:rStyle w:val="Hyperlink"/>
          </w:rPr>
          <w:t xml:space="preserve">Figure 5</w:t>
        </w:r>
      </w:hyperlink>
      <w:r>
        <w:t xml:space="preserve">, the model comparisons favor three distinct models: Model</w:t>
      </w:r>
      <w:r>
        <w:t xml:space="preserve"> </w:t>
      </w:r>
      <m:oMath>
        <m:r>
          <m:t>10</m:t>
        </m:r>
      </m:oMath>
      <w:r>
        <w:t xml:space="preserve">,</w:t>
      </w:r>
      <w:r>
        <w:t xml:space="preserve"> </w:t>
      </w:r>
      <m:oMath>
        <m:r>
          <m:t>11</m:t>
        </m:r>
      </m:oMath>
      <w:r>
        <w:t xml:space="preserve"> </w:t>
      </w:r>
      <w:r>
        <w:t xml:space="preserve">and</w:t>
      </w:r>
      <w:r>
        <w:t xml:space="preserve"> </w:t>
      </w:r>
      <m:oMath>
        <m:r>
          <m:t>12</m:t>
        </m:r>
      </m:oMath>
      <w:r>
        <w:t xml:space="preserve">. Model</w:t>
      </w:r>
      <w:r>
        <w:t xml:space="preserve"> </w:t>
      </w:r>
      <m:oMath>
        <m:r>
          <m:t>10</m:t>
        </m:r>
      </m:oMath>
      <w:r>
        <w:t xml:space="preserve">, supported by</w:t>
      </w:r>
      <w:r>
        <w:t xml:space="preserve"> </w:t>
      </w:r>
      <m:oMath>
        <m:r>
          <m:t>20.4</m:t>
        </m:r>
        <m:r>
          <m:rPr>
            <m:sty m:val="p"/>
          </m:rPr>
          <m:t>%</m:t>
        </m:r>
      </m:oMath>
      <w:r>
        <w:t xml:space="preserve"> </w:t>
      </w:r>
      <w:r>
        <w:t xml:space="preserve">of the evidence, estimates a single intercept</w:t>
      </w:r>
      <w:r>
        <w:t xml:space="preserve"> </w:t>
      </w:r>
      <m:oMath>
        <m:r>
          <m:t>α</m:t>
        </m:r>
      </m:oMath>
      <w:r>
        <w:t xml:space="preserve"> </w:t>
      </w:r>
      <w:r>
        <w:t xml:space="preserve">and no slope to explain the potential intelligibility of speakers (refer to</w:t>
      </w:r>
      <w:r>
        <w:t xml:space="preserve"> </w:t>
      </w:r>
      <w:hyperlink w:anchor="tbl-parameter-model10">
        <w:r>
          <w:rPr>
            <w:rStyle w:val="Hyperlink"/>
          </w:rPr>
          <w:t xml:space="preserve">Table 3</w:t>
        </w:r>
      </w:hyperlink>
      <w:r>
        <w:t xml:space="preserve">). In contrast, supported by</w:t>
      </w:r>
      <w:r>
        <w:t xml:space="preserve"> </w:t>
      </w:r>
      <m:oMath>
        <m:r>
          <m:t>45.1</m:t>
        </m:r>
        <m:r>
          <m:rPr>
            <m:sty m:val="p"/>
          </m:rPr>
          <m:t>%</m:t>
        </m:r>
      </m:oMath>
      <w:r>
        <w:t xml:space="preserve"> </w:t>
      </w:r>
      <w:r>
        <w:t xml:space="preserve">of the evidence, Model</w:t>
      </w:r>
      <w:r>
        <w:t xml:space="preserve"> </w:t>
      </w:r>
      <m:oMath>
        <m:r>
          <m:t>11</m:t>
        </m:r>
      </m:oMath>
      <w:r>
        <w:t xml:space="preserve"> </w:t>
      </w:r>
      <w:r>
        <w:t xml:space="preserve">in</w:t>
      </w:r>
      <w:r>
        <w:t xml:space="preserve"> </w:t>
      </w:r>
      <w:hyperlink w:anchor="tbl-parameter-model11">
        <w:r>
          <w:rPr>
            <w:rStyle w:val="Hyperlink"/>
          </w:rPr>
          <w:t xml:space="preserve">Table 4</w:t>
        </w:r>
      </w:hyperlink>
      <w:r>
        <w:t xml:space="preserve"> </w:t>
      </w:r>
      <w:r>
        <w:t xml:space="preserve">estimates distinct intercepts for each hearing status group, namely</w:t>
      </w:r>
      <w:r>
        <w:t xml:space="preserve"> </w:t>
      </w:r>
      <m:oMath>
        <m:sSub>
          <m:e>
            <m:r>
              <m:t>α</m:t>
            </m:r>
          </m:e>
          <m:sub>
            <m:r>
              <m:t>H</m:t>
            </m:r>
            <m:r>
              <m:t>S</m:t>
            </m:r>
            <m:d>
              <m:dPr>
                <m:begChr m:val="["/>
                <m:endChr m:val="]"/>
                <m:sepChr m:val=""/>
                <m:grow/>
              </m:dPr>
              <m:e>
                <m:r>
                  <m:t>1</m:t>
                </m:r>
              </m:e>
            </m:d>
          </m:sub>
        </m:sSub>
      </m:oMath>
      <w:r>
        <w:t xml:space="preserve"> </w:t>
      </w:r>
      <w:r>
        <w:t xml:space="preserve">for NH speakers and</w:t>
      </w:r>
      <w:r>
        <w:t xml:space="preserve"> </w:t>
      </w:r>
      <m:oMath>
        <m:sSub>
          <m:e>
            <m:r>
              <m:t>α</m:t>
            </m:r>
          </m:e>
          <m:sub>
            <m:r>
              <m:t>H</m:t>
            </m:r>
            <m:r>
              <m:t>S</m:t>
            </m:r>
            <m:d>
              <m:dPr>
                <m:begChr m:val="["/>
                <m:endChr m:val="]"/>
                <m:sepChr m:val=""/>
                <m:grow/>
              </m:dPr>
              <m:e>
                <m:r>
                  <m:t>2</m:t>
                </m:r>
              </m:e>
            </m:d>
          </m:sub>
        </m:sSub>
      </m:oMath>
      <w:r>
        <w:t xml:space="preserve"> </w:t>
      </w:r>
      <w:r>
        <w:t xml:space="preserve">for the HI/CI counterparts, while maintaining a single slope that gauges the impact of age on potential intelligibility estimates. The</w:t>
      </w:r>
      <w:r>
        <w:t xml:space="preserve"> </w:t>
      </w:r>
      <m:oMath>
        <m:r>
          <m:t>95</m:t>
        </m:r>
        <m:r>
          <m:rPr>
            <m:sty m:val="p"/>
          </m:rPr>
          <m:t>%</m:t>
        </m:r>
      </m:oMath>
      <w:r>
        <w:t xml:space="preserve"> </w:t>
      </w:r>
      <w:r>
        <w:t xml:space="preserve">HPDI for the comparison of intercepts</w:t>
      </w:r>
      <w:r>
        <w:t xml:space="preserve"> </w:t>
      </w:r>
      <m:oMath>
        <m:sSub>
          <m:e>
            <m:r>
              <m:t>α</m:t>
            </m:r>
          </m:e>
          <m:sub>
            <m:r>
              <m:t>H</m:t>
            </m:r>
            <m:r>
              <m:t>S</m:t>
            </m:r>
            <m:d>
              <m:dPr>
                <m:begChr m:val="["/>
                <m:endChr m:val="]"/>
                <m:sepChr m:val=""/>
                <m:grow/>
              </m:dPr>
              <m:e>
                <m:r>
                  <m:t>2</m:t>
                </m:r>
              </m:e>
            </m:d>
          </m:sub>
        </m:sSub>
        <m:r>
          <m:rPr>
            <m:sty m:val="p"/>
          </m:rPr>
          <m:t>−</m:t>
        </m:r>
        <m:sSub>
          <m:e>
            <m:r>
              <m:t>α</m:t>
            </m:r>
          </m:e>
          <m:sub>
            <m:r>
              <m:t>H</m:t>
            </m:r>
            <m:r>
              <m:t>S</m:t>
            </m:r>
            <m:d>
              <m:dPr>
                <m:begChr m:val="["/>
                <m:endChr m:val="]"/>
                <m:sepChr m:val=""/>
                <m:grow/>
              </m:dPr>
              <m:e>
                <m:r>
                  <m:t>1</m:t>
                </m:r>
              </m:e>
            </m:d>
          </m:sub>
        </m:sSub>
      </m:oMath>
      <w:r>
        <w:t xml:space="preserve"> </w:t>
      </w:r>
      <w:r>
        <w:t xml:space="preserve">reveal significant differences between NH and HI/CI speakers. Lastly, with evidence of</w:t>
      </w:r>
      <w:r>
        <w:t xml:space="preserve"> </w:t>
      </w:r>
      <m:oMath>
        <m:r>
          <m:t>34.1</m:t>
        </m:r>
        <m:r>
          <m:rPr>
            <m:sty m:val="p"/>
          </m:rPr>
          <m:t>%</m:t>
        </m:r>
      </m:oMath>
      <w:r>
        <w:t xml:space="preserve">, Model</w:t>
      </w:r>
      <w:r>
        <w:t xml:space="preserve"> </w:t>
      </w:r>
      <m:oMath>
        <m:r>
          <m:t>12</m:t>
        </m:r>
      </m:oMath>
      <w:r>
        <w:t xml:space="preserve"> </w:t>
      </w:r>
      <w:r>
        <w:t xml:space="preserve">in</w:t>
      </w:r>
      <w:r>
        <w:t xml:space="preserve"> </w:t>
      </w:r>
      <w:hyperlink w:anchor="tbl-parameter-model12">
        <w:r>
          <w:rPr>
            <w:rStyle w:val="Hyperlink"/>
          </w:rPr>
          <w:t xml:space="preserve">Table 5</w:t>
        </w:r>
      </w:hyperlink>
      <w:r>
        <w:t xml:space="preserve"> </w:t>
      </w:r>
      <w:r>
        <w:t xml:space="preserve">estimates one intercept and slope per hearing status group, namely</w:t>
      </w:r>
      <w:r>
        <w:t xml:space="preserve"> </w:t>
      </w:r>
      <m:oMath>
        <m:sSub>
          <m:e>
            <m:r>
              <m:t>α</m:t>
            </m:r>
          </m:e>
          <m:sub>
            <m:r>
              <m:t>H</m:t>
            </m:r>
            <m:r>
              <m:t>S</m:t>
            </m:r>
            <m:d>
              <m:dPr>
                <m:begChr m:val="["/>
                <m:endChr m:val="]"/>
                <m:sepChr m:val=""/>
                <m:grow/>
              </m:dPr>
              <m:e>
                <m:r>
                  <m:t>1</m:t>
                </m:r>
              </m:e>
            </m:d>
          </m:sub>
        </m:sSub>
      </m:oMath>
      <w:r>
        <w:t xml:space="preserve"> </w:t>
      </w:r>
      <w:r>
        <w:t xml:space="preserve">and</w:t>
      </w:r>
      <w:r>
        <w:t xml:space="preserve"> </w:t>
      </w:r>
      <m:oMath>
        <m:sSub>
          <m:e>
            <m:r>
              <m:t>β</m:t>
            </m:r>
          </m:e>
          <m:sub>
            <m:r>
              <m:t>A</m:t>
            </m:r>
            <m:r>
              <m:rPr>
                <m:sty m:val="p"/>
              </m:rPr>
              <m:t>,</m:t>
            </m:r>
            <m:r>
              <m:t>H</m:t>
            </m:r>
            <m:r>
              <m:t>S</m:t>
            </m:r>
            <m:d>
              <m:dPr>
                <m:begChr m:val="["/>
                <m:endChr m:val="]"/>
                <m:sepChr m:val=""/>
                <m:grow/>
              </m:dPr>
              <m:e>
                <m:r>
                  <m:t>1</m:t>
                </m:r>
              </m:e>
            </m:d>
          </m:sub>
        </m:sSub>
      </m:oMath>
      <w:r>
        <w:t xml:space="preserve"> </w:t>
      </w:r>
      <w:r>
        <w:t xml:space="preserve">for the NH speakers, and</w:t>
      </w:r>
      <w:r>
        <w:t xml:space="preserve"> </w:t>
      </w:r>
      <m:oMath>
        <m:sSub>
          <m:e>
            <m:r>
              <m:t>α</m:t>
            </m:r>
          </m:e>
          <m:sub>
            <m:r>
              <m:t>H</m:t>
            </m:r>
            <m:r>
              <m:t>S</m:t>
            </m:r>
            <m:d>
              <m:dPr>
                <m:begChr m:val="["/>
                <m:endChr m:val="]"/>
                <m:sepChr m:val=""/>
                <m:grow/>
              </m:dPr>
              <m:e>
                <m:r>
                  <m:t>2</m:t>
                </m:r>
              </m:e>
            </m:d>
          </m:sub>
        </m:sSub>
      </m:oMath>
      <w:r>
        <w:t xml:space="preserve"> </w:t>
      </w:r>
      <w:r>
        <w:t xml:space="preserve">and</w:t>
      </w:r>
      <w:r>
        <w:t xml:space="preserve"> </w:t>
      </w:r>
      <m:oMath>
        <m:sSub>
          <m:e>
            <m:r>
              <m:t>β</m:t>
            </m:r>
          </m:e>
          <m:sub>
            <m:r>
              <m:t>A</m:t>
            </m:r>
            <m:r>
              <m:rPr>
                <m:sty m:val="p"/>
              </m:rPr>
              <m:t>,</m:t>
            </m:r>
            <m:r>
              <m:t>H</m:t>
            </m:r>
            <m:r>
              <m:t>S</m:t>
            </m:r>
            <m:d>
              <m:dPr>
                <m:begChr m:val="["/>
                <m:endChr m:val="]"/>
                <m:sepChr m:val=""/>
                <m:grow/>
              </m:dPr>
              <m:e>
                <m:r>
                  <m:t>2</m:t>
                </m:r>
              </m:e>
            </m:d>
          </m:sub>
        </m:sSub>
      </m:oMath>
      <w:r>
        <w:t xml:space="preserve"> </w:t>
      </w:r>
      <w:r>
        <w:t xml:space="preserve">for the HI/CI counterparts. The</w:t>
      </w:r>
      <w:r>
        <w:t xml:space="preserve"> </w:t>
      </w:r>
      <m:oMath>
        <m:r>
          <m:t>95</m:t>
        </m:r>
        <m:r>
          <m:rPr>
            <m:sty m:val="p"/>
          </m:rPr>
          <m:t>%</m:t>
        </m:r>
      </m:oMath>
      <w:r>
        <w:t xml:space="preserve"> </w:t>
      </w:r>
      <w:r>
        <w:t xml:space="preserve">HPDI for the comparison of intercepts and slopes reveal significant differences solely in the slopes between NH and their HI/CI counterparts (</w:t>
      </w:r>
      <m:oMath>
        <m:sSub>
          <m:e>
            <m:r>
              <m:t>β</m:t>
            </m:r>
          </m:e>
          <m:sub>
            <m:r>
              <m:t>A</m:t>
            </m:r>
            <m:r>
              <m:rPr>
                <m:sty m:val="p"/>
              </m:rPr>
              <m:t>,</m:t>
            </m:r>
            <m:r>
              <m:t>H</m:t>
            </m:r>
            <m:r>
              <m:t>S</m:t>
            </m:r>
            <m:d>
              <m:dPr>
                <m:begChr m:val="["/>
                <m:endChr m:val="]"/>
                <m:sepChr m:val=""/>
                <m:grow/>
              </m:dPr>
              <m:e>
                <m:r>
                  <m:t>2</m:t>
                </m:r>
              </m:e>
            </m:d>
          </m:sub>
        </m:sSub>
        <m:r>
          <m:rPr>
            <m:sty m:val="p"/>
          </m:rPr>
          <m:t>−</m:t>
        </m:r>
        <m:sSub>
          <m:e>
            <m:r>
              <m:t>β</m:t>
            </m:r>
          </m:e>
          <m:sub>
            <m:r>
              <m:t>A</m:t>
            </m:r>
            <m:r>
              <m:rPr>
                <m:sty m:val="p"/>
              </m:rPr>
              <m:t>,</m:t>
            </m:r>
            <m:r>
              <m:t>H</m:t>
            </m:r>
            <m:r>
              <m:t>S</m:t>
            </m:r>
            <m:d>
              <m:dPr>
                <m:begChr m:val="["/>
                <m:endChr m:val="]"/>
                <m:sepChr m:val=""/>
                <m:grow/>
              </m:dPr>
              <m:e>
                <m:r>
                  <m:t>1</m:t>
                </m:r>
              </m:e>
            </m:d>
          </m:sub>
        </m:sSub>
      </m:oMath>
      <w:r>
        <w:t xml:space="preserve">).</w:t>
      </w:r>
    </w:p>
    <w:p>
      <w:pPr>
        <w:pStyle w:val="BodyText"/>
      </w:pPr>
      <w:r>
        <w:t xml:space="preserve">However, a discerning reader can notice that these models yield conflicting conclusions regarding the influence of chronological age and hearing status on intelligibility. Model</w:t>
      </w:r>
      <w:r>
        <w:t xml:space="preserve"> </w:t>
      </w:r>
      <m:oMath>
        <m:r>
          <m:t>10</m:t>
        </m:r>
      </m:oMath>
      <w:r>
        <w:t xml:space="preserve"> </w:t>
      </w:r>
      <w:r>
        <w:t xml:space="preserve">implies no influence of chronological age and hearing status on the potential intelligibility of speakers. A visual inspection of</w:t>
      </w:r>
      <w:r>
        <w:t xml:space="preserve"> </w:t>
      </w:r>
      <w:hyperlink w:anchor="fig-rq3-intelligibility-model10">
        <w:r>
          <w:rPr>
            <w:rStyle w:val="Hyperlink"/>
          </w:rPr>
          <w:t xml:space="preserve">Figure 6</w:t>
        </w:r>
      </w:hyperlink>
      <w:r>
        <w:t xml:space="preserve">, however, reveals the reason for the model’s low support. Model</w:t>
      </w:r>
      <w:r>
        <w:t xml:space="preserve"> </w:t>
      </w:r>
      <m:oMath>
        <m:r>
          <m:t>10</m:t>
        </m:r>
      </m:oMath>
      <w:r>
        <w:t xml:space="preserve"> </w:t>
      </w:r>
      <w:r>
        <w:t xml:space="preserve">fails to capture the prevalent increasing age pattern observed in potential intelligibility estimates. In contrast, Model</w:t>
      </w:r>
      <w:r>
        <w:t xml:space="preserve"> </w:t>
      </w:r>
      <m:oMath>
        <m:r>
          <m:t>11</m:t>
        </m:r>
      </m:oMath>
      <w:r>
        <w:t xml:space="preserve"> </w:t>
      </w:r>
      <w:r>
        <w:t xml:space="preserve">identifies significant differences in potential intelligibility between NH and HI/CI speakers. The model further suggests that with the progression of chronological age, HI/CI speakers lag behind in intelligibility development, with no opportunity to catch up to their NH counterparts within the analyzed age range, as depicted in</w:t>
      </w:r>
      <w:r>
        <w:t xml:space="preserve"> </w:t>
      </w:r>
      <w:hyperlink w:anchor="fig-rq3-intelligibility-model11">
        <w:r>
          <w:rPr>
            <w:rStyle w:val="Hyperlink"/>
          </w:rPr>
          <w:t xml:space="preserve">Figure 7</w:t>
        </w:r>
      </w:hyperlink>
      <w:r>
        <w:t xml:space="preserve">. Finally, Model</w:t>
      </w:r>
      <w:r>
        <w:t xml:space="preserve"> </w:t>
      </w:r>
      <m:oMath>
        <m:r>
          <m:t>12</m:t>
        </m:r>
      </m:oMath>
      <w:r>
        <w:t xml:space="preserve"> </w:t>
      </w:r>
      <w:r>
        <w:t xml:space="preserve">indicates no significant differences in intelligibility between NH and HI/CI speakers at</w:t>
      </w:r>
      <w:r>
        <w:t xml:space="preserve"> </w:t>
      </w:r>
      <m:oMath>
        <m:r>
          <m:t>68</m:t>
        </m:r>
      </m:oMath>
      <w:r>
        <w:t xml:space="preserve"> </w:t>
      </w:r>
      <w:r>
        <w:t xml:space="preserve">months of age (around</w:t>
      </w:r>
      <w:r>
        <w:t xml:space="preserve"> </w:t>
      </w:r>
      <m:oMath>
        <m:r>
          <m:t>6</m:t>
        </m:r>
      </m:oMath>
      <w:r>
        <w:t xml:space="preserve"> </w:t>
      </w:r>
      <w:r>
        <w:t xml:space="preserve">years old). However, the model reveals distinct evolution patterns of intelligibility per unit of chronological age between different hearing status groups, with HI/CI speakers displaying a slower rate of development compared to their NH counterparts within the analyzed age range. The latter is evident in</w:t>
      </w:r>
      <w:r>
        <w:t xml:space="preserve"> </w:t>
      </w:r>
      <w:hyperlink w:anchor="fig-rq3-intelligibility-model12">
        <w:r>
          <w:rPr>
            <w:rStyle w:val="Hyperlink"/>
          </w:rPr>
          <w:t xml:space="preserve">Figure 8</w:t>
        </w:r>
      </w:hyperlink>
      <w:r>
        <w:t xml:space="preserve">.</w:t>
      </w:r>
    </w:p>
    <w:tbl>
      <w:tblPr>
        <w:tblStyle w:val="Table"/>
        <w:tblW w:type="pct" w:w="5000"/>
        <w:jc w:val="left"/>
        <w:tblLayout w:type="fixed"/>
        <w:tblLook w:firstRow="0" w:lastRow="0" w:firstColumn="0" w:lastColumn="0" w:noHBand="0" w:noVBand="0" w:val="0000"/>
      </w:tblPr>
      <w:tblGrid>
        <w:gridCol w:w="7920"/>
      </w:tblGrid>
      <w:tr>
        <w:tc>
          <w:tcPr/>
          <w:bookmarkStart w:id="77" w:name="tbl-parameter-model10"/>
          <w:p>
            <w:pPr>
              <w:jc w:val="center"/>
            </w:pPr>
            <w:pPr>
              <w:jc w:val="start"/>
              <w:spacing w:before="200"/>
              <w:pStyle w:val="ImageCaption"/>
            </w:pPr>
            <w:r>
              <w:t xml:space="preserve">Table 3: Model 10, parameter estimates and 95% highest probability density intervals (HPDI)</w:t>
            </w:r>
          </w:p>
          <w:tbl>
            <w:tblPr>
              <w:tblStyle w:val="Table"/>
              <w:tblW w:type="auto" w:w="0"/>
              <w:jc w:val="left"/>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Parameter</w:t>
                  </w:r>
                </w:p>
              </w:tc>
              <w:tc>
                <w:tcPr/>
                <w:p>
                  <w:pPr>
                    <w:pStyle w:val="Compact"/>
                    <w:jc w:val="center"/>
                    <w:jc w:val="center"/>
                  </w:pPr>
                  <w:r>
                    <w:t xml:space="preserve">Posterior mean</w:t>
                  </w:r>
                </w:p>
              </w:tc>
              <w:tc>
                <w:tcPr/>
                <w:p>
                  <w:pPr>
                    <w:pStyle w:val="Compact"/>
                    <w:jc w:val="center"/>
                    <w:jc w:val="center"/>
                  </w:pPr>
                  <w:r>
                    <w:t xml:space="preserve">95% HPDI</w:t>
                  </w:r>
                </w:p>
              </w:tc>
            </w:tr>
            <w:tr>
              <w:tc>
                <w:tcPr/>
                <w:p>
                  <w:pPr>
                    <w:pStyle w:val="Compact"/>
                    <w:jc w:val="center"/>
                    <w:jc w:val="center"/>
                  </w:pPr>
                  <m:oMath>
                    <m:r>
                      <m:t>α</m:t>
                    </m:r>
                  </m:oMath>
                </w:p>
              </w:tc>
              <w:tc>
                <w:tcPr/>
                <w:p>
                  <w:pPr>
                    <w:pStyle w:val="Compact"/>
                    <w:jc w:val="center"/>
                    <w:jc w:val="center"/>
                  </w:pPr>
                  <w:r>
                    <w:t xml:space="preserve">0.01</w:t>
                  </w:r>
                </w:p>
              </w:tc>
              <w:tc>
                <w:tcPr/>
                <w:p>
                  <w:pPr>
                    <w:pStyle w:val="Compact"/>
                    <w:jc w:val="center"/>
                    <w:jc w:val="center"/>
                  </w:pPr>
                  <w:r>
                    <w:t xml:space="preserve">[-0.09, 0.1]</w:t>
                  </w:r>
                </w:p>
              </w:tc>
            </w:tr>
          </w:tbl>
          <w:bookmarkEnd w:id="77"/>
          <w:p/>
        </w:tc>
      </w:tr>
    </w:tbl>
    <w:bookmarkStart w:id="82" w:name="cell-fig-rq3-intelligibility-model10"/>
    <w:tbl>
      <w:tblPr>
        <w:tblStyle w:val="Table"/>
        <w:tblW w:type="pct" w:w="5000"/>
        <w:jc w:val="left"/>
        <w:tblLayout w:type="fixed"/>
        <w:tblLook w:firstRow="0" w:lastRow="0" w:firstColumn="0" w:lastColumn="0" w:noHBand="0" w:noVBand="0" w:val="0000"/>
      </w:tblPr>
      <w:tblGrid>
        <w:gridCol w:w="7920"/>
      </w:tblGrid>
      <w:tr>
        <w:tc>
          <w:tcPr/>
          <w:bookmarkStart w:id="81" w:name="fig-rq3-intelligibility-model10"/>
          <w:p>
            <w:pPr>
              <w:pStyle w:val="Compact"/>
              <w:jc w:val="center"/>
            </w:pPr>
            <w:r>
              <w:drawing>
                <wp:inline>
                  <wp:extent cx="5334000" cy="2667000"/>
                  <wp:effectExtent b="0" l="0" r="0" t="0"/>
                  <wp:docPr descr="" title="" id="79" name="Picture"/>
                  <a:graphic>
                    <a:graphicData uri="http://schemas.openxmlformats.org/drawingml/2006/picture">
                      <pic:pic>
                        <pic:nvPicPr>
                          <pic:cNvPr descr="index_files/figure-docx/fig-rq3-intelligibility-model10-1.png" id="80" name="Picture"/>
                          <pic:cNvPicPr>
                            <a:picLocks noChangeArrowheads="1" noChangeAspect="1"/>
                          </pic:cNvPicPr>
                        </pic:nvPicPr>
                        <pic:blipFill>
                          <a:blip r:embed="rId78"/>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Model 10, Potential intelligibility per chronological age and hearing status.</w:t>
            </w:r>
            <w:r>
              <w:t xml:space="preserve"> </w:t>
            </w:r>
            <w:r>
              <w:rPr>
                <w:i/>
                <w:iCs/>
              </w:rPr>
              <w:t xml:space="preserve">Note:</w:t>
            </w:r>
            <w:r>
              <w:t xml:space="preserve"> </w:t>
            </w:r>
            <w:r>
              <w:t xml:space="preserve">Colored dots denote mean point estimates, vertical lines describe the 95% highest probability density intervals (HPDI), thick discontinuous line indicate the regression line, thin continuous lines denote regression lines samples from the posterior distribution, and numbers indicate the speaker index.</w:t>
            </w:r>
          </w:p>
          <w:bookmarkEnd w:id="81"/>
        </w:tc>
      </w:tr>
    </w:tbl>
    <w:bookmarkEnd w:id="82"/>
    <w:tbl>
      <w:tblPr>
        <w:tblStyle w:val="Table"/>
        <w:tblW w:type="pct" w:w="5000"/>
        <w:jc w:val="left"/>
        <w:tblLayout w:type="fixed"/>
        <w:tblLook w:firstRow="0" w:lastRow="0" w:firstColumn="0" w:lastColumn="0" w:noHBand="0" w:noVBand="0" w:val="0000"/>
      </w:tblPr>
      <w:tblGrid>
        <w:gridCol w:w="7920"/>
      </w:tblGrid>
      <w:tr>
        <w:tc>
          <w:tcPr/>
          <w:bookmarkStart w:id="83" w:name="tbl-parameter-model11"/>
          <w:p>
            <w:pPr>
              <w:jc w:val="center"/>
            </w:pPr>
            <w:pPr>
              <w:jc w:val="start"/>
              <w:spacing w:before="200"/>
              <w:pStyle w:val="ImageCaption"/>
            </w:pPr>
            <w:r>
              <w:t xml:space="preserve">Table 4: Model 11, parameter estimates and 95% highest probability density intervals (HPDI)</w:t>
            </w:r>
          </w:p>
          <w:tbl>
            <w:tblPr>
              <w:tblStyle w:val="Table"/>
              <w:tblW w:type="auto" w:w="0"/>
              <w:jc w:val="left"/>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Parameter</w:t>
                  </w:r>
                </w:p>
              </w:tc>
              <w:tc>
                <w:tcPr/>
                <w:p>
                  <w:pPr>
                    <w:pStyle w:val="Compact"/>
                    <w:jc w:val="center"/>
                    <w:jc w:val="center"/>
                  </w:pPr>
                  <w:r>
                    <w:t xml:space="preserve">Posterior mean</w:t>
                  </w:r>
                </w:p>
              </w:tc>
              <w:tc>
                <w:tcPr/>
                <w:p>
                  <w:pPr>
                    <w:pStyle w:val="Compact"/>
                    <w:jc w:val="center"/>
                    <w:jc w:val="center"/>
                  </w:pPr>
                  <w:r>
                    <w:t xml:space="preserve">95% HPDI</w:t>
                  </w:r>
                </w:p>
              </w:tc>
            </w:tr>
            <w:tr>
              <w:tc>
                <w:tcPr/>
                <w:p>
                  <w:pPr>
                    <w:pStyle w:val="Compact"/>
                    <w:jc w:val="center"/>
                    <w:jc w:val="center"/>
                  </w:pPr>
                  <m:oMath>
                    <m:r>
                      <m:t>α</m:t>
                    </m:r>
                  </m:oMath>
                </w:p>
              </w:tc>
              <w:tc>
                <w:tcPr/>
                <w:p>
                  <w:pPr>
                    <w:pStyle w:val="Compact"/>
                    <w:jc w:val="center"/>
                    <w:jc w:val="center"/>
                  </w:pPr>
                  <w:r>
                    <w:t xml:space="preserve">0.01</w:t>
                  </w:r>
                </w:p>
              </w:tc>
              <w:tc>
                <w:tcPr/>
                <w:p>
                  <w:pPr>
                    <w:pStyle w:val="Compact"/>
                    <w:jc w:val="center"/>
                    <w:jc w:val="center"/>
                  </w:pPr>
                  <w:r>
                    <w:t xml:space="preserve">[-0.08, 0.11]</w:t>
                  </w:r>
                </w:p>
              </w:tc>
            </w:tr>
            <w:tr>
              <w:tc>
                <w:tcPr/>
                <w:p>
                  <w:pPr>
                    <w:pStyle w:val="Compact"/>
                    <w:jc w:val="center"/>
                    <w:jc w:val="center"/>
                  </w:pPr>
                  <m:oMath>
                    <m:sSub>
                      <m:e>
                        <m:r>
                          <m:t>α</m:t>
                        </m:r>
                      </m:e>
                      <m:sub>
                        <m:r>
                          <m:t>H</m:t>
                        </m:r>
                        <m:r>
                          <m:t>S</m:t>
                        </m:r>
                        <m:d>
                          <m:dPr>
                            <m:begChr m:val="["/>
                            <m:endChr m:val="]"/>
                            <m:sepChr m:val=""/>
                            <m:grow/>
                          </m:dPr>
                          <m:e>
                            <m:r>
                              <m:t>1</m:t>
                            </m:r>
                          </m:e>
                        </m:d>
                      </m:sub>
                    </m:sSub>
                  </m:oMath>
                </w:p>
              </w:tc>
              <w:tc>
                <w:tcPr/>
                <w:p>
                  <w:pPr>
                    <w:pStyle w:val="Compact"/>
                    <w:jc w:val="center"/>
                    <w:jc w:val="center"/>
                  </w:pPr>
                  <w:r>
                    <w:t xml:space="preserve">0.53</w:t>
                  </w:r>
                </w:p>
              </w:tc>
              <w:tc>
                <w:tcPr/>
                <w:p>
                  <w:pPr>
                    <w:pStyle w:val="Compact"/>
                    <w:jc w:val="center"/>
                    <w:jc w:val="center"/>
                  </w:pPr>
                  <w:r>
                    <w:t xml:space="preserve">[0.11, 0.94]</w:t>
                  </w:r>
                </w:p>
              </w:tc>
            </w:tr>
            <w:tr>
              <w:tc>
                <w:tcPr/>
                <w:p>
                  <w:pPr>
                    <w:pStyle w:val="Compact"/>
                    <w:jc w:val="center"/>
                    <w:jc w:val="center"/>
                  </w:pPr>
                  <m:oMath>
                    <m:sSub>
                      <m:e>
                        <m:r>
                          <m:t>α</m:t>
                        </m:r>
                      </m:e>
                      <m:sub>
                        <m:r>
                          <m:t>H</m:t>
                        </m:r>
                        <m:r>
                          <m:t>S</m:t>
                        </m:r>
                        <m:d>
                          <m:dPr>
                            <m:begChr m:val="["/>
                            <m:endChr m:val="]"/>
                            <m:sepChr m:val=""/>
                            <m:grow/>
                          </m:dPr>
                          <m:e>
                            <m:r>
                              <m:t>2</m:t>
                            </m:r>
                          </m:e>
                        </m:d>
                      </m:sub>
                    </m:sSub>
                  </m:oMath>
                </w:p>
              </w:tc>
              <w:tc>
                <w:tcPr/>
                <w:p>
                  <w:pPr>
                    <w:pStyle w:val="Compact"/>
                    <w:jc w:val="center"/>
                    <w:jc w:val="center"/>
                  </w:pPr>
                  <w:r>
                    <w:t xml:space="preserve">-0.03</w:t>
                  </w:r>
                </w:p>
              </w:tc>
              <w:tc>
                <w:tcPr/>
                <w:p>
                  <w:pPr>
                    <w:pStyle w:val="Compact"/>
                    <w:jc w:val="center"/>
                    <w:jc w:val="center"/>
                  </w:pPr>
                  <w:r>
                    <w:t xml:space="preserve">[-0.43, 0.39]</w:t>
                  </w:r>
                </w:p>
              </w:tc>
            </w:tr>
            <w:tr>
              <w:tc>
                <w:tcPr/>
                <w:p>
                  <w:pPr>
                    <w:pStyle w:val="Compact"/>
                    <w:jc w:val="center"/>
                    <w:jc w:val="center"/>
                  </w:pPr>
                  <m:oMath>
                    <m:sSub>
                      <m:e>
                        <m:r>
                          <m:t>β</m:t>
                        </m:r>
                      </m:e>
                      <m:sub>
                        <m:r>
                          <m:t>A</m:t>
                        </m:r>
                      </m:sub>
                    </m:sSub>
                  </m:oMath>
                </w:p>
              </w:tc>
              <w:tc>
                <w:tcPr/>
                <w:p>
                  <w:pPr>
                    <w:pStyle w:val="Compact"/>
                    <w:jc w:val="center"/>
                    <w:jc w:val="center"/>
                  </w:pPr>
                  <w:r>
                    <w:t xml:space="preserve">0.07</w:t>
                  </w:r>
                </w:p>
              </w:tc>
              <w:tc>
                <w:tcPr/>
                <w:p>
                  <w:pPr>
                    <w:pStyle w:val="Compact"/>
                    <w:jc w:val="center"/>
                    <w:jc w:val="center"/>
                  </w:pPr>
                  <w:r>
                    <w:t xml:space="preserve">[0.05, 0.1]</w:t>
                  </w:r>
                </w:p>
              </w:tc>
            </w:tr>
            <w:tr>
              <w:tc>
                <w:tcPr/>
                <w:p>
                  <w:pPr>
                    <w:pStyle w:val="Compact"/>
                  </w:pPr>
                </w:p>
              </w:tc>
              <w:tc>
                <w:tcPr/>
                <w:p>
                  <w:pPr>
                    <w:pStyle w:val="Compact"/>
                  </w:pPr>
                </w:p>
              </w:tc>
              <w:tc>
                <w:tcPr/>
                <w:p>
                  <w:pPr>
                    <w:pStyle w:val="Compact"/>
                  </w:pPr>
                </w:p>
              </w:tc>
            </w:tr>
            <w:tr>
              <w:tc>
                <w:tcPr/>
                <w:p>
                  <w:pPr>
                    <w:pStyle w:val="Compact"/>
                    <w:jc w:val="center"/>
                    <w:jc w:val="center"/>
                  </w:pPr>
                  <w:r>
                    <w:t xml:space="preserve">Contrasts</w:t>
                  </w:r>
                </w:p>
              </w:tc>
              <w:tc>
                <w:tcPr/>
                <w:p>
                  <w:pPr>
                    <w:pStyle w:val="Compact"/>
                  </w:pPr>
                </w:p>
              </w:tc>
              <w:tc>
                <w:tcPr/>
                <w:p>
                  <w:pPr>
                    <w:pStyle w:val="Compact"/>
                  </w:pPr>
                </w:p>
              </w:tc>
            </w:tr>
            <w:tr>
              <w:tc>
                <w:tcPr/>
                <w:p>
                  <w:pPr>
                    <w:pStyle w:val="Compact"/>
                    <w:jc w:val="center"/>
                    <w:jc w:val="center"/>
                  </w:pPr>
                  <m:oMath>
                    <m:sSub>
                      <m:e>
                        <m:r>
                          <m:t>α</m:t>
                        </m:r>
                      </m:e>
                      <m:sub>
                        <m:r>
                          <m:t>H</m:t>
                        </m:r>
                        <m:r>
                          <m:t>S</m:t>
                        </m:r>
                        <m:d>
                          <m:dPr>
                            <m:begChr m:val="["/>
                            <m:endChr m:val="]"/>
                            <m:sepChr m:val=""/>
                            <m:grow/>
                          </m:dPr>
                          <m:e>
                            <m:r>
                              <m:t>2</m:t>
                            </m:r>
                          </m:e>
                        </m:d>
                      </m:sub>
                    </m:sSub>
                    <m:r>
                      <m:rPr>
                        <m:sty m:val="p"/>
                      </m:rPr>
                      <m:t>−</m:t>
                    </m:r>
                    <m:sSub>
                      <m:e>
                        <m:r>
                          <m:t>α</m:t>
                        </m:r>
                      </m:e>
                      <m:sub>
                        <m:r>
                          <m:t>H</m:t>
                        </m:r>
                        <m:r>
                          <m:t>S</m:t>
                        </m:r>
                        <m:d>
                          <m:dPr>
                            <m:begChr m:val="["/>
                            <m:endChr m:val="]"/>
                            <m:sepChr m:val=""/>
                            <m:grow/>
                          </m:dPr>
                          <m:e>
                            <m:r>
                              <m:t>1</m:t>
                            </m:r>
                          </m:e>
                        </m:d>
                      </m:sub>
                    </m:sSub>
                  </m:oMath>
                </w:p>
              </w:tc>
              <w:tc>
                <w:tcPr/>
                <w:p>
                  <w:pPr>
                    <w:pStyle w:val="Compact"/>
                    <w:jc w:val="center"/>
                    <w:jc w:val="center"/>
                  </w:pPr>
                  <w:r>
                    <w:t xml:space="preserve">-0.55</w:t>
                  </w:r>
                </w:p>
              </w:tc>
              <w:tc>
                <w:tcPr/>
                <w:p>
                  <w:pPr>
                    <w:pStyle w:val="Compact"/>
                    <w:jc w:val="center"/>
                    <w:jc w:val="center"/>
                  </w:pPr>
                  <w:r>
                    <w:t xml:space="preserve">[-1, -0.15]</w:t>
                  </w:r>
                </w:p>
              </w:tc>
            </w:tr>
          </w:tbl>
          <w:bookmarkEnd w:id="83"/>
          <w:p/>
        </w:tc>
      </w:tr>
    </w:tbl>
    <w:bookmarkStart w:id="88" w:name="cell-fig-rq3-intelligibility-model11"/>
    <w:tbl>
      <w:tblPr>
        <w:tblStyle w:val="Table"/>
        <w:tblW w:type="pct" w:w="5000"/>
        <w:jc w:val="left"/>
        <w:tblLayout w:type="fixed"/>
        <w:tblLook w:firstRow="0" w:lastRow="0" w:firstColumn="0" w:lastColumn="0" w:noHBand="0" w:noVBand="0" w:val="0000"/>
      </w:tblPr>
      <w:tblGrid>
        <w:gridCol w:w="7920"/>
      </w:tblGrid>
      <w:tr>
        <w:tc>
          <w:tcPr/>
          <w:bookmarkStart w:id="87" w:name="fig-rq3-intelligibility-model11"/>
          <w:p>
            <w:pPr>
              <w:pStyle w:val="Compact"/>
              <w:jc w:val="center"/>
            </w:pPr>
            <w:r>
              <w:drawing>
                <wp:inline>
                  <wp:extent cx="5334000" cy="2667000"/>
                  <wp:effectExtent b="0" l="0" r="0" t="0"/>
                  <wp:docPr descr="" title="" id="85" name="Picture"/>
                  <a:graphic>
                    <a:graphicData uri="http://schemas.openxmlformats.org/drawingml/2006/picture">
                      <pic:pic>
                        <pic:nvPicPr>
                          <pic:cNvPr descr="index_files/figure-docx/fig-rq3-intelligibility-model11-1.png" id="86" name="Picture"/>
                          <pic:cNvPicPr>
                            <a:picLocks noChangeArrowheads="1" noChangeAspect="1"/>
                          </pic:cNvPicPr>
                        </pic:nvPicPr>
                        <pic:blipFill>
                          <a:blip r:embed="rId84"/>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Model 11, Potential intelligibility per chronological age and hearing status.</w:t>
            </w:r>
            <w:r>
              <w:t xml:space="preserve"> </w:t>
            </w:r>
            <w:r>
              <w:rPr>
                <w:i/>
                <w:iCs/>
              </w:rPr>
              <w:t xml:space="preserve">Note:</w:t>
            </w:r>
            <w:r>
              <w:t xml:space="preserve"> </w:t>
            </w:r>
            <w:r>
              <w:t xml:space="preserve">Colored dots denote mean point estimates, vertical lines describe the 95% highest probability density intervals (HPDI), thick discontinuous line indicate the regression line, thin continuous lines denote regression lines samples from the posterior distribution, and numbers indicate the speaker index.</w:t>
            </w:r>
          </w:p>
          <w:bookmarkEnd w:id="87"/>
        </w:tc>
      </w:tr>
    </w:tbl>
    <w:bookmarkEnd w:id="88"/>
    <w:tbl>
      <w:tblPr>
        <w:tblStyle w:val="Table"/>
        <w:tblW w:type="pct" w:w="5000"/>
        <w:jc w:val="left"/>
        <w:tblLayout w:type="fixed"/>
        <w:tblLook w:firstRow="0" w:lastRow="0" w:firstColumn="0" w:lastColumn="0" w:noHBand="0" w:noVBand="0" w:val="0000"/>
      </w:tblPr>
      <w:tblGrid>
        <w:gridCol w:w="7920"/>
      </w:tblGrid>
      <w:tr>
        <w:tc>
          <w:tcPr/>
          <w:bookmarkStart w:id="89" w:name="tbl-parameter-model12"/>
          <w:p>
            <w:pPr>
              <w:jc w:val="center"/>
            </w:pPr>
            <w:pPr>
              <w:jc w:val="start"/>
              <w:spacing w:before="200"/>
              <w:pStyle w:val="ImageCaption"/>
            </w:pPr>
            <w:r>
              <w:t xml:space="preserve">Table 5: Model 12, parameter estimates and 95% highest probability density intervals (HPDI)</w:t>
            </w:r>
          </w:p>
          <w:tbl>
            <w:tblPr>
              <w:tblStyle w:val="Table"/>
              <w:tblW w:type="auto" w:w="0"/>
              <w:jc w:val="left"/>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Parameter</w:t>
                  </w:r>
                </w:p>
              </w:tc>
              <w:tc>
                <w:tcPr/>
                <w:p>
                  <w:pPr>
                    <w:pStyle w:val="Compact"/>
                    <w:jc w:val="center"/>
                    <w:jc w:val="center"/>
                  </w:pPr>
                  <w:r>
                    <w:t xml:space="preserve">Posterior mean</w:t>
                  </w:r>
                </w:p>
              </w:tc>
              <w:tc>
                <w:tcPr/>
                <w:p>
                  <w:pPr>
                    <w:pStyle w:val="Compact"/>
                    <w:jc w:val="center"/>
                    <w:jc w:val="center"/>
                  </w:pPr>
                  <w:r>
                    <w:t xml:space="preserve">95% HPDI</w:t>
                  </w:r>
                </w:p>
              </w:tc>
            </w:tr>
            <w:tr>
              <w:tc>
                <w:tcPr/>
                <w:p>
                  <w:pPr>
                    <w:pStyle w:val="Compact"/>
                    <w:jc w:val="center"/>
                    <w:jc w:val="center"/>
                  </w:pPr>
                  <m:oMath>
                    <m:r>
                      <m:t>α</m:t>
                    </m:r>
                  </m:oMath>
                </w:p>
              </w:tc>
              <w:tc>
                <w:tcPr/>
                <w:p>
                  <w:pPr>
                    <w:pStyle w:val="Compact"/>
                    <w:jc w:val="center"/>
                    <w:jc w:val="center"/>
                  </w:pPr>
                  <w:r>
                    <w:t xml:space="preserve">0.01</w:t>
                  </w:r>
                </w:p>
              </w:tc>
              <w:tc>
                <w:tcPr/>
                <w:p>
                  <w:pPr>
                    <w:pStyle w:val="Compact"/>
                    <w:jc w:val="center"/>
                    <w:jc w:val="center"/>
                  </w:pPr>
                  <w:r>
                    <w:t xml:space="preserve">[-0.09, 0.11]</w:t>
                  </w:r>
                </w:p>
              </w:tc>
            </w:tr>
            <w:tr>
              <w:tc>
                <w:tcPr/>
                <w:p>
                  <w:pPr>
                    <w:pStyle w:val="Compact"/>
                    <w:jc w:val="center"/>
                    <w:jc w:val="center"/>
                  </w:pPr>
                  <m:oMath>
                    <m:sSub>
                      <m:e>
                        <m:r>
                          <m:t>α</m:t>
                        </m:r>
                      </m:e>
                      <m:sub>
                        <m:r>
                          <m:t>H</m:t>
                        </m:r>
                        <m:r>
                          <m:t>S</m:t>
                        </m:r>
                        <m:d>
                          <m:dPr>
                            <m:begChr m:val="["/>
                            <m:endChr m:val="]"/>
                            <m:sepChr m:val=""/>
                            <m:grow/>
                          </m:dPr>
                          <m:e>
                            <m:r>
                              <m:t>1</m:t>
                            </m:r>
                          </m:e>
                        </m:d>
                      </m:sub>
                    </m:sSub>
                  </m:oMath>
                </w:p>
              </w:tc>
              <w:tc>
                <w:tcPr/>
                <w:p>
                  <w:pPr>
                    <w:pStyle w:val="Compact"/>
                    <w:jc w:val="center"/>
                    <w:jc w:val="center"/>
                  </w:pPr>
                  <w:r>
                    <w:t xml:space="preserve">0.21</w:t>
                  </w:r>
                </w:p>
              </w:tc>
              <w:tc>
                <w:tcPr/>
                <w:p>
                  <w:pPr>
                    <w:pStyle w:val="Compact"/>
                    <w:jc w:val="center"/>
                    <w:jc w:val="center"/>
                  </w:pPr>
                  <w:r>
                    <w:t xml:space="preserve">[-0.28, 0.72]</w:t>
                  </w:r>
                </w:p>
              </w:tc>
            </w:tr>
            <w:tr>
              <w:tc>
                <w:tcPr/>
                <w:p>
                  <w:pPr>
                    <w:pStyle w:val="Compact"/>
                    <w:jc w:val="center"/>
                    <w:jc w:val="center"/>
                  </w:pPr>
                  <m:oMath>
                    <m:sSub>
                      <m:e>
                        <m:r>
                          <m:t>α</m:t>
                        </m:r>
                      </m:e>
                      <m:sub>
                        <m:r>
                          <m:t>H</m:t>
                        </m:r>
                        <m:r>
                          <m:t>S</m:t>
                        </m:r>
                        <m:d>
                          <m:dPr>
                            <m:begChr m:val="["/>
                            <m:endChr m:val="]"/>
                            <m:sepChr m:val=""/>
                            <m:grow/>
                          </m:dPr>
                          <m:e>
                            <m:r>
                              <m:t>2</m:t>
                            </m:r>
                          </m:e>
                        </m:d>
                      </m:sub>
                    </m:sSub>
                  </m:oMath>
                </w:p>
              </w:tc>
              <w:tc>
                <w:tcPr/>
                <w:p>
                  <w:pPr>
                    <w:pStyle w:val="Compact"/>
                    <w:jc w:val="center"/>
                    <w:jc w:val="center"/>
                  </w:pPr>
                  <w:r>
                    <w:t xml:space="preserve">0.23</w:t>
                  </w:r>
                </w:p>
              </w:tc>
              <w:tc>
                <w:tcPr/>
                <w:p>
                  <w:pPr>
                    <w:pStyle w:val="Compact"/>
                    <w:jc w:val="center"/>
                    <w:jc w:val="center"/>
                  </w:pPr>
                  <w:r>
                    <w:t xml:space="preserve">[-0.24, 0.69]</w:t>
                  </w:r>
                </w:p>
              </w:tc>
            </w:tr>
            <w:tr>
              <w:tc>
                <w:tcPr/>
                <w:p>
                  <w:pPr>
                    <w:pStyle w:val="Compact"/>
                    <w:jc w:val="center"/>
                    <w:jc w:val="center"/>
                  </w:pPr>
                  <m:oMath>
                    <m:sSub>
                      <m:e>
                        <m:r>
                          <m:t>β</m:t>
                        </m:r>
                      </m:e>
                      <m:sub>
                        <m:r>
                          <m:t>A</m:t>
                        </m:r>
                        <m:r>
                          <m:rPr>
                            <m:sty m:val="p"/>
                          </m:rPr>
                          <m:t>,</m:t>
                        </m:r>
                        <m:r>
                          <m:t>H</m:t>
                        </m:r>
                        <m:r>
                          <m:t>S</m:t>
                        </m:r>
                        <m:d>
                          <m:dPr>
                            <m:begChr m:val="["/>
                            <m:endChr m:val="]"/>
                            <m:sepChr m:val=""/>
                            <m:grow/>
                          </m:dPr>
                          <m:e>
                            <m:r>
                              <m:t>1</m:t>
                            </m:r>
                          </m:e>
                        </m:d>
                      </m:sub>
                    </m:sSub>
                  </m:oMath>
                </w:p>
              </w:tc>
              <w:tc>
                <w:tcPr/>
                <w:p>
                  <w:pPr>
                    <w:pStyle w:val="Compact"/>
                    <w:jc w:val="center"/>
                    <w:jc w:val="center"/>
                  </w:pPr>
                  <w:r>
                    <w:t xml:space="preserve">0.10</w:t>
                  </w:r>
                </w:p>
              </w:tc>
              <w:tc>
                <w:tcPr/>
                <w:p>
                  <w:pPr>
                    <w:pStyle w:val="Compact"/>
                    <w:jc w:val="center"/>
                    <w:jc w:val="center"/>
                  </w:pPr>
                  <w:r>
                    <w:t xml:space="preserve">[0.07, 0.13]</w:t>
                  </w:r>
                </w:p>
              </w:tc>
            </w:tr>
            <w:tr>
              <w:tc>
                <w:tcPr/>
                <w:p>
                  <w:pPr>
                    <w:pStyle w:val="Compact"/>
                    <w:jc w:val="center"/>
                    <w:jc w:val="center"/>
                  </w:pPr>
                  <m:oMath>
                    <m:sSub>
                      <m:e>
                        <m:r>
                          <m:t>β</m:t>
                        </m:r>
                      </m:e>
                      <m:sub>
                        <m:r>
                          <m:t>A</m:t>
                        </m:r>
                        <m:r>
                          <m:rPr>
                            <m:sty m:val="p"/>
                          </m:rPr>
                          <m:t>,</m:t>
                        </m:r>
                        <m:r>
                          <m:t>H</m:t>
                        </m:r>
                        <m:r>
                          <m:t>S</m:t>
                        </m:r>
                        <m:d>
                          <m:dPr>
                            <m:begChr m:val="["/>
                            <m:endChr m:val="]"/>
                            <m:sepChr m:val=""/>
                            <m:grow/>
                          </m:dPr>
                          <m:e>
                            <m:r>
                              <m:t>2</m:t>
                            </m:r>
                          </m:e>
                        </m:d>
                      </m:sub>
                    </m:sSub>
                  </m:oMath>
                </w:p>
              </w:tc>
              <w:tc>
                <w:tcPr/>
                <w:p>
                  <w:pPr>
                    <w:pStyle w:val="Compact"/>
                    <w:jc w:val="center"/>
                    <w:jc w:val="center"/>
                  </w:pPr>
                  <w:r>
                    <w:t xml:space="preserve">0.06</w:t>
                  </w:r>
                </w:p>
              </w:tc>
              <w:tc>
                <w:tcPr/>
                <w:p>
                  <w:pPr>
                    <w:pStyle w:val="Compact"/>
                    <w:jc w:val="center"/>
                    <w:jc w:val="center"/>
                  </w:pPr>
                  <w:r>
                    <w:t xml:space="preserve">[0.03, 0.09]</w:t>
                  </w:r>
                </w:p>
              </w:tc>
            </w:tr>
            <w:tr>
              <w:tc>
                <w:tcPr/>
                <w:p>
                  <w:pPr>
                    <w:pStyle w:val="Compact"/>
                  </w:pPr>
                </w:p>
              </w:tc>
              <w:tc>
                <w:tcPr/>
                <w:p>
                  <w:pPr>
                    <w:pStyle w:val="Compact"/>
                  </w:pPr>
                </w:p>
              </w:tc>
              <w:tc>
                <w:tcPr/>
                <w:p>
                  <w:pPr>
                    <w:pStyle w:val="Compact"/>
                  </w:pPr>
                </w:p>
              </w:tc>
            </w:tr>
            <w:tr>
              <w:tc>
                <w:tcPr/>
                <w:p>
                  <w:pPr>
                    <w:pStyle w:val="Compact"/>
                    <w:jc w:val="center"/>
                    <w:jc w:val="center"/>
                  </w:pPr>
                  <w:r>
                    <w:t xml:space="preserve">Contrasts</w:t>
                  </w:r>
                </w:p>
              </w:tc>
              <w:tc>
                <w:tcPr/>
                <w:p>
                  <w:pPr>
                    <w:pStyle w:val="Compact"/>
                  </w:pPr>
                </w:p>
              </w:tc>
              <w:tc>
                <w:tcPr/>
                <w:p>
                  <w:pPr>
                    <w:pStyle w:val="Compact"/>
                  </w:pPr>
                </w:p>
              </w:tc>
            </w:tr>
            <w:tr>
              <w:tc>
                <w:tcPr/>
                <w:p>
                  <w:pPr>
                    <w:pStyle w:val="Compact"/>
                    <w:jc w:val="center"/>
                    <w:jc w:val="center"/>
                  </w:pPr>
                  <m:oMath>
                    <m:sSub>
                      <m:e>
                        <m:r>
                          <m:t>α</m:t>
                        </m:r>
                      </m:e>
                      <m:sub>
                        <m:r>
                          <m:t>H</m:t>
                        </m:r>
                        <m:r>
                          <m:t>S</m:t>
                        </m:r>
                        <m:d>
                          <m:dPr>
                            <m:begChr m:val="["/>
                            <m:endChr m:val="]"/>
                            <m:sepChr m:val=""/>
                            <m:grow/>
                          </m:dPr>
                          <m:e>
                            <m:r>
                              <m:t>2</m:t>
                            </m:r>
                          </m:e>
                        </m:d>
                      </m:sub>
                    </m:sSub>
                    <m:r>
                      <m:rPr>
                        <m:sty m:val="p"/>
                      </m:rPr>
                      <m:t>−</m:t>
                    </m:r>
                    <m:sSub>
                      <m:e>
                        <m:r>
                          <m:t>α</m:t>
                        </m:r>
                      </m:e>
                      <m:sub>
                        <m:r>
                          <m:t>H</m:t>
                        </m:r>
                        <m:r>
                          <m:t>S</m:t>
                        </m:r>
                        <m:d>
                          <m:dPr>
                            <m:begChr m:val="["/>
                            <m:endChr m:val="]"/>
                            <m:sepChr m:val=""/>
                            <m:grow/>
                          </m:dPr>
                          <m:e>
                            <m:r>
                              <m:t>1</m:t>
                            </m:r>
                          </m:e>
                        </m:d>
                      </m:sub>
                    </m:sSub>
                  </m:oMath>
                </w:p>
              </w:tc>
              <w:tc>
                <w:tcPr/>
                <w:p>
                  <w:pPr>
                    <w:pStyle w:val="Compact"/>
                    <w:jc w:val="center"/>
                    <w:jc w:val="center"/>
                  </w:pPr>
                  <w:r>
                    <w:t xml:space="preserve">0.01</w:t>
                  </w:r>
                </w:p>
              </w:tc>
              <w:tc>
                <w:tcPr/>
                <w:p>
                  <w:pPr>
                    <w:pStyle w:val="Compact"/>
                    <w:jc w:val="center"/>
                    <w:jc w:val="center"/>
                  </w:pPr>
                  <w:r>
                    <w:t xml:space="preserve">[-0.61, 0.74]</w:t>
                  </w:r>
                </w:p>
              </w:tc>
            </w:tr>
            <w:tr>
              <w:tc>
                <w:tcPr/>
                <w:p>
                  <w:pPr>
                    <w:pStyle w:val="Compact"/>
                    <w:jc w:val="center"/>
                    <w:jc w:val="center"/>
                  </w:pPr>
                  <m:oMath>
                    <m:sSub>
                      <m:e>
                        <m:r>
                          <m:t>β</m:t>
                        </m:r>
                      </m:e>
                      <m:sub>
                        <m:r>
                          <m:t>A</m:t>
                        </m:r>
                        <m:r>
                          <m:rPr>
                            <m:sty m:val="p"/>
                          </m:rPr>
                          <m:t>,</m:t>
                        </m:r>
                        <m:r>
                          <m:t>H</m:t>
                        </m:r>
                        <m:r>
                          <m:t>S</m:t>
                        </m:r>
                        <m:d>
                          <m:dPr>
                            <m:begChr m:val="["/>
                            <m:endChr m:val="]"/>
                            <m:sepChr m:val=""/>
                            <m:grow/>
                          </m:dPr>
                          <m:e>
                            <m:r>
                              <m:t>2</m:t>
                            </m:r>
                          </m:e>
                        </m:d>
                      </m:sub>
                    </m:sSub>
                    <m:r>
                      <m:rPr>
                        <m:sty m:val="p"/>
                      </m:rPr>
                      <m:t>−</m:t>
                    </m:r>
                    <m:sSub>
                      <m:e>
                        <m:r>
                          <m:t>β</m:t>
                        </m:r>
                      </m:e>
                      <m:sub>
                        <m:r>
                          <m:t>A</m:t>
                        </m:r>
                        <m:r>
                          <m:rPr>
                            <m:sty m:val="p"/>
                          </m:rPr>
                          <m:t>,</m:t>
                        </m:r>
                        <m:r>
                          <m:t>H</m:t>
                        </m:r>
                        <m:r>
                          <m:t>S</m:t>
                        </m:r>
                        <m:d>
                          <m:dPr>
                            <m:begChr m:val="["/>
                            <m:endChr m:val="]"/>
                            <m:sepChr m:val=""/>
                            <m:grow/>
                          </m:dPr>
                          <m:e>
                            <m:r>
                              <m:t>1</m:t>
                            </m:r>
                          </m:e>
                        </m:d>
                      </m:sub>
                    </m:sSub>
                  </m:oMath>
                </w:p>
              </w:tc>
              <w:tc>
                <w:tcPr/>
                <w:p>
                  <w:pPr>
                    <w:pStyle w:val="Compact"/>
                    <w:jc w:val="center"/>
                    <w:jc w:val="center"/>
                  </w:pPr>
                  <w:r>
                    <w:t xml:space="preserve">-0.04</w:t>
                  </w:r>
                </w:p>
              </w:tc>
              <w:tc>
                <w:tcPr/>
                <w:p>
                  <w:pPr>
                    <w:pStyle w:val="Compact"/>
                    <w:jc w:val="center"/>
                    <w:jc w:val="center"/>
                  </w:pPr>
                  <w:r>
                    <w:t xml:space="preserve">[-0.08, 0]</w:t>
                  </w:r>
                </w:p>
              </w:tc>
            </w:tr>
          </w:tbl>
          <w:bookmarkEnd w:id="89"/>
          <w:p/>
        </w:tc>
      </w:tr>
    </w:tbl>
    <w:bookmarkStart w:id="94" w:name="cell-fig-rq3-intelligibility-model12"/>
    <w:tbl>
      <w:tblPr>
        <w:tblStyle w:val="Table"/>
        <w:tblW w:type="pct" w:w="5000"/>
        <w:jc w:val="left"/>
        <w:tblLayout w:type="fixed"/>
        <w:tblLook w:firstRow="0" w:lastRow="0" w:firstColumn="0" w:lastColumn="0" w:noHBand="0" w:noVBand="0" w:val="0000"/>
      </w:tblPr>
      <w:tblGrid>
        <w:gridCol w:w="7920"/>
      </w:tblGrid>
      <w:tr>
        <w:tc>
          <w:tcPr/>
          <w:bookmarkStart w:id="93" w:name="fig-rq3-intelligibility-model12"/>
          <w:p>
            <w:pPr>
              <w:pStyle w:val="Compact"/>
              <w:jc w:val="center"/>
            </w:pPr>
            <w:r>
              <w:drawing>
                <wp:inline>
                  <wp:extent cx="5334000" cy="2667000"/>
                  <wp:effectExtent b="0" l="0" r="0" t="0"/>
                  <wp:docPr descr="" title="" id="91" name="Picture"/>
                  <a:graphic>
                    <a:graphicData uri="http://schemas.openxmlformats.org/drawingml/2006/picture">
                      <pic:pic>
                        <pic:nvPicPr>
                          <pic:cNvPr descr="index_files/figure-docx/fig-rq3-intelligibility-model12-1.png" id="92" name="Picture"/>
                          <pic:cNvPicPr>
                            <a:picLocks noChangeArrowheads="1" noChangeAspect="1"/>
                          </pic:cNvPicPr>
                        </pic:nvPicPr>
                        <pic:blipFill>
                          <a:blip r:embed="rId90"/>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Model 12, Potential intelligibility per chronological age and hearing status. Note: Colored dots denote mean point estimates, vertical lines describe the 95% highest probability density intervals (HPDI), thick discontinuous line indicate the regression line, thin continuous lines denote regression lines samples from the posterior distribution, and numbers indicate the speaker index.</w:t>
            </w:r>
          </w:p>
          <w:bookmarkEnd w:id="93"/>
        </w:tc>
      </w:tr>
    </w:tbl>
    <w:bookmarkEnd w:id="94"/>
    <w:bookmarkEnd w:id="95"/>
    <w:bookmarkEnd w:id="96"/>
    <w:bookmarkStart w:id="99" w:name="sec-discussion"/>
    <w:p>
      <w:pPr>
        <w:pStyle w:val="Heading1"/>
      </w:pPr>
      <w:r>
        <w:t xml:space="preserve">Discussion</w:t>
      </w:r>
    </w:p>
    <w:bookmarkStart w:id="97" w:name="sec-D-F"/>
    <w:p>
      <w:pPr>
        <w:pStyle w:val="Heading2"/>
      </w:pPr>
      <w:r>
        <w:t xml:space="preserve">Findings</w:t>
      </w:r>
    </w:p>
    <w:p>
      <w:pPr>
        <w:pStyle w:val="FirstParagraph"/>
      </w:pPr>
      <w:r>
        <w:t xml:space="preserve">This study examined the suitability of the Bayesian Beta-proportion GLLAMM for the quantitative measuring and testing of research theories related to speech intelligibility using entropy scores. The initial findings supported the assertion that Beta-proportion GLLAMMs consistently outperformed Normal LMMs in predicting entropy scores, underscoring its superior predictive performance. The results emphasized that models neglecting the outcomes’ measurement error and boundedness lead to underfitting and misspecification issues, even when robust features are integrated. This is clearly illustrated by the Normal LMMs.</w:t>
      </w:r>
    </w:p>
    <w:p>
      <w:pPr>
        <w:pStyle w:val="BodyText"/>
      </w:pPr>
      <w:r>
        <w:t xml:space="preserve">Secondly, the study showcased the Beta-proportion GLLAMM’s proficiency in estimating the latent potential intelligibility of speakers based on manifest entropy scores. Implemented under Bayesian procedures, the proposed model offered a valuable advantage over frequentist methods by further providing the full posterior distribution of the speakers’ potential intelligibility. This provision facilitated the calculation of summaries, aiding individual rankings, and supported the comparisons among selected speakers. In both scenarios, the proposed model accounted for the inherent uncertainty in the intelligibility estimates.</w:t>
      </w:r>
    </w:p>
    <w:p>
      <w:pPr>
        <w:pStyle w:val="BodyText"/>
      </w:pPr>
      <w:r>
        <w:t xml:space="preserve">Thirdly, the study illustrated how the proposed model assessed the impact of speaker-related factors on potential intelligibility. The results suggested that multiple models were plausible for the observed entropy scores, indicating that different speaker-related factor theories were viable for the data, with some presenting contradictory conclusions about the influence of those factors on intelligibility. However, even when unequivocal support for one theory was not possible, the divided support among these models informed that certain statistical issues may be hindering the model’s ability to distinguish among individuals and, ultimately, among models. These issues encompassed the insufficient sample size of speakers, the inadequate representation of the population of speakers, and the imprecise measurement of the latent variable of interest.</w:t>
      </w:r>
    </w:p>
    <w:p>
      <w:pPr>
        <w:pStyle w:val="BodyText"/>
      </w:pPr>
      <w:r>
        <w:t xml:space="preserve">Ultimately, this study introduced researchers to innovative statistical tools that enhanced existing research models. These tools not only assessed the predictability of empirical phenomena but also quantitatively measured the latent trait of interest, namely potential intelligibility, facilitating the comparison of research theories related to this trait. However, the presented tools introduce new challenges for researchers seeking their implementation. These challenges emerge from two distinct aspects: one methodological and the other practical. In the methodological domain, researchers need familiarity with Bayesian methods and the principled formulation of assumptions regarding the data-generating process and research inquiries. This entails understanding and addressing each of the data and research challenges within the context of a statistical (probabilistic) model. Conversely, in the practical domain, researchers need familiarity with probabilistic programming languages (PPLs), which are designed for specifying and obtaining inferences from probabilistic models -the core of Bayesian methods. To ensure the successful utilization of this new statistical tool, this study addresses both challenges by providing comprehensive, step-by-step guidance in the form of a digital walk-through document (refer to</w:t>
      </w:r>
      <w:r>
        <w:t xml:space="preserve"> </w:t>
      </w:r>
      <w:hyperlink w:anchor="sec-M-SM-OS">
        <w:r>
          <w:rPr>
            <w:rStyle w:val="Hyperlink"/>
          </w:rPr>
          <w:t xml:space="preserve">Section 2.2.7</w:t>
        </w:r>
      </w:hyperlink>
      <w:r>
        <w:t xml:space="preserve"> </w:t>
      </w:r>
      <w:r>
        <w:t xml:space="preserve">Open Science Statement).</w:t>
      </w:r>
    </w:p>
    <w:bookmarkEnd w:id="97"/>
    <w:bookmarkStart w:id="98" w:name="sec-D-LFR"/>
    <w:p>
      <w:pPr>
        <w:pStyle w:val="Heading2"/>
      </w:pPr>
      <w:r>
        <w:t xml:space="preserve">Limitations and further research</w:t>
      </w:r>
    </w:p>
    <w:p>
      <w:pPr>
        <w:pStyle w:val="FirstParagraph"/>
      </w:pPr>
      <w:r>
        <w:t xml:space="preserve">This study provides valuable insights into the use of a novel approach to simultaneously address the different data features of entropy scores in speech intelligibility research. However, it is important to acknowledge the limitations of this study and explore potential avenues for future research. Firstly, the study interprets potential intelligibility as an unobserved latent trait of speakers influencing the likelihood of observing a set of entropy scores. These scores, in turn, reflect the transcribers’ ability to decode words in sentences produced by the same speakers. Despite this practical approach, the construct validity of the latent trait heavily depends on the listeners’ appropriate understanding and execution of the transcription task. Construct validity, as defined by</w:t>
      </w:r>
      <w:r>
        <w:t xml:space="preserve"> </w:t>
      </w:r>
      <w:r>
        <w:t xml:space="preserve">Cronbach and Meehl (1955)</w:t>
      </w:r>
      <w:r>
        <w:t xml:space="preserve">, refers to the extent to which a set of manifest variables accurately represents a concept that cannot be directly measured. Considering the study assumes the transcription task set by Boonen and colleagues</w:t>
      </w:r>
      <w:r>
        <w:t xml:space="preserve"> </w:t>
      </w:r>
      <w:r>
        <w:t xml:space="preserve">(2021)</w:t>
      </w:r>
      <w:r>
        <w:t xml:space="preserve"> </w:t>
      </w:r>
      <w:r>
        <w:t xml:space="preserve">was properly understood and executed, it expects that potential intelligibility reflects the overall speech intelligibility of speakers. However, the study does not delve into the general epistemological considerations regarding the connection between the latent variable and the concept.</w:t>
      </w:r>
    </w:p>
    <w:p>
      <w:pPr>
        <w:pStyle w:val="BodyText"/>
      </w:pPr>
      <w:r>
        <w:t xml:space="preserve">Secondly, the study revealed a notable lack of unequivocal support for one of the models among the compared set. This outcome may be attributed to factors such as the insufficient sample size of speakers, the inadequate representation of the populations of speakers (referred to as selection bias), and the imprecise measurement of the latent variable. Small sample size and selection bias yield data with limited outcome and covariates ranges, leading to biased and imprecise parameter estimates</w:t>
      </w:r>
      <w:r>
        <w:t xml:space="preserve"> </w:t>
      </w:r>
      <w:r>
        <w:t xml:space="preserve">(Everitt and Skrondal 2010)</w:t>
      </w:r>
      <w:r>
        <w:t xml:space="preserve">. Moreover, fueled by the reduced measurement precision, these issues can result in models with diminished statistical power and a higher risk of type I or type II errors</w:t>
      </w:r>
      <w:r>
        <w:t xml:space="preserve"> </w:t>
      </w:r>
      <w:r>
        <w:t xml:space="preserve">(McElreath 2020)</w:t>
      </w:r>
      <w:r>
        <w:t xml:space="preserve">. Consequently, future research should consider conducting power analyses for the proposed models. This entails assessing the impact of expanding the speakers’ pool on testing research theories, or increasing the number of speech samples, transcriptions, and listeners to enhance the precision of potential intelligibility estimates. With these insights, future investigations should contemplate increasing the speaker sample with a group that adequately represents the population of interest. However, this must be done while mindful of the pragmatic limitations associated with transcription tasks, specifically considering the costs and time-intensiveness of the procedure.</w:t>
      </w:r>
    </w:p>
    <w:p>
      <w:pPr>
        <w:pStyle w:val="BodyText"/>
      </w:pPr>
      <w:r>
        <w:t xml:space="preserve">Thirdly, the study presented an illustrative example for the investigation of research theories within the model’s framework. However, it did not offer an exhaustive evaluation of all factors influencing intelligibility, which are thoroughly explored in the works of</w:t>
      </w:r>
      <w:r>
        <w:t xml:space="preserve"> </w:t>
      </w:r>
      <w:r>
        <w:t xml:space="preserve">Niparko et al. (2010)</w:t>
      </w:r>
      <w:r>
        <w:t xml:space="preserve">,</w:t>
      </w:r>
      <w:r>
        <w:t xml:space="preserve"> </w:t>
      </w:r>
      <w:r>
        <w:t xml:space="preserve">Boons et al. (2012)</w:t>
      </w:r>
      <w:r>
        <w:t xml:space="preserve">,</w:t>
      </w:r>
      <w:r>
        <w:t xml:space="preserve"> </w:t>
      </w:r>
      <w:r>
        <w:t xml:space="preserve">Gillis (2018)</w:t>
      </w:r>
      <w:r>
        <w:t xml:space="preserve">, and</w:t>
      </w:r>
      <w:r>
        <w:t xml:space="preserve"> </w:t>
      </w:r>
      <w:r>
        <w:t xml:space="preserve">Fagan, Eisenberg, and Johnson (2020)</w:t>
      </w:r>
      <w:r>
        <w:t xml:space="preserve">. Consequently, the study cannot discard the presence of unobservable variables that might bias the parameter estimates, potentially impacting the inferences provided. Hence, future research should consider integrating appropriate causal hypotheses about these factors into the proposed models, as proper covariate adjustment facilitates the production of unbiased and precise parameter estimates</w:t>
      </w:r>
      <w:r>
        <w:t xml:space="preserve"> </w:t>
      </w:r>
      <w:r>
        <w:t xml:space="preserve">(Cinelli, Forney, and Pearl 2022; Deffner, Rohrer, and McElreath 2022)</w:t>
      </w:r>
      <w:r>
        <w:t xml:space="preserve">.</w:t>
      </w:r>
    </w:p>
    <w:p>
      <w:pPr>
        <w:pStyle w:val="BodyText"/>
      </w:pPr>
      <w:r>
        <w:t xml:space="preserve">Lastly, this study proposes two directions for future exploration in speech intelligibility research. Firstly, there is an opportunity to investigate alternative methods for assessing speech intelligibility beyond transcription tasks and entropy scores. The experimental design of transcription tasks imply that the procedure may be time-intensive and costly. Thus, exploring less time-intensive or more cost-effective procedures, that still offer comparable precision in intelligibility estimates, could benefit both researchers and speech therapists alike. An illustrative example of such a method is Comparative Judgment (CJ), where judges compare and score the perceived intensity of a trait between two stimuli</w:t>
      </w:r>
      <w:r>
        <w:t xml:space="preserve"> </w:t>
      </w:r>
      <w:r>
        <w:t xml:space="preserve">(Thurstone 1927)</w:t>
      </w:r>
      <w:r>
        <w:t xml:space="preserve">. In the context of the intelligibility trait, the stimuli under assessment could be the speech samples uttered by two speakers. Nevertheless, CJ serve as an ideal example as the method has gained increasing attention within the realm of educational assessment, with several studies providing evidence for its validity in assessing various task within student works, as demonstrated by examples in</w:t>
      </w:r>
      <w:r>
        <w:t xml:space="preserve"> </w:t>
      </w:r>
      <w:r>
        <w:t xml:space="preserve">Pollitt (2012)</w:t>
      </w:r>
      <w:r>
        <w:t xml:space="preserve">; Pollitt_2012b,</w:t>
      </w:r>
      <w:r>
        <w:t xml:space="preserve"> </w:t>
      </w:r>
      <w:r>
        <w:t xml:space="preserve">Lesterhuis (2018)</w:t>
      </w:r>
      <w:r>
        <w:t xml:space="preserve">,</w:t>
      </w:r>
      <w:r>
        <w:t xml:space="preserve"> </w:t>
      </w:r>
      <w:r>
        <w:t xml:space="preserve">van Daal (2020)</w:t>
      </w:r>
      <w:r>
        <w:t xml:space="preserve">, and</w:t>
      </w:r>
      <w:r>
        <w:t xml:space="preserve"> </w:t>
      </w:r>
      <w:r>
        <w:t xml:space="preserve">Verhavert et al. (2019)</w:t>
      </w:r>
      <w:r>
        <w:t xml:space="preserve">.</w:t>
      </w:r>
    </w:p>
    <w:p>
      <w:pPr>
        <w:pStyle w:val="BodyText"/>
      </w:pPr>
      <w:r>
        <w:t xml:space="preserve">Conversely, a second avenue for exploration involves integrating diverse data types and evaluation methods to assess individuals’ intelligibility. This can be accomplished by leveraging two features of Bayesian methods: their flexibility and the concept of Bayesian updating. Bayesian methods possess the flexibility to simultaneously handle various data types. Additionally, through Bayesian updating, researchers can integrate information from the posterior distribution of parameters as priors in models for subsequent evaluations. Ultimately, this could enable researchers to assess speakers’ intelligibility progress without committing to a specific data type or evaluation method. This advancement could mirror the emergence of second-generation Structural Equation Models proposed by</w:t>
      </w:r>
      <w:r>
        <w:t xml:space="preserve"> </w:t>
      </w:r>
      <w:r>
        <w:t xml:space="preserve">Muthén (2001)</w:t>
      </w:r>
      <w:r>
        <w:t xml:space="preserve">, where models facilitate the combined estimation of categorical and continuous latent variables. However, in the context of future research, the proposal would facilitate the estimation of latent variables using a combination of data types and evaluation methods, contingent upon the fulfillment of construct validity by those evaluation methods.</w:t>
      </w:r>
    </w:p>
    <w:bookmarkEnd w:id="98"/>
    <w:bookmarkEnd w:id="99"/>
    <w:bookmarkStart w:id="100" w:name="sec-conclusion"/>
    <w:p>
      <w:pPr>
        <w:pStyle w:val="Heading1"/>
      </w:pPr>
      <w:r>
        <w:t xml:space="preserve">Conclusion</w:t>
      </w:r>
    </w:p>
    <w:p>
      <w:pPr>
        <w:pStyle w:val="FirstParagraph"/>
      </w:pPr>
      <w:r>
        <w:t xml:space="preserve">This study highlights the effectiveness of the Bayesian Beta-proportion GLLAMM to collectively address several key data features when investigating unobservable and complex traits, using speech intelligibility and entropy scores as an example. The results demonstrate the proposed model consistently outperforms the Normal LMM in predicting the empirical phenomena. Moreover, it exhibits the ability to quantify the latent potential intelligibility of speakers, allowing for the ranking and comparison of individuals based on the latent trait while accommodating associated uncertainties. Additionally, the proposed model facilitates the exploration of research theories concerning the influence of speaker-related factors on potential intelligibility. The study indicates that integrating and comparing these theories within the model’s framework is a straightforward task.</w:t>
      </w:r>
    </w:p>
    <w:p>
      <w:pPr>
        <w:pStyle w:val="BodyText"/>
      </w:pPr>
      <w:r>
        <w:t xml:space="preserve">However, the introduction of these innovative statistical tools presents new challenges for researchers seeking implementation. These challenges encompass the principled formulation of assumptions about the data-generating processes and research inquiries, along with the need for familiarity with probabilistic programming languages (PPLs) essential for implementing Bayesian methods. Nevertheless, the study suggests several promising avenues for future research, including power analysis, causal hypothesis formulation, and exploration and integration of novel evaluation methods for assessing intelligibility. The insights derived from this study hold implications for both researchers and data analysts interested in quantitatively measuring and testing theories related to nuanced, unobservable constructs, while also considering the appropriate prediction of the empirical phenomena.</w:t>
      </w:r>
    </w:p>
    <w:bookmarkEnd w:id="100"/>
    <w:bookmarkStart w:id="143" w:name="sec-appendix"/>
    <w:p>
      <w:pPr>
        <w:pStyle w:val="Heading1"/>
      </w:pPr>
      <w:r>
        <w:t xml:space="preserve">Appendix</w:t>
      </w:r>
    </w:p>
    <w:bookmarkStart w:id="101" w:name="sec-appA"/>
    <w:p>
      <w:pPr>
        <w:pStyle w:val="Heading2"/>
      </w:pPr>
      <w:r>
        <w:t xml:space="preserve">Entropy scores calculation</w:t>
      </w:r>
    </w:p>
    <w:p>
      <w:pPr>
        <w:pStyle w:val="FirstParagraph"/>
      </w:pPr>
      <w:r>
        <w:t xml:space="preserve">This section exemplifies the entropy calculation procedure. For that purpose, the words in position two, four and five observed in</w:t>
      </w:r>
      <w:r>
        <w:t xml:space="preserve"> </w:t>
      </w:r>
      <w:hyperlink w:anchor="tbl-alignment">
        <w:r>
          <w:rPr>
            <w:rStyle w:val="Hyperlink"/>
          </w:rPr>
          <w:t xml:space="preserve">Table 1</w:t>
        </w:r>
      </w:hyperlink>
      <w:r>
        <w:t xml:space="preserve"> </w:t>
      </w:r>
      <w:r>
        <w:t xml:space="preserve">were used. These words were assumed present in the first sentence, produced by the first speaker assigned to the first block, and transcribed by five listeners (</w:t>
      </w:r>
      <m:oMath>
        <m:r>
          <m:t>w</m:t>
        </m:r>
        <m:r>
          <m:rPr>
            <m:sty m:val="p"/>
          </m:rPr>
          <m:t>=</m:t>
        </m:r>
        <m:r>
          <m:rPr>
            <m:sty m:val="p"/>
          </m:rPr>
          <m:t>{</m:t>
        </m:r>
        <m:r>
          <m:t>2</m:t>
        </m:r>
        <m:r>
          <m:rPr>
            <m:sty m:val="p"/>
          </m:rPr>
          <m:t>,</m:t>
        </m:r>
        <m:r>
          <m:t>4</m:t>
        </m:r>
        <m:r>
          <m:rPr>
            <m:sty m:val="p"/>
          </m:rPr>
          <m:t>,</m:t>
        </m:r>
        <m:r>
          <m:t>5</m:t>
        </m:r>
        <m:r>
          <m:rPr>
            <m:sty m:val="p"/>
          </m:rPr>
          <m:t>}</m:t>
        </m:r>
      </m:oMath>
      <w:r>
        <w:t xml:space="preserve">,</w:t>
      </w:r>
      <w:r>
        <w:t xml:space="preserve"> </w:t>
      </w:r>
      <m:oMath>
        <m:r>
          <m:t>s</m:t>
        </m:r>
        <m:r>
          <m:rPr>
            <m:sty m:val="p"/>
          </m:rPr>
          <m:t>=</m:t>
        </m:r>
        <m:r>
          <m:t>1</m:t>
        </m:r>
      </m:oMath>
      <w:r>
        <w:t xml:space="preserve">,</w:t>
      </w:r>
      <w:r>
        <w:t xml:space="preserve"> </w:t>
      </w:r>
      <m:oMath>
        <m:r>
          <m:t>i</m:t>
        </m:r>
        <m:r>
          <m:rPr>
            <m:sty m:val="p"/>
          </m:rPr>
          <m:t>=</m:t>
        </m:r>
        <m:r>
          <m:t>1</m:t>
        </m:r>
      </m:oMath>
      <w:r>
        <w:t xml:space="preserve">,</w:t>
      </w:r>
      <w:r>
        <w:t xml:space="preserve"> </w:t>
      </w:r>
      <m:oMath>
        <m:r>
          <m:t>b</m:t>
        </m:r>
        <m:r>
          <m:rPr>
            <m:sty m:val="p"/>
          </m:rPr>
          <m:t>=</m:t>
        </m:r>
        <m:r>
          <m:t>1</m:t>
        </m:r>
      </m:oMath>
      <w:r>
        <w:t xml:space="preserve">,</w:t>
      </w:r>
      <w:r>
        <w:t xml:space="preserve"> </w:t>
      </w:r>
      <m:oMath>
        <m:r>
          <m:t>J</m:t>
        </m:r>
        <m:r>
          <m:rPr>
            <m:sty m:val="p"/>
          </m:rPr>
          <m:t>=</m:t>
        </m:r>
        <m:r>
          <m:t>5</m:t>
        </m:r>
      </m:oMath>
      <w:r>
        <w:t xml:space="preserve">). For the word</w:t>
      </w:r>
      <w:r>
        <w:t xml:space="preserve"> </w:t>
      </w:r>
      <m:oMath>
        <m:r>
          <m:t>2</m:t>
        </m:r>
      </m:oMath>
      <w:r>
        <w:t xml:space="preserve">, the first four listeners identified the word type</w:t>
      </w:r>
      <w:r>
        <w:t xml:space="preserve"> </w:t>
      </w:r>
      <w:r>
        <w:rPr>
          <w:i/>
          <w:iCs/>
        </w:rPr>
        <w:t xml:space="preserve">jongen</w:t>
      </w:r>
      <w:r>
        <w:t xml:space="preserve"> </w:t>
      </w:r>
      <m:oMath>
        <m:d>
          <m:dPr>
            <m:begChr m:val="("/>
            <m:endChr m:val=")"/>
            <m:sepChr m:val=""/>
            <m:grow/>
          </m:dPr>
          <m:e>
            <m:sSub>
              <m:e>
                <m:r>
                  <m:t>T</m:t>
                </m:r>
              </m:e>
              <m:sub>
                <m:r>
                  <m:t>j</m:t>
                </m:r>
                <m:r>
                  <m:t>1</m:t>
                </m:r>
              </m:sub>
            </m:sSub>
          </m:e>
        </m:d>
      </m:oMath>
      <w:r>
        <w:t xml:space="preserve">, while the last identified the word type</w:t>
      </w:r>
      <w:r>
        <w:t xml:space="preserve"> </w:t>
      </w:r>
      <w:r>
        <w:rPr>
          <w:i/>
          <w:iCs/>
        </w:rPr>
        <w:t xml:space="preserve">hond</w:t>
      </w:r>
      <w:r>
        <w:t xml:space="preserve"> </w:t>
      </w:r>
      <m:oMath>
        <m:d>
          <m:dPr>
            <m:begChr m:val="("/>
            <m:endChr m:val=")"/>
            <m:sepChr m:val=""/>
            <m:grow/>
          </m:dPr>
          <m:e>
            <m:sSub>
              <m:e>
                <m:r>
                  <m:t>T</m:t>
                </m:r>
              </m:e>
              <m:sub>
                <m:r>
                  <m:t>j</m:t>
                </m:r>
                <m:r>
                  <m:t>2</m:t>
                </m:r>
              </m:sub>
            </m:sSub>
          </m:e>
        </m:d>
      </m:oMath>
      <w:r>
        <w:t xml:space="preserve">. Therefore, two word types were identified (</w:t>
      </w:r>
      <m:oMath>
        <m:r>
          <m:t>K</m:t>
        </m:r>
        <m:r>
          <m:rPr>
            <m:sty m:val="p"/>
          </m:rPr>
          <m:t>=</m:t>
        </m:r>
        <m:r>
          <m:t>2</m:t>
        </m:r>
      </m:oMath>
      <w:r>
        <w:t xml:space="preserve">), with proportions equal to</w:t>
      </w:r>
      <w:r>
        <w:t xml:space="preserve"> </w:t>
      </w:r>
      <m:oMath>
        <m:r>
          <m:rPr>
            <m:sty m:val="p"/>
          </m:rPr>
          <m:t>{</m:t>
        </m:r>
        <m:sSub>
          <m:e>
            <m:r>
              <m:t>p</m:t>
            </m:r>
          </m:e>
          <m:sub>
            <m:r>
              <m:t>1</m:t>
            </m:r>
          </m:sub>
        </m:sSub>
        <m:r>
          <m:rPr>
            <m:sty m:val="p"/>
          </m:rPr>
          <m:t>,</m:t>
        </m:r>
        <m:sSub>
          <m:e>
            <m:r>
              <m:t>p</m:t>
            </m:r>
          </m:e>
          <m:sub>
            <m:r>
              <m:t>2</m:t>
            </m:r>
          </m:sub>
        </m:sSub>
        <m:r>
          <m:rPr>
            <m:sty m:val="p"/>
          </m:rPr>
          <m:t>}</m:t>
        </m:r>
        <m:r>
          <m:rPr>
            <m:sty m:val="p"/>
          </m:rPr>
          <m:t>=</m:t>
        </m:r>
        <m:r>
          <m:rPr>
            <m:sty m:val="p"/>
          </m:rPr>
          <m:t>{</m:t>
        </m:r>
        <m:r>
          <m:t>4</m:t>
        </m:r>
        <m:r>
          <m:rPr>
            <m:sty m:val="p"/>
          </m:rPr>
          <m:t>/</m:t>
        </m:r>
        <m:r>
          <m:t>5</m:t>
        </m:r>
        <m:r>
          <m:rPr>
            <m:sty m:val="p"/>
          </m:rPr>
          <m:t>,</m:t>
        </m:r>
        <m:r>
          <m:t>1</m:t>
        </m:r>
        <m:r>
          <m:rPr>
            <m:sty m:val="p"/>
          </m:rPr>
          <m:t>/</m:t>
        </m:r>
        <m:r>
          <m:t>5</m:t>
        </m:r>
        <m:r>
          <m:rPr>
            <m:sty m:val="p"/>
          </m:rPr>
          <m:t>}</m:t>
        </m:r>
        <m:r>
          <m:rPr>
            <m:sty m:val="p"/>
          </m:rPr>
          <m:t>=</m:t>
        </m:r>
        <m:r>
          <m:rPr>
            <m:sty m:val="p"/>
          </m:rPr>
          <m:t>{</m:t>
        </m:r>
        <m:r>
          <m:t>0.8</m:t>
        </m:r>
        <m:r>
          <m:rPr>
            <m:sty m:val="p"/>
          </m:rPr>
          <m:t>,</m:t>
        </m:r>
        <m:r>
          <m:t>0.2</m:t>
        </m:r>
        <m:r>
          <m:rPr>
            <m:sty m:val="p"/>
          </m:rPr>
          <m:t>}</m:t>
        </m:r>
      </m:oMath>
      <w:r>
        <w:t xml:space="preserve">, and entropy score equal to:</w:t>
      </w:r>
    </w:p>
    <w:p>
      <w:pPr>
        <w:pStyle w:val="BodyText"/>
      </w:pPr>
      <m:oMathPara>
        <m:oMathParaPr>
          <m:jc m:val="center"/>
        </m:oMathParaPr>
        <m:oMath>
          <m:sSub>
            <m:e>
              <m:r>
                <m:t>H</m:t>
              </m:r>
            </m:e>
            <m:sub>
              <m:r>
                <m:t>2111</m:t>
              </m:r>
            </m:sub>
          </m:sSub>
          <m:r>
            <m:rPr>
              <m:sty m:val="p"/>
            </m:rPr>
            <m:t>=</m:t>
          </m:r>
          <m:f>
            <m:fPr>
              <m:type m:val="bar"/>
            </m:fPr>
            <m:num>
              <m:r>
                <m:t>0.8</m:t>
              </m:r>
              <m:r>
                <m:rPr>
                  <m:sty m:val="p"/>
                </m:rPr>
                <m:t>⋅</m:t>
              </m:r>
              <m:r>
                <m:t>l</m:t>
              </m:r>
              <m:r>
                <m:t>o</m:t>
              </m:r>
              <m:sSub>
                <m:e>
                  <m:r>
                    <m:t>g</m:t>
                  </m:r>
                </m:e>
                <m:sub>
                  <m:r>
                    <m:t>2</m:t>
                  </m:r>
                </m:sub>
              </m:sSub>
              <m:d>
                <m:dPr>
                  <m:begChr m:val="("/>
                  <m:endChr m:val=")"/>
                  <m:sepChr m:val=""/>
                  <m:grow/>
                </m:dPr>
                <m:e>
                  <m:r>
                    <m:t>0.8</m:t>
                  </m:r>
                </m:e>
              </m:d>
              <m:r>
                <m:rPr>
                  <m:sty m:val="p"/>
                </m:rPr>
                <m:t>+</m:t>
              </m:r>
              <m:r>
                <m:t>0.2</m:t>
              </m:r>
              <m:r>
                <m:rPr>
                  <m:sty m:val="p"/>
                </m:rPr>
                <m:t>⋅</m:t>
              </m:r>
              <m:r>
                <m:t>l</m:t>
              </m:r>
              <m:r>
                <m:t>o</m:t>
              </m:r>
              <m:sSub>
                <m:e>
                  <m:r>
                    <m:t>g</m:t>
                  </m:r>
                </m:e>
                <m:sub>
                  <m:r>
                    <m:t>2</m:t>
                  </m:r>
                </m:sub>
              </m:sSub>
              <m:d>
                <m:dPr>
                  <m:begChr m:val="("/>
                  <m:endChr m:val=")"/>
                  <m:sepChr m:val=""/>
                  <m:grow/>
                </m:dPr>
                <m:e>
                  <m:r>
                    <m:t>0.2</m:t>
                  </m:r>
                </m:e>
              </m:d>
            </m:num>
            <m:den>
              <m:r>
                <m:t>l</m:t>
              </m:r>
              <m:r>
                <m:t>o</m:t>
              </m:r>
              <m:sSub>
                <m:e>
                  <m:r>
                    <m:t>g</m:t>
                  </m:r>
                </m:e>
                <m:sub>
                  <m:r>
                    <m:t>2</m:t>
                  </m:r>
                </m:sub>
              </m:sSub>
              <m:d>
                <m:dPr>
                  <m:begChr m:val="("/>
                  <m:endChr m:val=")"/>
                  <m:sepChr m:val=""/>
                  <m:grow/>
                </m:dPr>
                <m:e>
                  <m:r>
                    <m:t>5</m:t>
                  </m:r>
                </m:e>
              </m:d>
            </m:den>
          </m:f>
          <m:r>
            <m:rPr>
              <m:sty m:val="p"/>
            </m:rPr>
            <m:t>≈</m:t>
          </m:r>
          <m:r>
            <m:t>0.3109</m:t>
          </m:r>
        </m:oMath>
      </m:oMathPara>
    </w:p>
    <w:p>
      <w:pPr>
        <w:pStyle w:val="FirstParagraph"/>
      </w:pPr>
      <w:r>
        <w:t xml:space="preserve">For the word</w:t>
      </w:r>
      <w:r>
        <w:t xml:space="preserve"> </w:t>
      </w:r>
      <m:oMath>
        <m:r>
          <m:t>4</m:t>
        </m:r>
      </m:oMath>
      <w:r>
        <w:t xml:space="preserve">, two listeners identified the word type</w:t>
      </w:r>
      <w:r>
        <w:t xml:space="preserve"> </w:t>
      </w:r>
      <w:r>
        <w:rPr>
          <w:i/>
          <w:iCs/>
        </w:rPr>
        <w:t xml:space="preserve">een</w:t>
      </w:r>
      <w:r>
        <w:t xml:space="preserve"> </w:t>
      </w:r>
      <m:oMath>
        <m:d>
          <m:dPr>
            <m:begChr m:val="("/>
            <m:endChr m:val=")"/>
            <m:sepChr m:val=""/>
            <m:grow/>
          </m:dPr>
          <m:e>
            <m:sSub>
              <m:e>
                <m:r>
                  <m:t>T</m:t>
                </m:r>
              </m:e>
              <m:sub>
                <m:r>
                  <m:t>j</m:t>
                </m:r>
                <m:r>
                  <m:t>1</m:t>
                </m:r>
              </m:sub>
            </m:sSub>
          </m:e>
        </m:d>
      </m:oMath>
      <w:r>
        <w:t xml:space="preserve">, one listener the word type</w:t>
      </w:r>
      <w:r>
        <w:t xml:space="preserve"> </w:t>
      </w:r>
      <w:r>
        <w:rPr>
          <w:i/>
          <w:iCs/>
        </w:rPr>
        <w:t xml:space="preserve">de</w:t>
      </w:r>
      <w:r>
        <w:t xml:space="preserve"> </w:t>
      </w:r>
      <m:oMath>
        <m:d>
          <m:dPr>
            <m:begChr m:val="("/>
            <m:endChr m:val=")"/>
            <m:sepChr m:val=""/>
            <m:grow/>
          </m:dPr>
          <m:e>
            <m:sSub>
              <m:e>
                <m:r>
                  <m:t>T</m:t>
                </m:r>
              </m:e>
              <m:sub>
                <m:r>
                  <m:t>j</m:t>
                </m:r>
                <m:r>
                  <m:t>2</m:t>
                </m:r>
              </m:sub>
            </m:sSub>
          </m:e>
        </m:d>
      </m:oMath>
      <w:r>
        <w:t xml:space="preserve">, and another the word</w:t>
      </w:r>
      <w:r>
        <w:t xml:space="preserve"> </w:t>
      </w:r>
      <w:r>
        <w:rPr>
          <w:i/>
          <w:iCs/>
        </w:rPr>
        <w:t xml:space="preserve">geen</w:t>
      </w:r>
      <w:r>
        <w:t xml:space="preserve"> </w:t>
      </w:r>
      <m:oMath>
        <m:d>
          <m:dPr>
            <m:begChr m:val="("/>
            <m:endChr m:val=")"/>
            <m:sepChr m:val=""/>
            <m:grow/>
          </m:dPr>
          <m:e>
            <m:sSub>
              <m:e>
                <m:r>
                  <m:t>T</m:t>
                </m:r>
              </m:e>
              <m:sub>
                <m:r>
                  <m:t>j</m:t>
                </m:r>
                <m:r>
                  <m:t>3</m:t>
                </m:r>
              </m:sub>
            </m:sSub>
          </m:e>
        </m:d>
      </m:oMath>
      <w:r>
        <w:t xml:space="preserve">. A blank space</w:t>
      </w:r>
      <w:r>
        <w:t xml:space="preserve"> </w:t>
      </w:r>
      <w:r>
        <w:rPr>
          <w:i/>
          <w:iCs/>
        </w:rPr>
        <w:t xml:space="preserve">[B]</w:t>
      </w:r>
      <w:r>
        <w:t xml:space="preserve"> </w:t>
      </w:r>
      <w:r>
        <w:t xml:space="preserve">is a symbol that defines the absence of a word in a space where a word is expected, as compared with other transcriptions, during the alignment procedure. Notice that for calculation purposes, because the blank space is not expected in such position, this is considered as a different word type. Consequently four word types were registered (</w:t>
      </w:r>
      <m:oMath>
        <m:r>
          <m:t>K</m:t>
        </m:r>
        <m:r>
          <m:rPr>
            <m:sty m:val="p"/>
          </m:rPr>
          <m:t>=</m:t>
        </m:r>
        <m:r>
          <m:t>4</m:t>
        </m:r>
      </m:oMath>
      <w:r>
        <w:t xml:space="preserve">), with proportions equal to</w:t>
      </w:r>
      <w:r>
        <w:t xml:space="preserve"> </w:t>
      </w:r>
      <m:oMath>
        <m:r>
          <m:rPr>
            <m:sty m:val="p"/>
          </m:rPr>
          <m:t>{</m:t>
        </m:r>
        <m:sSub>
          <m:e>
            <m:r>
              <m:t>p</m:t>
            </m:r>
          </m:e>
          <m:sub>
            <m:r>
              <m:t>1</m:t>
            </m:r>
          </m:sub>
        </m:sSub>
        <m:r>
          <m:rPr>
            <m:sty m:val="p"/>
          </m:rPr>
          <m:t>,</m:t>
        </m:r>
        <m:sSub>
          <m:e>
            <m:r>
              <m:t>p</m:t>
            </m:r>
          </m:e>
          <m:sub>
            <m:r>
              <m:t>2</m:t>
            </m:r>
          </m:sub>
        </m:sSub>
        <m:r>
          <m:rPr>
            <m:sty m:val="p"/>
          </m:rPr>
          <m:t>,</m:t>
        </m:r>
        <m:sSub>
          <m:e>
            <m:r>
              <m:t>p</m:t>
            </m:r>
          </m:e>
          <m:sub>
            <m:r>
              <m:t>3</m:t>
            </m:r>
          </m:sub>
        </m:sSub>
        <m:r>
          <m:rPr>
            <m:sty m:val="p"/>
          </m:rPr>
          <m:t>,</m:t>
        </m:r>
        <m:sSub>
          <m:e>
            <m:r>
              <m:t>p</m:t>
            </m:r>
          </m:e>
          <m:sub>
            <m:r>
              <m:t>4</m:t>
            </m:r>
          </m:sub>
        </m:sSub>
        <m:r>
          <m:rPr>
            <m:sty m:val="p"/>
          </m:rPr>
          <m:t>}</m:t>
        </m:r>
        <m:r>
          <m:rPr>
            <m:sty m:val="p"/>
          </m:rPr>
          <m:t>=</m:t>
        </m:r>
        <m:r>
          <m:rPr>
            <m:sty m:val="p"/>
          </m:rPr>
          <m:t>{</m:t>
        </m:r>
        <m:r>
          <m:t>2</m:t>
        </m:r>
        <m:r>
          <m:rPr>
            <m:sty m:val="p"/>
          </m:rPr>
          <m:t>/</m:t>
        </m:r>
        <m:r>
          <m:t>5</m:t>
        </m:r>
        <m:r>
          <m:rPr>
            <m:sty m:val="p"/>
          </m:rPr>
          <m:t>,</m:t>
        </m:r>
        <m:r>
          <m:t>1</m:t>
        </m:r>
        <m:r>
          <m:rPr>
            <m:sty m:val="p"/>
          </m:rPr>
          <m:t>/</m:t>
        </m:r>
        <m:r>
          <m:t>5</m:t>
        </m:r>
        <m:r>
          <m:rPr>
            <m:sty m:val="p"/>
          </m:rPr>
          <m:t>,</m:t>
        </m:r>
        <m:r>
          <m:t>1</m:t>
        </m:r>
        <m:r>
          <m:rPr>
            <m:sty m:val="p"/>
          </m:rPr>
          <m:t>/</m:t>
        </m:r>
        <m:r>
          <m:t>5</m:t>
        </m:r>
        <m:r>
          <m:rPr>
            <m:sty m:val="p"/>
          </m:rPr>
          <m:t>,</m:t>
        </m:r>
        <m:r>
          <m:t>1</m:t>
        </m:r>
        <m:r>
          <m:rPr>
            <m:sty m:val="p"/>
          </m:rPr>
          <m:t>/</m:t>
        </m:r>
        <m:r>
          <m:t>5</m:t>
        </m:r>
        <m:r>
          <m:rPr>
            <m:sty m:val="p"/>
          </m:rPr>
          <m:t>}</m:t>
        </m:r>
        <m:r>
          <m:rPr>
            <m:sty m:val="p"/>
          </m:rPr>
          <m:t>=</m:t>
        </m:r>
        <m:r>
          <m:rPr>
            <m:sty m:val="p"/>
          </m:rPr>
          <m:t>{</m:t>
        </m:r>
        <m:r>
          <m:t>0.4</m:t>
        </m:r>
        <m:r>
          <m:rPr>
            <m:sty m:val="p"/>
          </m:rPr>
          <m:t>,</m:t>
        </m:r>
        <m:r>
          <m:t>0.2</m:t>
        </m:r>
        <m:r>
          <m:rPr>
            <m:sty m:val="p"/>
          </m:rPr>
          <m:t>,</m:t>
        </m:r>
        <m:r>
          <m:t>0.2</m:t>
        </m:r>
        <m:r>
          <m:rPr>
            <m:sty m:val="p"/>
          </m:rPr>
          <m:t>,</m:t>
        </m:r>
        <m:r>
          <m:t>0.2</m:t>
        </m:r>
        <m:r>
          <m:rPr>
            <m:sty m:val="p"/>
          </m:rPr>
          <m:t>}</m:t>
        </m:r>
      </m:oMath>
      <w:r>
        <w:t xml:space="preserve"> </w:t>
      </w:r>
      <w:r>
        <w:t xml:space="preserve">and entropy score equal to:</w:t>
      </w:r>
    </w:p>
    <w:p>
      <w:pPr>
        <w:pStyle w:val="BodyText"/>
      </w:pPr>
      <m:oMathPara>
        <m:oMathParaPr>
          <m:jc m:val="center"/>
        </m:oMathParaPr>
        <m:oMath>
          <m:sSub>
            <m:e>
              <m:r>
                <m:t>H</m:t>
              </m:r>
            </m:e>
            <m:sub>
              <m:r>
                <m:t>4111</m:t>
              </m:r>
            </m:sub>
          </m:sSub>
          <m:r>
            <m:rPr>
              <m:sty m:val="p"/>
            </m:rPr>
            <m:t>=</m:t>
          </m:r>
          <m:f>
            <m:fPr>
              <m:type m:val="bar"/>
            </m:fPr>
            <m:num>
              <m:r>
                <m:t>0.4</m:t>
              </m:r>
              <m:r>
                <m:rPr>
                  <m:sty m:val="p"/>
                </m:rPr>
                <m:t>⋅</m:t>
              </m:r>
              <m:r>
                <m:t>l</m:t>
              </m:r>
              <m:r>
                <m:t>o</m:t>
              </m:r>
              <m:sSub>
                <m:e>
                  <m:r>
                    <m:t>g</m:t>
                  </m:r>
                </m:e>
                <m:sub>
                  <m:r>
                    <m:t>2</m:t>
                  </m:r>
                </m:sub>
              </m:sSub>
              <m:d>
                <m:dPr>
                  <m:begChr m:val="("/>
                  <m:endChr m:val=")"/>
                  <m:sepChr m:val=""/>
                  <m:grow/>
                </m:dPr>
                <m:e>
                  <m:r>
                    <m:t>0.4</m:t>
                  </m:r>
                </m:e>
              </m:d>
              <m:r>
                <m:rPr>
                  <m:sty m:val="p"/>
                </m:rPr>
                <m:t>+</m:t>
              </m:r>
              <m:r>
                <m:t>3</m:t>
              </m:r>
              <m:r>
                <m:rPr>
                  <m:sty m:val="p"/>
                </m:rPr>
                <m:t>⋅</m:t>
              </m:r>
              <m:r>
                <m:t>0.2</m:t>
              </m:r>
              <m:r>
                <m:rPr>
                  <m:sty m:val="p"/>
                </m:rPr>
                <m:t>⋅</m:t>
              </m:r>
              <m:r>
                <m:t>l</m:t>
              </m:r>
              <m:r>
                <m:t>o</m:t>
              </m:r>
              <m:sSub>
                <m:e>
                  <m:r>
                    <m:t>g</m:t>
                  </m:r>
                </m:e>
                <m:sub>
                  <m:r>
                    <m:t>2</m:t>
                  </m:r>
                </m:sub>
              </m:sSub>
              <m:d>
                <m:dPr>
                  <m:begChr m:val="("/>
                  <m:endChr m:val=")"/>
                  <m:sepChr m:val=""/>
                  <m:grow/>
                </m:dPr>
                <m:e>
                  <m:r>
                    <m:t>0.2</m:t>
                  </m:r>
                </m:e>
              </m:d>
            </m:num>
            <m:den>
              <m:r>
                <m:t>l</m:t>
              </m:r>
              <m:r>
                <m:t>o</m:t>
              </m:r>
              <m:sSub>
                <m:e>
                  <m:r>
                    <m:t>g</m:t>
                  </m:r>
                </m:e>
                <m:sub>
                  <m:r>
                    <m:t>2</m:t>
                  </m:r>
                </m:sub>
              </m:sSub>
              <m:d>
                <m:dPr>
                  <m:begChr m:val="("/>
                  <m:endChr m:val=")"/>
                  <m:sepChr m:val=""/>
                  <m:grow/>
                </m:dPr>
                <m:e>
                  <m:r>
                    <m:t>5</m:t>
                  </m:r>
                </m:e>
              </m:d>
            </m:den>
          </m:f>
          <m:r>
            <m:rPr>
              <m:sty m:val="p"/>
            </m:rPr>
            <m:t>≈</m:t>
          </m:r>
          <m:r>
            <m:t>0.8277</m:t>
          </m:r>
        </m:oMath>
      </m:oMathPara>
    </w:p>
    <w:p>
      <w:pPr>
        <w:pStyle w:val="FirstParagraph"/>
      </w:pPr>
      <w:r>
        <w:t xml:space="preserve">Lastly, for word</w:t>
      </w:r>
      <w:r>
        <w:t xml:space="preserve"> </w:t>
      </w:r>
      <m:oMath>
        <m:r>
          <m:t>5</m:t>
        </m:r>
      </m:oMath>
      <w:r>
        <w:t xml:space="preserve">, each listener transcribed a different word. it is important to highlight that when a listener does not identify a complete word, or part of it, (s)he is instructed to write</w:t>
      </w:r>
      <w:r>
        <w:t xml:space="preserve"> </w:t>
      </w:r>
      <w:r>
        <w:rPr>
          <w:i/>
          <w:iCs/>
        </w:rPr>
        <w:t xml:space="preserve">[X]</w:t>
      </w:r>
      <w:r>
        <w:t xml:space="preserve"> </w:t>
      </w:r>
      <w:r>
        <w:t xml:space="preserve">in that position. However, for the calculation of the entropy score, if more than one listener marks an unidentifiable word with</w:t>
      </w:r>
      <w:r>
        <w:t xml:space="preserve"> </w:t>
      </w:r>
      <w:r>
        <w:rPr>
          <w:i/>
          <w:iCs/>
        </w:rPr>
        <w:t xml:space="preserve">[X]</w:t>
      </w:r>
      <w:r>
        <w:t xml:space="preserve">, each one of them is considered a different word type. This is done to avoid the artificial reduction of the entropy score, as</w:t>
      </w:r>
      <w:r>
        <w:t xml:space="preserve"> </w:t>
      </w:r>
      <w:r>
        <w:rPr>
          <w:i/>
          <w:iCs/>
        </w:rPr>
        <w:t xml:space="preserve">[X]</w:t>
      </w:r>
      <w:r>
        <w:t xml:space="preserve"> </w:t>
      </w:r>
      <w:r>
        <w:t xml:space="preserve">values already indicate the word’s lack of intelligibility. . Consequently, five word types were observed,</w:t>
      </w:r>
      <w:r>
        <w:t xml:space="preserve"> </w:t>
      </w:r>
      <m:oMath>
        <m:sSub>
          <m:e>
            <m:r>
              <m:t>T</m:t>
            </m:r>
          </m:e>
          <m:sub>
            <m:r>
              <m:t>j</m:t>
            </m:r>
            <m:r>
              <m:t>1</m:t>
            </m:r>
          </m:sub>
        </m:sSub>
        <m:r>
          <m:rPr>
            <m:sty m:val="p"/>
          </m:rPr>
          <m:t>=</m:t>
        </m:r>
      </m:oMath>
      <w:r>
        <w:rPr>
          <w:i/>
          <w:iCs/>
        </w:rPr>
        <w:t xml:space="preserve">kikker</w:t>
      </w:r>
      <w:r>
        <w:t xml:space="preserve">,</w:t>
      </w:r>
      <w:r>
        <w:t xml:space="preserve"> </w:t>
      </w:r>
      <m:oMath>
        <m:sSub>
          <m:e>
            <m:r>
              <m:t>T</m:t>
            </m:r>
          </m:e>
          <m:sub>
            <m:r>
              <m:t>j</m:t>
            </m:r>
            <m:r>
              <m:t>2</m:t>
            </m:r>
          </m:sub>
        </m:sSub>
        <m:r>
          <m:rPr>
            <m:sty m:val="p"/>
          </m:rPr>
          <m:t>=</m:t>
        </m:r>
      </m:oMath>
      <w:r>
        <w:rPr>
          <w:i/>
          <w:iCs/>
        </w:rPr>
        <w:t xml:space="preserve">[X]</w:t>
      </w:r>
      <w:r>
        <w:t xml:space="preserve">,</w:t>
      </w:r>
      <w:r>
        <w:t xml:space="preserve"> </w:t>
      </w:r>
      <m:oMath>
        <m:sSub>
          <m:e>
            <m:r>
              <m:t>T</m:t>
            </m:r>
          </m:e>
          <m:sub>
            <m:r>
              <m:t>j</m:t>
            </m:r>
            <m:r>
              <m:t>3</m:t>
            </m:r>
          </m:sub>
        </m:sSub>
        <m:r>
          <m:rPr>
            <m:sty m:val="p"/>
          </m:rPr>
          <m:t>=</m:t>
        </m:r>
      </m:oMath>
      <w:r>
        <w:rPr>
          <w:i/>
          <w:iCs/>
        </w:rPr>
        <w:t xml:space="preserve">kokkin</w:t>
      </w:r>
      <w:r>
        <w:t xml:space="preserve">,</w:t>
      </w:r>
      <w:r>
        <w:t xml:space="preserve"> </w:t>
      </w:r>
      <m:oMath>
        <m:sSub>
          <m:e>
            <m:r>
              <m:t>T</m:t>
            </m:r>
          </m:e>
          <m:sub>
            <m:r>
              <m:t>j</m:t>
            </m:r>
            <m:r>
              <m:t>4</m:t>
            </m:r>
          </m:sub>
        </m:sSub>
        <m:r>
          <m:rPr>
            <m:sty m:val="p"/>
          </m:rPr>
          <m:t>=</m:t>
        </m:r>
      </m:oMath>
      <w:r>
        <w:rPr>
          <w:i/>
          <w:iCs/>
        </w:rPr>
        <w:t xml:space="preserve">kikkers</w:t>
      </w:r>
      <w:r>
        <w:t xml:space="preserve">,</w:t>
      </w:r>
      <w:r>
        <w:t xml:space="preserve"> </w:t>
      </w:r>
      <m:oMath>
        <m:sSub>
          <m:e>
            <m:r>
              <m:t>T</m:t>
            </m:r>
          </m:e>
          <m:sub>
            <m:r>
              <m:t>j</m:t>
            </m:r>
            <m:r>
              <m:t>5</m:t>
            </m:r>
          </m:sub>
        </m:sSub>
        <m:r>
          <m:rPr>
            <m:sty m:val="p"/>
          </m:rPr>
          <m:t>=</m:t>
        </m:r>
      </m:oMath>
      <w:r>
        <w:rPr>
          <w:i/>
          <w:iCs/>
        </w:rPr>
        <w:t xml:space="preserve">[X]</w:t>
      </w:r>
      <w:r>
        <w:t xml:space="preserve"> </w:t>
      </w:r>
      <w:r>
        <w:t xml:space="preserve">(</w:t>
      </w:r>
      <m:oMath>
        <m:r>
          <m:t>K</m:t>
        </m:r>
        <m:r>
          <m:rPr>
            <m:sty m:val="p"/>
          </m:rPr>
          <m:t>=</m:t>
        </m:r>
        <m:r>
          <m:t>5</m:t>
        </m:r>
      </m:oMath>
      <w:r>
        <w:t xml:space="preserve">), with proportions equal to</w:t>
      </w:r>
      <w:r>
        <w:t xml:space="preserve"> </w:t>
      </w:r>
      <m:oMath>
        <m:r>
          <m:rPr>
            <m:sty m:val="p"/>
          </m:rPr>
          <m:t>{</m:t>
        </m:r>
        <m:sSub>
          <m:e>
            <m:r>
              <m:t>p</m:t>
            </m:r>
          </m:e>
          <m:sub>
            <m:r>
              <m:t>1</m:t>
            </m:r>
          </m:sub>
        </m:sSub>
        <m:r>
          <m:rPr>
            <m:sty m:val="p"/>
          </m:rPr>
          <m:t>,</m:t>
        </m:r>
        <m:sSub>
          <m:e>
            <m:r>
              <m:t>p</m:t>
            </m:r>
          </m:e>
          <m:sub>
            <m:r>
              <m:t>2</m:t>
            </m:r>
          </m:sub>
        </m:sSub>
        <m:r>
          <m:rPr>
            <m:sty m:val="p"/>
          </m:rPr>
          <m:t>,</m:t>
        </m:r>
        <m:sSub>
          <m:e>
            <m:r>
              <m:t>p</m:t>
            </m:r>
          </m:e>
          <m:sub>
            <m:r>
              <m:t>3</m:t>
            </m:r>
          </m:sub>
        </m:sSub>
        <m:r>
          <m:rPr>
            <m:sty m:val="p"/>
          </m:rPr>
          <m:t>,</m:t>
        </m:r>
        <m:sSub>
          <m:e>
            <m:r>
              <m:t>p</m:t>
            </m:r>
          </m:e>
          <m:sub>
            <m:r>
              <m:t>4</m:t>
            </m:r>
          </m:sub>
        </m:sSub>
        <m:r>
          <m:rPr>
            <m:sty m:val="p"/>
          </m:rPr>
          <m:t>,</m:t>
        </m:r>
        <m:sSub>
          <m:e>
            <m:r>
              <m:t>p</m:t>
            </m:r>
          </m:e>
          <m:sub>
            <m:r>
              <m:t>5</m:t>
            </m:r>
          </m:sub>
        </m:sSub>
        <m:r>
          <m:rPr>
            <m:sty m:val="p"/>
          </m:rPr>
          <m:t>}</m:t>
        </m:r>
        <m:r>
          <m:rPr>
            <m:sty m:val="p"/>
          </m:rPr>
          <m:t>=</m:t>
        </m:r>
        <m:r>
          <m:rPr>
            <m:sty m:val="p"/>
          </m:rPr>
          <m:t>{</m:t>
        </m:r>
        <m:r>
          <m:t>1</m:t>
        </m:r>
        <m:r>
          <m:rPr>
            <m:sty m:val="p"/>
          </m:rPr>
          <m:t>/</m:t>
        </m:r>
        <m:r>
          <m:t>5</m:t>
        </m:r>
        <m:r>
          <m:rPr>
            <m:sty m:val="p"/>
          </m:rPr>
          <m:t>,</m:t>
        </m:r>
        <m:r>
          <m:t>1</m:t>
        </m:r>
        <m:r>
          <m:rPr>
            <m:sty m:val="p"/>
          </m:rPr>
          <m:t>/</m:t>
        </m:r>
        <m:r>
          <m:t>5</m:t>
        </m:r>
        <m:r>
          <m:rPr>
            <m:sty m:val="p"/>
          </m:rPr>
          <m:t>,</m:t>
        </m:r>
        <m:r>
          <m:t>1</m:t>
        </m:r>
        <m:r>
          <m:rPr>
            <m:sty m:val="p"/>
          </m:rPr>
          <m:t>/</m:t>
        </m:r>
        <m:r>
          <m:t>5</m:t>
        </m:r>
        <m:r>
          <m:rPr>
            <m:sty m:val="p"/>
          </m:rPr>
          <m:t>,</m:t>
        </m:r>
        <m:r>
          <m:t>1</m:t>
        </m:r>
        <m:r>
          <m:rPr>
            <m:sty m:val="p"/>
          </m:rPr>
          <m:t>/</m:t>
        </m:r>
        <m:r>
          <m:t>5</m:t>
        </m:r>
        <m:r>
          <m:rPr>
            <m:sty m:val="p"/>
          </m:rPr>
          <m:t>,</m:t>
        </m:r>
        <m:r>
          <m:t>1</m:t>
        </m:r>
        <m:r>
          <m:rPr>
            <m:sty m:val="p"/>
          </m:rPr>
          <m:t>/</m:t>
        </m:r>
        <m:r>
          <m:t>5</m:t>
        </m:r>
        <m:r>
          <m:rPr>
            <m:sty m:val="p"/>
          </m:rPr>
          <m:t>}</m:t>
        </m:r>
        <m:r>
          <m:rPr>
            <m:sty m:val="p"/>
          </m:rPr>
          <m:t>=</m:t>
        </m:r>
        <m:r>
          <m:rPr>
            <m:sty m:val="p"/>
          </m:rPr>
          <m:t>{</m:t>
        </m:r>
        <m:r>
          <m:t>0.2</m:t>
        </m:r>
        <m:r>
          <m:rPr>
            <m:sty m:val="p"/>
          </m:rPr>
          <m:t>,</m:t>
        </m:r>
        <m:r>
          <m:t>0.2</m:t>
        </m:r>
        <m:r>
          <m:rPr>
            <m:sty m:val="p"/>
          </m:rPr>
          <m:t>,</m:t>
        </m:r>
        <m:r>
          <m:t>0.2</m:t>
        </m:r>
        <m:r>
          <m:rPr>
            <m:sty m:val="p"/>
          </m:rPr>
          <m:t>,</m:t>
        </m:r>
        <m:r>
          <m:t>0.2</m:t>
        </m:r>
        <m:r>
          <m:rPr>
            <m:sty m:val="p"/>
          </m:rPr>
          <m:t>,</m:t>
        </m:r>
        <m:r>
          <m:t>0.2</m:t>
        </m:r>
        <m:r>
          <m:rPr>
            <m:sty m:val="p"/>
          </m:rPr>
          <m:t>}</m:t>
        </m:r>
      </m:oMath>
      <w:r>
        <w:t xml:space="preserve">, and entropy score equal to:</w:t>
      </w:r>
    </w:p>
    <w:p>
      <w:pPr>
        <w:pStyle w:val="BodyText"/>
      </w:pPr>
      <m:oMathPara>
        <m:oMathParaPr>
          <m:jc m:val="center"/>
        </m:oMathParaPr>
        <m:oMath>
          <m:sSub>
            <m:e>
              <m:r>
                <m:t>H</m:t>
              </m:r>
            </m:e>
            <m:sub>
              <m:r>
                <m:t>5111</m:t>
              </m:r>
            </m:sub>
          </m:sSub>
          <m:r>
            <m:rPr>
              <m:sty m:val="p"/>
            </m:rPr>
            <m:t>=</m:t>
          </m:r>
          <m:f>
            <m:fPr>
              <m:type m:val="bar"/>
            </m:fPr>
            <m:num>
              <m:r>
                <m:t>5</m:t>
              </m:r>
              <m:r>
                <m:rPr>
                  <m:sty m:val="p"/>
                </m:rPr>
                <m:t>⋅</m:t>
              </m:r>
              <m:r>
                <m:t>0.2</m:t>
              </m:r>
              <m:r>
                <m:rPr>
                  <m:sty m:val="p"/>
                </m:rPr>
                <m:t>⋅</m:t>
              </m:r>
              <m:r>
                <m:t>l</m:t>
              </m:r>
              <m:r>
                <m:t>o</m:t>
              </m:r>
              <m:sSub>
                <m:e>
                  <m:r>
                    <m:t>g</m:t>
                  </m:r>
                </m:e>
                <m:sub>
                  <m:r>
                    <m:t>2</m:t>
                  </m:r>
                </m:sub>
              </m:sSub>
              <m:d>
                <m:dPr>
                  <m:begChr m:val="("/>
                  <m:endChr m:val=")"/>
                  <m:sepChr m:val=""/>
                  <m:grow/>
                </m:dPr>
                <m:e>
                  <m:r>
                    <m:t>0.2</m:t>
                  </m:r>
                </m:e>
              </m:d>
            </m:num>
            <m:den>
              <m:r>
                <m:t>l</m:t>
              </m:r>
              <m:r>
                <m:t>o</m:t>
              </m:r>
              <m:sSub>
                <m:e>
                  <m:r>
                    <m:t>g</m:t>
                  </m:r>
                </m:e>
                <m:sub>
                  <m:r>
                    <m:t>2</m:t>
                  </m:r>
                </m:sub>
              </m:sSub>
              <m:d>
                <m:dPr>
                  <m:begChr m:val="("/>
                  <m:endChr m:val=")"/>
                  <m:sepChr m:val=""/>
                  <m:grow/>
                </m:dPr>
                <m:e>
                  <m:r>
                    <m:t>5</m:t>
                  </m:r>
                </m:e>
              </m:d>
            </m:den>
          </m:f>
          <m:r>
            <m:rPr>
              <m:sty m:val="p"/>
            </m:rPr>
            <m:t>=</m:t>
          </m:r>
          <m:r>
            <m:t>1</m:t>
          </m:r>
        </m:oMath>
      </m:oMathPara>
    </w:p>
    <w:bookmarkEnd w:id="101"/>
    <w:bookmarkStart w:id="106" w:name="sec-appB"/>
    <w:p>
      <w:pPr>
        <w:pStyle w:val="Heading2"/>
      </w:pPr>
      <w:r>
        <w:t xml:space="preserve">Tables</w:t>
      </w:r>
    </w:p>
    <w:tbl>
      <w:tblPr>
        <w:tblStyle w:val="Table"/>
        <w:tblW w:type="pct" w:w="5000"/>
        <w:jc w:val="left"/>
        <w:tblLayout w:type="fixed"/>
        <w:tblLook w:firstRow="0" w:lastRow="0" w:firstColumn="0" w:lastColumn="0" w:noHBand="0" w:noVBand="0" w:val="0000"/>
      </w:tblPr>
      <w:tblGrid>
        <w:gridCol w:w="7920"/>
      </w:tblGrid>
      <w:tr>
        <w:tc>
          <w:tcPr/>
          <w:bookmarkStart w:id="102" w:name="tbl-rq1-waic"/>
          <w:p>
            <w:pPr>
              <w:jc w:val="center"/>
            </w:pPr>
            <w:pPr>
              <w:jc w:val="start"/>
              <w:spacing w:before="200"/>
              <w:pStyle w:val="ImageCaption"/>
            </w:pPr>
            <w:r>
              <w:t xml:space="preserve">Table 6: WAIC comparison for selected models</w:t>
            </w:r>
          </w:p>
          <w:tbl>
            <w:tblPr>
              <w:tblStyle w:val="Table"/>
              <w:tblW w:type="auto" w:w="0"/>
              <w:jc w:val="left"/>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jc w:val="center"/>
                  </w:pPr>
                  <w:r>
                    <w:t xml:space="preserve">Model</w:t>
                  </w:r>
                </w:p>
              </w:tc>
              <w:tc>
                <w:tcPr/>
                <w:p>
                  <w:pPr>
                    <w:pStyle w:val="Compact"/>
                    <w:jc w:val="right"/>
                    <w:jc w:val="center"/>
                  </w:pPr>
                  <w:r>
                    <w:t xml:space="preserve">DIC</w:t>
                  </w:r>
                </w:p>
              </w:tc>
              <w:tc>
                <w:tcPr/>
                <w:p>
                  <w:pPr>
                    <w:pStyle w:val="Compact"/>
                    <w:jc w:val="right"/>
                    <w:jc w:val="center"/>
                  </w:pPr>
                  <w:r>
                    <w:t xml:space="preserve">WAIC</w:t>
                  </w:r>
                </w:p>
              </w:tc>
              <w:tc>
                <w:tcPr/>
                <w:p>
                  <w:pPr>
                    <w:pStyle w:val="Compact"/>
                    <w:jc w:val="right"/>
                    <w:jc w:val="center"/>
                  </w:pPr>
                  <w:r>
                    <w:t xml:space="preserve">SE</w:t>
                  </w:r>
                </w:p>
              </w:tc>
              <w:tc>
                <w:tcPr/>
                <w:p>
                  <w:pPr>
                    <w:pStyle w:val="Compact"/>
                    <w:jc w:val="right"/>
                    <w:jc w:val="center"/>
                  </w:pPr>
                  <w:r>
                    <w:t xml:space="preserve">dWAIC</w:t>
                  </w:r>
                </w:p>
              </w:tc>
              <w:tc>
                <w:tcPr/>
                <w:p>
                  <w:pPr>
                    <w:pStyle w:val="Compact"/>
                    <w:jc w:val="right"/>
                    <w:jc w:val="center"/>
                  </w:pPr>
                  <w:r>
                    <w:t xml:space="preserve">dSE</w:t>
                  </w:r>
                </w:p>
              </w:tc>
              <w:tc>
                <w:tcPr/>
                <w:p>
                  <w:pPr>
                    <w:pStyle w:val="Compact"/>
                    <w:jc w:val="right"/>
                    <w:jc w:val="center"/>
                  </w:pPr>
                  <w:r>
                    <w:t xml:space="preserve">pWAIC</w:t>
                  </w:r>
                </w:p>
              </w:tc>
              <w:tc>
                <w:tcPr/>
                <w:p>
                  <w:pPr>
                    <w:pStyle w:val="Compact"/>
                    <w:jc w:val="right"/>
                    <w:jc w:val="center"/>
                  </w:pPr>
                  <w:r>
                    <w:t xml:space="preserve">weight</w:t>
                  </w:r>
                </w:p>
              </w:tc>
            </w:tr>
            <w:tr>
              <w:tc>
                <w:tcPr/>
                <w:p>
                  <w:pPr>
                    <w:pStyle w:val="Compact"/>
                    <w:jc w:val="center"/>
                    <w:jc w:val="center"/>
                  </w:pPr>
                  <w:r>
                    <w:t xml:space="preserve">10</w:t>
                  </w:r>
                </w:p>
              </w:tc>
              <w:tc>
                <w:tcPr/>
                <w:p>
                  <w:pPr>
                    <w:pStyle w:val="Compact"/>
                    <w:jc w:val="right"/>
                    <w:jc w:val="center"/>
                  </w:pPr>
                  <w:r>
                    <w:t xml:space="preserve">-9741.66</w:t>
                  </w:r>
                </w:p>
              </w:tc>
              <w:tc>
                <w:tcPr/>
                <w:p>
                  <w:pPr>
                    <w:pStyle w:val="Compact"/>
                    <w:jc w:val="right"/>
                    <w:jc w:val="center"/>
                  </w:pPr>
                  <w:r>
                    <w:t xml:space="preserve">-9630.63</w:t>
                  </w:r>
                </w:p>
              </w:tc>
              <w:tc>
                <w:tcPr/>
                <w:p>
                  <w:pPr>
                    <w:pStyle w:val="Compact"/>
                    <w:jc w:val="right"/>
                    <w:jc w:val="center"/>
                  </w:pPr>
                  <w:r>
                    <w:t xml:space="preserve">276.64</w:t>
                  </w:r>
                </w:p>
              </w:tc>
              <w:tc>
                <w:tcPr/>
                <w:p>
                  <w:pPr>
                    <w:pStyle w:val="Compact"/>
                    <w:jc w:val="right"/>
                    <w:jc w:val="center"/>
                  </w:pPr>
                  <w:r>
                    <w:t xml:space="preserve">0.00</w:t>
                  </w:r>
                </w:p>
              </w:tc>
              <w:tc>
                <w:tcPr/>
                <w:p>
                  <w:pPr>
                    <w:pStyle w:val="Compact"/>
                  </w:pPr>
                </w:p>
              </w:tc>
              <w:tc>
                <w:tcPr/>
                <w:p>
                  <w:pPr>
                    <w:pStyle w:val="Compact"/>
                    <w:jc w:val="right"/>
                    <w:jc w:val="center"/>
                  </w:pPr>
                  <w:r>
                    <w:t xml:space="preserve">55.52</w:t>
                  </w:r>
                </w:p>
              </w:tc>
              <w:tc>
                <w:tcPr/>
                <w:p>
                  <w:pPr>
                    <w:pStyle w:val="Compact"/>
                    <w:jc w:val="right"/>
                    <w:jc w:val="center"/>
                  </w:pPr>
                  <w:r>
                    <w:t xml:space="preserve">1</w:t>
                  </w:r>
                </w:p>
              </w:tc>
            </w:tr>
            <w:tr>
              <w:tc>
                <w:tcPr/>
                <w:p>
                  <w:pPr>
                    <w:pStyle w:val="Compact"/>
                    <w:jc w:val="center"/>
                    <w:jc w:val="center"/>
                  </w:pPr>
                  <w:r>
                    <w:t xml:space="preserve">7</w:t>
                  </w:r>
                </w:p>
              </w:tc>
              <w:tc>
                <w:tcPr/>
                <w:p>
                  <w:pPr>
                    <w:pStyle w:val="Compact"/>
                    <w:jc w:val="right"/>
                    <w:jc w:val="center"/>
                  </w:pPr>
                  <w:r>
                    <w:t xml:space="preserve">-9649.54</w:t>
                  </w:r>
                </w:p>
              </w:tc>
              <w:tc>
                <w:tcPr/>
                <w:p>
                  <w:pPr>
                    <w:pStyle w:val="Compact"/>
                    <w:jc w:val="right"/>
                    <w:jc w:val="center"/>
                  </w:pPr>
                  <w:r>
                    <w:t xml:space="preserve">-9586.00</w:t>
                  </w:r>
                </w:p>
              </w:tc>
              <w:tc>
                <w:tcPr/>
                <w:p>
                  <w:pPr>
                    <w:pStyle w:val="Compact"/>
                    <w:jc w:val="right"/>
                    <w:jc w:val="center"/>
                  </w:pPr>
                  <w:r>
                    <w:t xml:space="preserve">274.50</w:t>
                  </w:r>
                </w:p>
              </w:tc>
              <w:tc>
                <w:tcPr/>
                <w:p>
                  <w:pPr>
                    <w:pStyle w:val="Compact"/>
                    <w:jc w:val="right"/>
                    <w:jc w:val="center"/>
                  </w:pPr>
                  <w:r>
                    <w:t xml:space="preserve">44.63</w:t>
                  </w:r>
                </w:p>
              </w:tc>
              <w:tc>
                <w:tcPr/>
                <w:p>
                  <w:pPr>
                    <w:pStyle w:val="Compact"/>
                    <w:jc w:val="right"/>
                    <w:jc w:val="center"/>
                  </w:pPr>
                  <w:r>
                    <w:t xml:space="preserve">17.89</w:t>
                  </w:r>
                </w:p>
              </w:tc>
              <w:tc>
                <w:tcPr/>
                <w:p>
                  <w:pPr>
                    <w:pStyle w:val="Compact"/>
                    <w:jc w:val="right"/>
                    <w:jc w:val="center"/>
                  </w:pPr>
                  <w:r>
                    <w:t xml:space="preserve">31.77</w:t>
                  </w:r>
                </w:p>
              </w:tc>
              <w:tc>
                <w:tcPr/>
                <w:p>
                  <w:pPr>
                    <w:pStyle w:val="Compact"/>
                    <w:jc w:val="right"/>
                    <w:jc w:val="center"/>
                  </w:pPr>
                  <w:r>
                    <w:t xml:space="preserve">0</w:t>
                  </w:r>
                </w:p>
              </w:tc>
            </w:tr>
            <w:tr>
              <w:tc>
                <w:tcPr/>
                <w:p>
                  <w:pPr>
                    <w:pStyle w:val="Compact"/>
                    <w:jc w:val="center"/>
                    <w:jc w:val="center"/>
                  </w:pPr>
                  <w:r>
                    <w:t xml:space="preserve">4</w:t>
                  </w:r>
                </w:p>
              </w:tc>
              <w:tc>
                <w:tcPr/>
                <w:p>
                  <w:pPr>
                    <w:pStyle w:val="Compact"/>
                    <w:jc w:val="right"/>
                    <w:jc w:val="center"/>
                  </w:pPr>
                  <w:r>
                    <w:t xml:space="preserve">-2670.62</w:t>
                  </w:r>
                </w:p>
              </w:tc>
              <w:tc>
                <w:tcPr/>
                <w:p>
                  <w:pPr>
                    <w:pStyle w:val="Compact"/>
                    <w:jc w:val="right"/>
                    <w:jc w:val="center"/>
                  </w:pPr>
                  <w:r>
                    <w:t xml:space="preserve">-2024.84</w:t>
                  </w:r>
                </w:p>
              </w:tc>
              <w:tc>
                <w:tcPr/>
                <w:p>
                  <w:pPr>
                    <w:pStyle w:val="Compact"/>
                    <w:jc w:val="right"/>
                    <w:jc w:val="center"/>
                  </w:pPr>
                  <w:r>
                    <w:t xml:space="preserve">127.02</w:t>
                  </w:r>
                </w:p>
              </w:tc>
              <w:tc>
                <w:tcPr/>
                <w:p>
                  <w:pPr>
                    <w:pStyle w:val="Compact"/>
                    <w:jc w:val="right"/>
                    <w:jc w:val="center"/>
                  </w:pPr>
                  <w:r>
                    <w:t xml:space="preserve">7605.78</w:t>
                  </w:r>
                </w:p>
              </w:tc>
              <w:tc>
                <w:tcPr/>
                <w:p>
                  <w:pPr>
                    <w:pStyle w:val="Compact"/>
                    <w:jc w:val="right"/>
                    <w:jc w:val="center"/>
                  </w:pPr>
                  <w:r>
                    <w:t xml:space="preserve">263.22</w:t>
                  </w:r>
                </w:p>
              </w:tc>
              <w:tc>
                <w:tcPr/>
                <w:p>
                  <w:pPr>
                    <w:pStyle w:val="Compact"/>
                    <w:jc w:val="right"/>
                    <w:jc w:val="center"/>
                  </w:pPr>
                  <w:r>
                    <w:t xml:space="preserve">322.89</w:t>
                  </w:r>
                </w:p>
              </w:tc>
              <w:tc>
                <w:tcPr/>
                <w:p>
                  <w:pPr>
                    <w:pStyle w:val="Compact"/>
                    <w:jc w:val="right"/>
                    <w:jc w:val="center"/>
                  </w:pPr>
                  <w:r>
                    <w:t xml:space="preserve">0</w:t>
                  </w:r>
                </w:p>
              </w:tc>
            </w:tr>
            <w:tr>
              <w:tc>
                <w:tcPr/>
                <w:p>
                  <w:pPr>
                    <w:pStyle w:val="Compact"/>
                    <w:jc w:val="center"/>
                    <w:jc w:val="center"/>
                  </w:pPr>
                  <w:r>
                    <w:t xml:space="preserve">1</w:t>
                  </w:r>
                </w:p>
              </w:tc>
              <w:tc>
                <w:tcPr/>
                <w:p>
                  <w:pPr>
                    <w:pStyle w:val="Compact"/>
                    <w:jc w:val="right"/>
                    <w:jc w:val="center"/>
                  </w:pPr>
                  <w:r>
                    <w:t xml:space="preserve">-2278.68</w:t>
                  </w:r>
                </w:p>
              </w:tc>
              <w:tc>
                <w:tcPr/>
                <w:p>
                  <w:pPr>
                    <w:pStyle w:val="Compact"/>
                    <w:jc w:val="right"/>
                    <w:jc w:val="center"/>
                  </w:pPr>
                  <w:r>
                    <w:t xml:space="preserve">-1761.10</w:t>
                  </w:r>
                </w:p>
              </w:tc>
              <w:tc>
                <w:tcPr/>
                <w:p>
                  <w:pPr>
                    <w:pStyle w:val="Compact"/>
                    <w:jc w:val="right"/>
                    <w:jc w:val="center"/>
                  </w:pPr>
                  <w:r>
                    <w:t xml:space="preserve">101.80</w:t>
                  </w:r>
                </w:p>
              </w:tc>
              <w:tc>
                <w:tcPr/>
                <w:p>
                  <w:pPr>
                    <w:pStyle w:val="Compact"/>
                    <w:jc w:val="right"/>
                    <w:jc w:val="center"/>
                  </w:pPr>
                  <w:r>
                    <w:t xml:space="preserve">7869.53</w:t>
                  </w:r>
                </w:p>
              </w:tc>
              <w:tc>
                <w:tcPr/>
                <w:p>
                  <w:pPr>
                    <w:pStyle w:val="Compact"/>
                    <w:jc w:val="right"/>
                    <w:jc w:val="center"/>
                  </w:pPr>
                  <w:r>
                    <w:t xml:space="preserve">266.54</w:t>
                  </w:r>
                </w:p>
              </w:tc>
              <w:tc>
                <w:tcPr/>
                <w:p>
                  <w:pPr>
                    <w:pStyle w:val="Compact"/>
                    <w:jc w:val="right"/>
                    <w:jc w:val="center"/>
                  </w:pPr>
                  <w:r>
                    <w:t xml:space="preserve">258.79</w:t>
                  </w:r>
                </w:p>
              </w:tc>
              <w:tc>
                <w:tcPr/>
                <w:p>
                  <w:pPr>
                    <w:pStyle w:val="Compact"/>
                    <w:jc w:val="right"/>
                    <w:jc w:val="center"/>
                  </w:pPr>
                  <w:r>
                    <w:t xml:space="preserve">0</w:t>
                  </w:r>
                </w:p>
              </w:tc>
            </w:tr>
          </w:tbl>
          <w:bookmarkEnd w:id="102"/>
          <w:p/>
        </w:tc>
      </w:tr>
    </w:tbl>
    <w:p>
      <w:pPr>
        <w:pStyle w:val="BodyText"/>
      </w:pPr>
      <w:r>
        <w:t xml:space="preserve"> </w:t>
      </w:r>
    </w:p>
    <w:tbl>
      <w:tblPr>
        <w:tblStyle w:val="Table"/>
        <w:tblW w:type="pct" w:w="5000"/>
        <w:jc w:val="left"/>
        <w:tblLayout w:type="fixed"/>
        <w:tblLook w:firstRow="0" w:lastRow="0" w:firstColumn="0" w:lastColumn="0" w:noHBand="0" w:noVBand="0" w:val="0000"/>
      </w:tblPr>
      <w:tblGrid>
        <w:gridCol w:w="7920"/>
      </w:tblGrid>
      <w:tr>
        <w:tc>
          <w:tcPr/>
          <w:bookmarkStart w:id="103" w:name="tbl-rq1-psis"/>
          <w:p>
            <w:pPr>
              <w:jc w:val="center"/>
            </w:pPr>
            <w:pPr>
              <w:jc w:val="start"/>
              <w:spacing w:before="200"/>
              <w:pStyle w:val="ImageCaption"/>
            </w:pPr>
            <w:r>
              <w:t xml:space="preserve">Table 7: PSIS comparison for selected models</w:t>
            </w:r>
          </w:p>
          <w:tbl>
            <w:tblPr>
              <w:tblStyle w:val="Table"/>
              <w:tblW w:type="auto" w:w="0"/>
              <w:jc w:val="left"/>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jc w:val="center"/>
                  </w:pPr>
                  <w:r>
                    <w:t xml:space="preserve">Model</w:t>
                  </w:r>
                </w:p>
              </w:tc>
              <w:tc>
                <w:tcPr/>
                <w:p>
                  <w:pPr>
                    <w:pStyle w:val="Compact"/>
                    <w:jc w:val="right"/>
                    <w:jc w:val="center"/>
                  </w:pPr>
                  <w:r>
                    <w:t xml:space="preserve">DIC</w:t>
                  </w:r>
                </w:p>
              </w:tc>
              <w:tc>
                <w:tcPr/>
                <w:p>
                  <w:pPr>
                    <w:pStyle w:val="Compact"/>
                    <w:jc w:val="right"/>
                    <w:jc w:val="center"/>
                  </w:pPr>
                  <w:r>
                    <w:t xml:space="preserve">PSIS</w:t>
                  </w:r>
                </w:p>
              </w:tc>
              <w:tc>
                <w:tcPr/>
                <w:p>
                  <w:pPr>
                    <w:pStyle w:val="Compact"/>
                    <w:jc w:val="right"/>
                    <w:jc w:val="center"/>
                  </w:pPr>
                  <w:r>
                    <w:t xml:space="preserve">SE</w:t>
                  </w:r>
                </w:p>
              </w:tc>
              <w:tc>
                <w:tcPr/>
                <w:p>
                  <w:pPr>
                    <w:pStyle w:val="Compact"/>
                    <w:jc w:val="right"/>
                    <w:jc w:val="center"/>
                  </w:pPr>
                  <w:r>
                    <w:t xml:space="preserve">dPSIS</w:t>
                  </w:r>
                </w:p>
              </w:tc>
              <w:tc>
                <w:tcPr/>
                <w:p>
                  <w:pPr>
                    <w:pStyle w:val="Compact"/>
                    <w:jc w:val="right"/>
                    <w:jc w:val="center"/>
                  </w:pPr>
                  <w:r>
                    <w:t xml:space="preserve">dSE</w:t>
                  </w:r>
                </w:p>
              </w:tc>
              <w:tc>
                <w:tcPr/>
                <w:p>
                  <w:pPr>
                    <w:pStyle w:val="Compact"/>
                    <w:jc w:val="right"/>
                    <w:jc w:val="center"/>
                  </w:pPr>
                  <w:r>
                    <w:t xml:space="preserve">pPSIS</w:t>
                  </w:r>
                </w:p>
              </w:tc>
              <w:tc>
                <w:tcPr/>
                <w:p>
                  <w:pPr>
                    <w:pStyle w:val="Compact"/>
                    <w:jc w:val="right"/>
                    <w:jc w:val="center"/>
                  </w:pPr>
                  <w:r>
                    <w:t xml:space="preserve">weight</w:t>
                  </w:r>
                </w:p>
              </w:tc>
            </w:tr>
            <w:tr>
              <w:tc>
                <w:tcPr/>
                <w:p>
                  <w:pPr>
                    <w:pStyle w:val="Compact"/>
                    <w:jc w:val="center"/>
                    <w:jc w:val="center"/>
                  </w:pPr>
                  <w:r>
                    <w:t xml:space="preserve">10</w:t>
                  </w:r>
                </w:p>
              </w:tc>
              <w:tc>
                <w:tcPr/>
                <w:p>
                  <w:pPr>
                    <w:pStyle w:val="Compact"/>
                    <w:jc w:val="right"/>
                    <w:jc w:val="center"/>
                  </w:pPr>
                  <w:r>
                    <w:t xml:space="preserve">-9741.66</w:t>
                  </w:r>
                </w:p>
              </w:tc>
              <w:tc>
                <w:tcPr/>
                <w:p>
                  <w:pPr>
                    <w:pStyle w:val="Compact"/>
                    <w:jc w:val="right"/>
                    <w:jc w:val="center"/>
                  </w:pPr>
                  <w:r>
                    <w:t xml:space="preserve">-9629.27</w:t>
                  </w:r>
                </w:p>
              </w:tc>
              <w:tc>
                <w:tcPr/>
                <w:p>
                  <w:pPr>
                    <w:pStyle w:val="Compact"/>
                    <w:jc w:val="right"/>
                    <w:jc w:val="center"/>
                  </w:pPr>
                  <w:r>
                    <w:t xml:space="preserve">276.74</w:t>
                  </w:r>
                </w:p>
              </w:tc>
              <w:tc>
                <w:tcPr/>
                <w:p>
                  <w:pPr>
                    <w:pStyle w:val="Compact"/>
                    <w:jc w:val="right"/>
                    <w:jc w:val="center"/>
                  </w:pPr>
                  <w:r>
                    <w:t xml:space="preserve">0.00</w:t>
                  </w:r>
                </w:p>
              </w:tc>
              <w:tc>
                <w:tcPr/>
                <w:p>
                  <w:pPr>
                    <w:pStyle w:val="Compact"/>
                  </w:pPr>
                </w:p>
              </w:tc>
              <w:tc>
                <w:tcPr/>
                <w:p>
                  <w:pPr>
                    <w:pStyle w:val="Compact"/>
                    <w:jc w:val="right"/>
                    <w:jc w:val="center"/>
                  </w:pPr>
                  <w:r>
                    <w:t xml:space="preserve">56.19</w:t>
                  </w:r>
                </w:p>
              </w:tc>
              <w:tc>
                <w:tcPr/>
                <w:p>
                  <w:pPr>
                    <w:pStyle w:val="Compact"/>
                    <w:jc w:val="right"/>
                    <w:jc w:val="center"/>
                  </w:pPr>
                  <w:r>
                    <w:t xml:space="preserve">1</w:t>
                  </w:r>
                </w:p>
              </w:tc>
            </w:tr>
            <w:tr>
              <w:tc>
                <w:tcPr/>
                <w:p>
                  <w:pPr>
                    <w:pStyle w:val="Compact"/>
                    <w:jc w:val="center"/>
                    <w:jc w:val="center"/>
                  </w:pPr>
                  <w:r>
                    <w:t xml:space="preserve">7</w:t>
                  </w:r>
                </w:p>
              </w:tc>
              <w:tc>
                <w:tcPr/>
                <w:p>
                  <w:pPr>
                    <w:pStyle w:val="Compact"/>
                    <w:jc w:val="right"/>
                    <w:jc w:val="center"/>
                  </w:pPr>
                  <w:r>
                    <w:t xml:space="preserve">-9649.54</w:t>
                  </w:r>
                </w:p>
              </w:tc>
              <w:tc>
                <w:tcPr/>
                <w:p>
                  <w:pPr>
                    <w:pStyle w:val="Compact"/>
                    <w:jc w:val="right"/>
                    <w:jc w:val="center"/>
                  </w:pPr>
                  <w:r>
                    <w:t xml:space="preserve">-9585.92</w:t>
                  </w:r>
                </w:p>
              </w:tc>
              <w:tc>
                <w:tcPr/>
                <w:p>
                  <w:pPr>
                    <w:pStyle w:val="Compact"/>
                    <w:jc w:val="right"/>
                    <w:jc w:val="center"/>
                  </w:pPr>
                  <w:r>
                    <w:t xml:space="preserve">274.56</w:t>
                  </w:r>
                </w:p>
              </w:tc>
              <w:tc>
                <w:tcPr/>
                <w:p>
                  <w:pPr>
                    <w:pStyle w:val="Compact"/>
                    <w:jc w:val="right"/>
                    <w:jc w:val="center"/>
                  </w:pPr>
                  <w:r>
                    <w:t xml:space="preserve">43.36</w:t>
                  </w:r>
                </w:p>
              </w:tc>
              <w:tc>
                <w:tcPr/>
                <w:p>
                  <w:pPr>
                    <w:pStyle w:val="Compact"/>
                    <w:jc w:val="right"/>
                    <w:jc w:val="center"/>
                  </w:pPr>
                  <w:r>
                    <w:t xml:space="preserve">17.67</w:t>
                  </w:r>
                </w:p>
              </w:tc>
              <w:tc>
                <w:tcPr/>
                <w:p>
                  <w:pPr>
                    <w:pStyle w:val="Compact"/>
                    <w:jc w:val="right"/>
                    <w:jc w:val="center"/>
                  </w:pPr>
                  <w:r>
                    <w:t xml:space="preserve">31.81</w:t>
                  </w:r>
                </w:p>
              </w:tc>
              <w:tc>
                <w:tcPr/>
                <w:p>
                  <w:pPr>
                    <w:pStyle w:val="Compact"/>
                    <w:jc w:val="right"/>
                    <w:jc w:val="center"/>
                  </w:pPr>
                  <w:r>
                    <w:t xml:space="preserve">0</w:t>
                  </w:r>
                </w:p>
              </w:tc>
            </w:tr>
            <w:tr>
              <w:tc>
                <w:tcPr/>
                <w:p>
                  <w:pPr>
                    <w:pStyle w:val="Compact"/>
                    <w:jc w:val="center"/>
                    <w:jc w:val="center"/>
                  </w:pPr>
                  <w:r>
                    <w:t xml:space="preserve">4</w:t>
                  </w:r>
                </w:p>
              </w:tc>
              <w:tc>
                <w:tcPr/>
                <w:p>
                  <w:pPr>
                    <w:pStyle w:val="Compact"/>
                    <w:jc w:val="right"/>
                    <w:jc w:val="center"/>
                  </w:pPr>
                  <w:r>
                    <w:t xml:space="preserve">-2670.62</w:t>
                  </w:r>
                </w:p>
              </w:tc>
              <w:tc>
                <w:tcPr/>
                <w:p>
                  <w:pPr>
                    <w:pStyle w:val="Compact"/>
                    <w:jc w:val="right"/>
                    <w:jc w:val="center"/>
                  </w:pPr>
                  <w:r>
                    <w:t xml:space="preserve">-2007.66</w:t>
                  </w:r>
                </w:p>
              </w:tc>
              <w:tc>
                <w:tcPr/>
                <w:p>
                  <w:pPr>
                    <w:pStyle w:val="Compact"/>
                    <w:jc w:val="right"/>
                    <w:jc w:val="center"/>
                  </w:pPr>
                  <w:r>
                    <w:t xml:space="preserve">128.57</w:t>
                  </w:r>
                </w:p>
              </w:tc>
              <w:tc>
                <w:tcPr/>
                <w:p>
                  <w:pPr>
                    <w:pStyle w:val="Compact"/>
                    <w:jc w:val="right"/>
                    <w:jc w:val="center"/>
                  </w:pPr>
                  <w:r>
                    <w:t xml:space="preserve">7621.61</w:t>
                  </w:r>
                </w:p>
              </w:tc>
              <w:tc>
                <w:tcPr/>
                <w:p>
                  <w:pPr>
                    <w:pStyle w:val="Compact"/>
                    <w:jc w:val="right"/>
                    <w:jc w:val="center"/>
                  </w:pPr>
                  <w:r>
                    <w:t xml:space="preserve">263.60</w:t>
                  </w:r>
                </w:p>
              </w:tc>
              <w:tc>
                <w:tcPr/>
                <w:p>
                  <w:pPr>
                    <w:pStyle w:val="Compact"/>
                    <w:jc w:val="right"/>
                    <w:jc w:val="center"/>
                  </w:pPr>
                  <w:r>
                    <w:t xml:space="preserve">331.48</w:t>
                  </w:r>
                </w:p>
              </w:tc>
              <w:tc>
                <w:tcPr/>
                <w:p>
                  <w:pPr>
                    <w:pStyle w:val="Compact"/>
                    <w:jc w:val="right"/>
                    <w:jc w:val="center"/>
                  </w:pPr>
                  <w:r>
                    <w:t xml:space="preserve">0</w:t>
                  </w:r>
                </w:p>
              </w:tc>
            </w:tr>
            <w:tr>
              <w:tc>
                <w:tcPr/>
                <w:p>
                  <w:pPr>
                    <w:pStyle w:val="Compact"/>
                    <w:jc w:val="center"/>
                    <w:jc w:val="center"/>
                  </w:pPr>
                  <w:r>
                    <w:t xml:space="preserve">1</w:t>
                  </w:r>
                </w:p>
              </w:tc>
              <w:tc>
                <w:tcPr/>
                <w:p>
                  <w:pPr>
                    <w:pStyle w:val="Compact"/>
                    <w:jc w:val="right"/>
                    <w:jc w:val="center"/>
                  </w:pPr>
                  <w:r>
                    <w:t xml:space="preserve">-2278.68</w:t>
                  </w:r>
                </w:p>
              </w:tc>
              <w:tc>
                <w:tcPr/>
                <w:p>
                  <w:pPr>
                    <w:pStyle w:val="Compact"/>
                    <w:jc w:val="right"/>
                    <w:jc w:val="center"/>
                  </w:pPr>
                  <w:r>
                    <w:t xml:space="preserve">-1753.71</w:t>
                  </w:r>
                </w:p>
              </w:tc>
              <w:tc>
                <w:tcPr/>
                <w:p>
                  <w:pPr>
                    <w:pStyle w:val="Compact"/>
                    <w:jc w:val="right"/>
                    <w:jc w:val="center"/>
                  </w:pPr>
                  <w:r>
                    <w:t xml:space="preserve">102.09</w:t>
                  </w:r>
                </w:p>
              </w:tc>
              <w:tc>
                <w:tcPr/>
                <w:p>
                  <w:pPr>
                    <w:pStyle w:val="Compact"/>
                    <w:jc w:val="right"/>
                    <w:jc w:val="center"/>
                  </w:pPr>
                  <w:r>
                    <w:t xml:space="preserve">7875.57</w:t>
                  </w:r>
                </w:p>
              </w:tc>
              <w:tc>
                <w:tcPr/>
                <w:p>
                  <w:pPr>
                    <w:pStyle w:val="Compact"/>
                    <w:jc w:val="right"/>
                    <w:jc w:val="center"/>
                  </w:pPr>
                  <w:r>
                    <w:t xml:space="preserve">266.54</w:t>
                  </w:r>
                </w:p>
              </w:tc>
              <w:tc>
                <w:tcPr/>
                <w:p>
                  <w:pPr>
                    <w:pStyle w:val="Compact"/>
                    <w:jc w:val="right"/>
                    <w:jc w:val="center"/>
                  </w:pPr>
                  <w:r>
                    <w:t xml:space="preserve">262.48</w:t>
                  </w:r>
                </w:p>
              </w:tc>
              <w:tc>
                <w:tcPr/>
                <w:p>
                  <w:pPr>
                    <w:pStyle w:val="Compact"/>
                    <w:jc w:val="right"/>
                    <w:jc w:val="center"/>
                  </w:pPr>
                  <w:r>
                    <w:t xml:space="preserve">0</w:t>
                  </w:r>
                </w:p>
              </w:tc>
            </w:tr>
          </w:tbl>
          <w:bookmarkEnd w:id="103"/>
          <w:p/>
        </w:tc>
      </w:tr>
    </w:tbl>
    <w:p>
      <w:pPr>
        <w:pStyle w:val="BodyText"/>
      </w:pPr>
      <w:r>
        <w:t xml:space="preserve"> </w:t>
      </w:r>
    </w:p>
    <w:tbl>
      <w:tblPr>
        <w:tblStyle w:val="Table"/>
        <w:tblW w:type="pct" w:w="5000"/>
        <w:jc w:val="left"/>
        <w:tblLayout w:type="fixed"/>
        <w:tblLook w:firstRow="0" w:lastRow="0" w:firstColumn="0" w:lastColumn="0" w:noHBand="0" w:noVBand="0" w:val="0000"/>
      </w:tblPr>
      <w:tblGrid>
        <w:gridCol w:w="7920"/>
      </w:tblGrid>
      <w:tr>
        <w:tc>
          <w:tcPr/>
          <w:bookmarkStart w:id="104" w:name="tbl-rq3-waic"/>
          <w:p>
            <w:pPr>
              <w:jc w:val="center"/>
            </w:pPr>
            <w:pPr>
              <w:jc w:val="start"/>
              <w:spacing w:before="200"/>
              <w:pStyle w:val="ImageCaption"/>
            </w:pPr>
            <w:r>
              <w:t xml:space="preserve">Table 8: WAIC comparison for all models</w:t>
            </w:r>
          </w:p>
          <w:tbl>
            <w:tblPr>
              <w:tblStyle w:val="Table"/>
              <w:tblW w:type="auto" w:w="0"/>
              <w:jc w:val="left"/>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jc w:val="center"/>
                  </w:pPr>
                  <w:r>
                    <w:t xml:space="preserve">Model</w:t>
                  </w:r>
                </w:p>
              </w:tc>
              <w:tc>
                <w:tcPr/>
                <w:p>
                  <w:pPr>
                    <w:pStyle w:val="Compact"/>
                    <w:jc w:val="right"/>
                    <w:jc w:val="center"/>
                  </w:pPr>
                  <w:r>
                    <w:t xml:space="preserve">DIC</w:t>
                  </w:r>
                </w:p>
              </w:tc>
              <w:tc>
                <w:tcPr/>
                <w:p>
                  <w:pPr>
                    <w:pStyle w:val="Compact"/>
                    <w:jc w:val="right"/>
                    <w:jc w:val="center"/>
                  </w:pPr>
                  <w:r>
                    <w:t xml:space="preserve">WAIC</w:t>
                  </w:r>
                </w:p>
              </w:tc>
              <w:tc>
                <w:tcPr/>
                <w:p>
                  <w:pPr>
                    <w:pStyle w:val="Compact"/>
                    <w:jc w:val="right"/>
                    <w:jc w:val="center"/>
                  </w:pPr>
                  <w:r>
                    <w:t xml:space="preserve">SE</w:t>
                  </w:r>
                </w:p>
              </w:tc>
              <w:tc>
                <w:tcPr/>
                <w:p>
                  <w:pPr>
                    <w:pStyle w:val="Compact"/>
                    <w:jc w:val="right"/>
                    <w:jc w:val="center"/>
                  </w:pPr>
                  <w:r>
                    <w:t xml:space="preserve">dWAIC</w:t>
                  </w:r>
                </w:p>
              </w:tc>
              <w:tc>
                <w:tcPr/>
                <w:p>
                  <w:pPr>
                    <w:pStyle w:val="Compact"/>
                    <w:jc w:val="right"/>
                    <w:jc w:val="center"/>
                  </w:pPr>
                  <w:r>
                    <w:t xml:space="preserve">dSE</w:t>
                  </w:r>
                </w:p>
              </w:tc>
              <w:tc>
                <w:tcPr/>
                <w:p>
                  <w:pPr>
                    <w:pStyle w:val="Compact"/>
                    <w:jc w:val="right"/>
                    <w:jc w:val="center"/>
                  </w:pPr>
                  <w:r>
                    <w:t xml:space="preserve">pWAIC</w:t>
                  </w:r>
                </w:p>
              </w:tc>
              <w:tc>
                <w:tcPr/>
                <w:p>
                  <w:pPr>
                    <w:pStyle w:val="Compact"/>
                    <w:jc w:val="right"/>
                    <w:jc w:val="center"/>
                  </w:pPr>
                  <w:r>
                    <w:t xml:space="preserve">weight</w:t>
                  </w:r>
                </w:p>
              </w:tc>
            </w:tr>
            <w:tr>
              <w:tc>
                <w:tcPr/>
                <w:p>
                  <w:pPr>
                    <w:pStyle w:val="Compact"/>
                    <w:jc w:val="center"/>
                    <w:jc w:val="center"/>
                  </w:pPr>
                  <w:r>
                    <w:t xml:space="preserve">11</w:t>
                  </w:r>
                </w:p>
              </w:tc>
              <w:tc>
                <w:tcPr/>
                <w:p>
                  <w:pPr>
                    <w:pStyle w:val="Compact"/>
                    <w:jc w:val="right"/>
                    <w:jc w:val="center"/>
                  </w:pPr>
                  <w:r>
                    <w:t xml:space="preserve">-9741.51</w:t>
                  </w:r>
                </w:p>
              </w:tc>
              <w:tc>
                <w:tcPr/>
                <w:p>
                  <w:pPr>
                    <w:pStyle w:val="Compact"/>
                    <w:jc w:val="right"/>
                    <w:jc w:val="center"/>
                  </w:pPr>
                  <w:r>
                    <w:t xml:space="preserve">-9632.24</w:t>
                  </w:r>
                </w:p>
              </w:tc>
              <w:tc>
                <w:tcPr/>
                <w:p>
                  <w:pPr>
                    <w:pStyle w:val="Compact"/>
                    <w:jc w:val="right"/>
                    <w:jc w:val="center"/>
                  </w:pPr>
                  <w:r>
                    <w:t xml:space="preserve">276.80</w:t>
                  </w:r>
                </w:p>
              </w:tc>
              <w:tc>
                <w:tcPr/>
                <w:p>
                  <w:pPr>
                    <w:pStyle w:val="Compact"/>
                    <w:jc w:val="right"/>
                    <w:jc w:val="center"/>
                  </w:pPr>
                  <w:r>
                    <w:t xml:space="preserve">0.00</w:t>
                  </w:r>
                </w:p>
              </w:tc>
              <w:tc>
                <w:tcPr/>
                <w:p>
                  <w:pPr>
                    <w:pStyle w:val="Compact"/>
                  </w:pPr>
                </w:p>
              </w:tc>
              <w:tc>
                <w:tcPr/>
                <w:p>
                  <w:pPr>
                    <w:pStyle w:val="Compact"/>
                    <w:jc w:val="right"/>
                    <w:jc w:val="center"/>
                  </w:pPr>
                  <w:r>
                    <w:t xml:space="preserve">54.63</w:t>
                  </w:r>
                </w:p>
              </w:tc>
              <w:tc>
                <w:tcPr/>
                <w:p>
                  <w:pPr>
                    <w:pStyle w:val="Compact"/>
                    <w:jc w:val="right"/>
                    <w:jc w:val="center"/>
                  </w:pPr>
                  <w:r>
                    <w:t xml:space="preserve">0.46</w:t>
                  </w:r>
                </w:p>
              </w:tc>
            </w:tr>
            <w:tr>
              <w:tc>
                <w:tcPr/>
                <w:p>
                  <w:pPr>
                    <w:pStyle w:val="Compact"/>
                    <w:jc w:val="center"/>
                    <w:jc w:val="center"/>
                  </w:pPr>
                  <w:r>
                    <w:t xml:space="preserve">12</w:t>
                  </w:r>
                </w:p>
              </w:tc>
              <w:tc>
                <w:tcPr/>
                <w:p>
                  <w:pPr>
                    <w:pStyle w:val="Compact"/>
                    <w:jc w:val="right"/>
                    <w:jc w:val="center"/>
                  </w:pPr>
                  <w:r>
                    <w:t xml:space="preserve">-9741.49</w:t>
                  </w:r>
                </w:p>
              </w:tc>
              <w:tc>
                <w:tcPr/>
                <w:p>
                  <w:pPr>
                    <w:pStyle w:val="Compact"/>
                    <w:jc w:val="right"/>
                    <w:jc w:val="center"/>
                  </w:pPr>
                  <w:r>
                    <w:t xml:space="preserve">-9631.66</w:t>
                  </w:r>
                </w:p>
              </w:tc>
              <w:tc>
                <w:tcPr/>
                <w:p>
                  <w:pPr>
                    <w:pStyle w:val="Compact"/>
                    <w:jc w:val="right"/>
                    <w:jc w:val="center"/>
                  </w:pPr>
                  <w:r>
                    <w:t xml:space="preserve">276.82</w:t>
                  </w:r>
                </w:p>
              </w:tc>
              <w:tc>
                <w:tcPr/>
                <w:p>
                  <w:pPr>
                    <w:pStyle w:val="Compact"/>
                    <w:jc w:val="right"/>
                    <w:jc w:val="center"/>
                  </w:pPr>
                  <w:r>
                    <w:t xml:space="preserve">0.58</w:t>
                  </w:r>
                </w:p>
              </w:tc>
              <w:tc>
                <w:tcPr/>
                <w:p>
                  <w:pPr>
                    <w:pStyle w:val="Compact"/>
                    <w:jc w:val="right"/>
                    <w:jc w:val="center"/>
                  </w:pPr>
                  <w:r>
                    <w:t xml:space="preserve">1.00</w:t>
                  </w:r>
                </w:p>
              </w:tc>
              <w:tc>
                <w:tcPr/>
                <w:p>
                  <w:pPr>
                    <w:pStyle w:val="Compact"/>
                    <w:jc w:val="right"/>
                    <w:jc w:val="center"/>
                  </w:pPr>
                  <w:r>
                    <w:t xml:space="preserve">54.91</w:t>
                  </w:r>
                </w:p>
              </w:tc>
              <w:tc>
                <w:tcPr/>
                <w:p>
                  <w:pPr>
                    <w:pStyle w:val="Compact"/>
                    <w:jc w:val="right"/>
                    <w:jc w:val="center"/>
                  </w:pPr>
                  <w:r>
                    <w:t xml:space="preserve">0.34</w:t>
                  </w:r>
                </w:p>
              </w:tc>
            </w:tr>
            <w:tr>
              <w:tc>
                <w:tcPr/>
                <w:p>
                  <w:pPr>
                    <w:pStyle w:val="Compact"/>
                    <w:jc w:val="center"/>
                    <w:jc w:val="center"/>
                  </w:pPr>
                  <w:r>
                    <w:t xml:space="preserve">10</w:t>
                  </w:r>
                </w:p>
              </w:tc>
              <w:tc>
                <w:tcPr/>
                <w:p>
                  <w:pPr>
                    <w:pStyle w:val="Compact"/>
                    <w:jc w:val="right"/>
                    <w:jc w:val="center"/>
                  </w:pPr>
                  <w:r>
                    <w:t xml:space="preserve">-9741.66</w:t>
                  </w:r>
                </w:p>
              </w:tc>
              <w:tc>
                <w:tcPr/>
                <w:p>
                  <w:pPr>
                    <w:pStyle w:val="Compact"/>
                    <w:jc w:val="right"/>
                    <w:jc w:val="center"/>
                  </w:pPr>
                  <w:r>
                    <w:t xml:space="preserve">-9630.63</w:t>
                  </w:r>
                </w:p>
              </w:tc>
              <w:tc>
                <w:tcPr/>
                <w:p>
                  <w:pPr>
                    <w:pStyle w:val="Compact"/>
                    <w:jc w:val="right"/>
                    <w:jc w:val="center"/>
                  </w:pPr>
                  <w:r>
                    <w:t xml:space="preserve">276.64</w:t>
                  </w:r>
                </w:p>
              </w:tc>
              <w:tc>
                <w:tcPr/>
                <w:p>
                  <w:pPr>
                    <w:pStyle w:val="Compact"/>
                    <w:jc w:val="right"/>
                    <w:jc w:val="center"/>
                  </w:pPr>
                  <w:r>
                    <w:t xml:space="preserve">1.61</w:t>
                  </w:r>
                </w:p>
              </w:tc>
              <w:tc>
                <w:tcPr/>
                <w:p>
                  <w:pPr>
                    <w:pStyle w:val="Compact"/>
                    <w:jc w:val="right"/>
                    <w:jc w:val="center"/>
                  </w:pPr>
                  <w:r>
                    <w:t xml:space="preserve">2.97</w:t>
                  </w:r>
                </w:p>
              </w:tc>
              <w:tc>
                <w:tcPr/>
                <w:p>
                  <w:pPr>
                    <w:pStyle w:val="Compact"/>
                    <w:jc w:val="right"/>
                    <w:jc w:val="center"/>
                  </w:pPr>
                  <w:r>
                    <w:t xml:space="preserve">55.52</w:t>
                  </w:r>
                </w:p>
              </w:tc>
              <w:tc>
                <w:tcPr/>
                <w:p>
                  <w:pPr>
                    <w:pStyle w:val="Compact"/>
                    <w:jc w:val="right"/>
                    <w:jc w:val="center"/>
                  </w:pPr>
                  <w:r>
                    <w:t xml:space="preserve">0.20</w:t>
                  </w:r>
                </w:p>
              </w:tc>
            </w:tr>
            <w:tr>
              <w:tc>
                <w:tcPr/>
                <w:p>
                  <w:pPr>
                    <w:pStyle w:val="Compact"/>
                    <w:jc w:val="center"/>
                    <w:jc w:val="center"/>
                  </w:pPr>
                  <w:r>
                    <w:t xml:space="preserve">9</w:t>
                  </w:r>
                </w:p>
              </w:tc>
              <w:tc>
                <w:tcPr/>
                <w:p>
                  <w:pPr>
                    <w:pStyle w:val="Compact"/>
                    <w:jc w:val="right"/>
                    <w:jc w:val="center"/>
                  </w:pPr>
                  <w:r>
                    <w:t xml:space="preserve">-9649.15</w:t>
                  </w:r>
                </w:p>
              </w:tc>
              <w:tc>
                <w:tcPr/>
                <w:p>
                  <w:pPr>
                    <w:pStyle w:val="Compact"/>
                    <w:jc w:val="right"/>
                    <w:jc w:val="center"/>
                  </w:pPr>
                  <w:r>
                    <w:t xml:space="preserve">-9586.67</w:t>
                  </w:r>
                </w:p>
              </w:tc>
              <w:tc>
                <w:tcPr/>
                <w:p>
                  <w:pPr>
                    <w:pStyle w:val="Compact"/>
                    <w:jc w:val="right"/>
                    <w:jc w:val="center"/>
                  </w:pPr>
                  <w:r>
                    <w:t xml:space="preserve">274.35</w:t>
                  </w:r>
                </w:p>
              </w:tc>
              <w:tc>
                <w:tcPr/>
                <w:p>
                  <w:pPr>
                    <w:pStyle w:val="Compact"/>
                    <w:jc w:val="right"/>
                    <w:jc w:val="center"/>
                  </w:pPr>
                  <w:r>
                    <w:t xml:space="preserve">45.56</w:t>
                  </w:r>
                </w:p>
              </w:tc>
              <w:tc>
                <w:tcPr/>
                <w:p>
                  <w:pPr>
                    <w:pStyle w:val="Compact"/>
                    <w:jc w:val="right"/>
                    <w:jc w:val="center"/>
                  </w:pPr>
                  <w:r>
                    <w:t xml:space="preserve">18.01</w:t>
                  </w:r>
                </w:p>
              </w:tc>
              <w:tc>
                <w:tcPr/>
                <w:p>
                  <w:pPr>
                    <w:pStyle w:val="Compact"/>
                    <w:jc w:val="right"/>
                    <w:jc w:val="center"/>
                  </w:pPr>
                  <w:r>
                    <w:t xml:space="preserve">31.24</w:t>
                  </w:r>
                </w:p>
              </w:tc>
              <w:tc>
                <w:tcPr/>
                <w:p>
                  <w:pPr>
                    <w:pStyle w:val="Compact"/>
                    <w:jc w:val="right"/>
                    <w:jc w:val="center"/>
                  </w:pPr>
                  <w:r>
                    <w:t xml:space="preserve">0.00</w:t>
                  </w:r>
                </w:p>
              </w:tc>
            </w:tr>
            <w:tr>
              <w:tc>
                <w:tcPr/>
                <w:p>
                  <w:pPr>
                    <w:pStyle w:val="Compact"/>
                    <w:jc w:val="center"/>
                    <w:jc w:val="center"/>
                  </w:pPr>
                  <w:r>
                    <w:t xml:space="preserve">8</w:t>
                  </w:r>
                </w:p>
              </w:tc>
              <w:tc>
                <w:tcPr/>
                <w:p>
                  <w:pPr>
                    <w:pStyle w:val="Compact"/>
                    <w:jc w:val="right"/>
                    <w:jc w:val="center"/>
                  </w:pPr>
                  <w:r>
                    <w:t xml:space="preserve">-9649.05</w:t>
                  </w:r>
                </w:p>
              </w:tc>
              <w:tc>
                <w:tcPr/>
                <w:p>
                  <w:pPr>
                    <w:pStyle w:val="Compact"/>
                    <w:jc w:val="right"/>
                    <w:jc w:val="center"/>
                  </w:pPr>
                  <w:r>
                    <w:t xml:space="preserve">-9586.41</w:t>
                  </w:r>
                </w:p>
              </w:tc>
              <w:tc>
                <w:tcPr/>
                <w:p>
                  <w:pPr>
                    <w:pStyle w:val="Compact"/>
                    <w:jc w:val="right"/>
                    <w:jc w:val="center"/>
                  </w:pPr>
                  <w:r>
                    <w:t xml:space="preserve">274.33</w:t>
                  </w:r>
                </w:p>
              </w:tc>
              <w:tc>
                <w:tcPr/>
                <w:p>
                  <w:pPr>
                    <w:pStyle w:val="Compact"/>
                    <w:jc w:val="right"/>
                    <w:jc w:val="center"/>
                  </w:pPr>
                  <w:r>
                    <w:t xml:space="preserve">45.83</w:t>
                  </w:r>
                </w:p>
              </w:tc>
              <w:tc>
                <w:tcPr/>
                <w:p>
                  <w:pPr>
                    <w:pStyle w:val="Compact"/>
                    <w:jc w:val="right"/>
                    <w:jc w:val="center"/>
                  </w:pPr>
                  <w:r>
                    <w:t xml:space="preserve">18.01</w:t>
                  </w:r>
                </w:p>
              </w:tc>
              <w:tc>
                <w:tcPr/>
                <w:p>
                  <w:pPr>
                    <w:pStyle w:val="Compact"/>
                    <w:jc w:val="right"/>
                    <w:jc w:val="center"/>
                  </w:pPr>
                  <w:r>
                    <w:t xml:space="preserve">31.32</w:t>
                  </w:r>
                </w:p>
              </w:tc>
              <w:tc>
                <w:tcPr/>
                <w:p>
                  <w:pPr>
                    <w:pStyle w:val="Compact"/>
                    <w:jc w:val="right"/>
                    <w:jc w:val="center"/>
                  </w:pPr>
                  <w:r>
                    <w:t xml:space="preserve">0.00</w:t>
                  </w:r>
                </w:p>
              </w:tc>
            </w:tr>
            <w:tr>
              <w:tc>
                <w:tcPr/>
                <w:p>
                  <w:pPr>
                    <w:pStyle w:val="Compact"/>
                    <w:jc w:val="center"/>
                    <w:jc w:val="center"/>
                  </w:pPr>
                  <w:r>
                    <w:t xml:space="preserve">7</w:t>
                  </w:r>
                </w:p>
              </w:tc>
              <w:tc>
                <w:tcPr/>
                <w:p>
                  <w:pPr>
                    <w:pStyle w:val="Compact"/>
                    <w:jc w:val="right"/>
                    <w:jc w:val="center"/>
                  </w:pPr>
                  <w:r>
                    <w:t xml:space="preserve">-9649.54</w:t>
                  </w:r>
                </w:p>
              </w:tc>
              <w:tc>
                <w:tcPr/>
                <w:p>
                  <w:pPr>
                    <w:pStyle w:val="Compact"/>
                    <w:jc w:val="right"/>
                    <w:jc w:val="center"/>
                  </w:pPr>
                  <w:r>
                    <w:t xml:space="preserve">-9586.00</w:t>
                  </w:r>
                </w:p>
              </w:tc>
              <w:tc>
                <w:tcPr/>
                <w:p>
                  <w:pPr>
                    <w:pStyle w:val="Compact"/>
                    <w:jc w:val="right"/>
                    <w:jc w:val="center"/>
                  </w:pPr>
                  <w:r>
                    <w:t xml:space="preserve">274.50</w:t>
                  </w:r>
                </w:p>
              </w:tc>
              <w:tc>
                <w:tcPr/>
                <w:p>
                  <w:pPr>
                    <w:pStyle w:val="Compact"/>
                    <w:jc w:val="right"/>
                    <w:jc w:val="center"/>
                  </w:pPr>
                  <w:r>
                    <w:t xml:space="preserve">46.24</w:t>
                  </w:r>
                </w:p>
              </w:tc>
              <w:tc>
                <w:tcPr/>
                <w:p>
                  <w:pPr>
                    <w:pStyle w:val="Compact"/>
                    <w:jc w:val="right"/>
                    <w:jc w:val="center"/>
                  </w:pPr>
                  <w:r>
                    <w:t xml:space="preserve">18.19</w:t>
                  </w:r>
                </w:p>
              </w:tc>
              <w:tc>
                <w:tcPr/>
                <w:p>
                  <w:pPr>
                    <w:pStyle w:val="Compact"/>
                    <w:jc w:val="right"/>
                    <w:jc w:val="center"/>
                  </w:pPr>
                  <w:r>
                    <w:t xml:space="preserve">31.77</w:t>
                  </w:r>
                </w:p>
              </w:tc>
              <w:tc>
                <w:tcPr/>
                <w:p>
                  <w:pPr>
                    <w:pStyle w:val="Compact"/>
                    <w:jc w:val="right"/>
                    <w:jc w:val="center"/>
                  </w:pPr>
                  <w:r>
                    <w:t xml:space="preserve">0.00</w:t>
                  </w:r>
                </w:p>
              </w:tc>
            </w:tr>
            <w:tr>
              <w:tc>
                <w:tcPr/>
                <w:p>
                  <w:pPr>
                    <w:pStyle w:val="Compact"/>
                    <w:jc w:val="center"/>
                    <w:jc w:val="center"/>
                  </w:pPr>
                  <w:r>
                    <w:t xml:space="preserve">6</w:t>
                  </w:r>
                </w:p>
              </w:tc>
              <w:tc>
                <w:tcPr/>
                <w:p>
                  <w:pPr>
                    <w:pStyle w:val="Compact"/>
                    <w:jc w:val="right"/>
                    <w:jc w:val="center"/>
                  </w:pPr>
                  <w:r>
                    <w:t xml:space="preserve">-2669.28</w:t>
                  </w:r>
                </w:p>
              </w:tc>
              <w:tc>
                <w:tcPr/>
                <w:p>
                  <w:pPr>
                    <w:pStyle w:val="Compact"/>
                    <w:jc w:val="right"/>
                    <w:jc w:val="center"/>
                  </w:pPr>
                  <w:r>
                    <w:t xml:space="preserve">-2027.11</w:t>
                  </w:r>
                </w:p>
              </w:tc>
              <w:tc>
                <w:tcPr/>
                <w:p>
                  <w:pPr>
                    <w:pStyle w:val="Compact"/>
                    <w:jc w:val="right"/>
                    <w:jc w:val="center"/>
                  </w:pPr>
                  <w:r>
                    <w:t xml:space="preserve">126.86</w:t>
                  </w:r>
                </w:p>
              </w:tc>
              <w:tc>
                <w:tcPr/>
                <w:p>
                  <w:pPr>
                    <w:pStyle w:val="Compact"/>
                    <w:jc w:val="right"/>
                    <w:jc w:val="center"/>
                  </w:pPr>
                  <w:r>
                    <w:t xml:space="preserve">7605.13</w:t>
                  </w:r>
                </w:p>
              </w:tc>
              <w:tc>
                <w:tcPr/>
                <w:p>
                  <w:pPr>
                    <w:pStyle w:val="Compact"/>
                    <w:jc w:val="right"/>
                    <w:jc w:val="center"/>
                  </w:pPr>
                  <w:r>
                    <w:t xml:space="preserve">263.15</w:t>
                  </w:r>
                </w:p>
              </w:tc>
              <w:tc>
                <w:tcPr/>
                <w:p>
                  <w:pPr>
                    <w:pStyle w:val="Compact"/>
                    <w:jc w:val="right"/>
                    <w:jc w:val="center"/>
                  </w:pPr>
                  <w:r>
                    <w:t xml:space="preserve">321.08</w:t>
                  </w:r>
                </w:p>
              </w:tc>
              <w:tc>
                <w:tcPr/>
                <w:p>
                  <w:pPr>
                    <w:pStyle w:val="Compact"/>
                    <w:jc w:val="right"/>
                    <w:jc w:val="center"/>
                  </w:pPr>
                  <w:r>
                    <w:t xml:space="preserve">0.00</w:t>
                  </w:r>
                </w:p>
              </w:tc>
            </w:tr>
            <w:tr>
              <w:tc>
                <w:tcPr/>
                <w:p>
                  <w:pPr>
                    <w:pStyle w:val="Compact"/>
                    <w:jc w:val="center"/>
                    <w:jc w:val="center"/>
                  </w:pPr>
                  <w:r>
                    <w:t xml:space="preserve">4</w:t>
                  </w:r>
                </w:p>
              </w:tc>
              <w:tc>
                <w:tcPr/>
                <w:p>
                  <w:pPr>
                    <w:pStyle w:val="Compact"/>
                    <w:jc w:val="right"/>
                    <w:jc w:val="center"/>
                  </w:pPr>
                  <w:r>
                    <w:t xml:space="preserve">-2670.62</w:t>
                  </w:r>
                </w:p>
              </w:tc>
              <w:tc>
                <w:tcPr/>
                <w:p>
                  <w:pPr>
                    <w:pStyle w:val="Compact"/>
                    <w:jc w:val="right"/>
                    <w:jc w:val="center"/>
                  </w:pPr>
                  <w:r>
                    <w:t xml:space="preserve">-2024.84</w:t>
                  </w:r>
                </w:p>
              </w:tc>
              <w:tc>
                <w:tcPr/>
                <w:p>
                  <w:pPr>
                    <w:pStyle w:val="Compact"/>
                    <w:jc w:val="right"/>
                    <w:jc w:val="center"/>
                  </w:pPr>
                  <w:r>
                    <w:t xml:space="preserve">127.02</w:t>
                  </w:r>
                </w:p>
              </w:tc>
              <w:tc>
                <w:tcPr/>
                <w:p>
                  <w:pPr>
                    <w:pStyle w:val="Compact"/>
                    <w:jc w:val="right"/>
                    <w:jc w:val="center"/>
                  </w:pPr>
                  <w:r>
                    <w:t xml:space="preserve">7607.40</w:t>
                  </w:r>
                </w:p>
              </w:tc>
              <w:tc>
                <w:tcPr/>
                <w:p>
                  <w:pPr>
                    <w:pStyle w:val="Compact"/>
                    <w:jc w:val="right"/>
                    <w:jc w:val="center"/>
                  </w:pPr>
                  <w:r>
                    <w:t xml:space="preserve">263.22</w:t>
                  </w:r>
                </w:p>
              </w:tc>
              <w:tc>
                <w:tcPr/>
                <w:p>
                  <w:pPr>
                    <w:pStyle w:val="Compact"/>
                    <w:jc w:val="right"/>
                    <w:jc w:val="center"/>
                  </w:pPr>
                  <w:r>
                    <w:t xml:space="preserve">322.89</w:t>
                  </w:r>
                </w:p>
              </w:tc>
              <w:tc>
                <w:tcPr/>
                <w:p>
                  <w:pPr>
                    <w:pStyle w:val="Compact"/>
                    <w:jc w:val="right"/>
                    <w:jc w:val="center"/>
                  </w:pPr>
                  <w:r>
                    <w:t xml:space="preserve">0.00</w:t>
                  </w:r>
                </w:p>
              </w:tc>
            </w:tr>
            <w:tr>
              <w:tc>
                <w:tcPr/>
                <w:p>
                  <w:pPr>
                    <w:pStyle w:val="Compact"/>
                    <w:jc w:val="center"/>
                    <w:jc w:val="center"/>
                  </w:pPr>
                  <w:r>
                    <w:t xml:space="preserve">5</w:t>
                  </w:r>
                </w:p>
              </w:tc>
              <w:tc>
                <w:tcPr/>
                <w:p>
                  <w:pPr>
                    <w:pStyle w:val="Compact"/>
                    <w:jc w:val="right"/>
                    <w:jc w:val="center"/>
                  </w:pPr>
                  <w:r>
                    <w:t xml:space="preserve">-2669.28</w:t>
                  </w:r>
                </w:p>
              </w:tc>
              <w:tc>
                <w:tcPr/>
                <w:p>
                  <w:pPr>
                    <w:pStyle w:val="Compact"/>
                    <w:jc w:val="right"/>
                    <w:jc w:val="center"/>
                  </w:pPr>
                  <w:r>
                    <w:t xml:space="preserve">-2024.58</w:t>
                  </w:r>
                </w:p>
              </w:tc>
              <w:tc>
                <w:tcPr/>
                <w:p>
                  <w:pPr>
                    <w:pStyle w:val="Compact"/>
                    <w:jc w:val="right"/>
                    <w:jc w:val="center"/>
                  </w:pPr>
                  <w:r>
                    <w:t xml:space="preserve">127.06</w:t>
                  </w:r>
                </w:p>
              </w:tc>
              <w:tc>
                <w:tcPr/>
                <w:p>
                  <w:pPr>
                    <w:pStyle w:val="Compact"/>
                    <w:jc w:val="right"/>
                    <w:jc w:val="center"/>
                  </w:pPr>
                  <w:r>
                    <w:t xml:space="preserve">7607.66</w:t>
                  </w:r>
                </w:p>
              </w:tc>
              <w:tc>
                <w:tcPr/>
                <w:p>
                  <w:pPr>
                    <w:pStyle w:val="Compact"/>
                    <w:jc w:val="right"/>
                    <w:jc w:val="center"/>
                  </w:pPr>
                  <w:r>
                    <w:t xml:space="preserve">263.24</w:t>
                  </w:r>
                </w:p>
              </w:tc>
              <w:tc>
                <w:tcPr/>
                <w:p>
                  <w:pPr>
                    <w:pStyle w:val="Compact"/>
                    <w:jc w:val="right"/>
                    <w:jc w:val="center"/>
                  </w:pPr>
                  <w:r>
                    <w:t xml:space="preserve">322.35</w:t>
                  </w:r>
                </w:p>
              </w:tc>
              <w:tc>
                <w:tcPr/>
                <w:p>
                  <w:pPr>
                    <w:pStyle w:val="Compact"/>
                    <w:jc w:val="right"/>
                    <w:jc w:val="center"/>
                  </w:pPr>
                  <w:r>
                    <w:t xml:space="preserve">0.00</w:t>
                  </w:r>
                </w:p>
              </w:tc>
            </w:tr>
            <w:tr>
              <w:tc>
                <w:tcPr/>
                <w:p>
                  <w:pPr>
                    <w:pStyle w:val="Compact"/>
                    <w:jc w:val="center"/>
                    <w:jc w:val="center"/>
                  </w:pPr>
                  <w:r>
                    <w:t xml:space="preserve">3</w:t>
                  </w:r>
                </w:p>
              </w:tc>
              <w:tc>
                <w:tcPr/>
                <w:p>
                  <w:pPr>
                    <w:pStyle w:val="Compact"/>
                    <w:jc w:val="right"/>
                    <w:jc w:val="center"/>
                  </w:pPr>
                  <w:r>
                    <w:t xml:space="preserve">-2279.58</w:t>
                  </w:r>
                </w:p>
              </w:tc>
              <w:tc>
                <w:tcPr/>
                <w:p>
                  <w:pPr>
                    <w:pStyle w:val="Compact"/>
                    <w:jc w:val="right"/>
                    <w:jc w:val="center"/>
                  </w:pPr>
                  <w:r>
                    <w:t xml:space="preserve">-1762.08</w:t>
                  </w:r>
                </w:p>
              </w:tc>
              <w:tc>
                <w:tcPr/>
                <w:p>
                  <w:pPr>
                    <w:pStyle w:val="Compact"/>
                    <w:jc w:val="right"/>
                    <w:jc w:val="center"/>
                  </w:pPr>
                  <w:r>
                    <w:t xml:space="preserve">101.79</w:t>
                  </w:r>
                </w:p>
              </w:tc>
              <w:tc>
                <w:tcPr/>
                <w:p>
                  <w:pPr>
                    <w:pStyle w:val="Compact"/>
                    <w:jc w:val="right"/>
                    <w:jc w:val="center"/>
                  </w:pPr>
                  <w:r>
                    <w:t xml:space="preserve">7870.16</w:t>
                  </w:r>
                </w:p>
              </w:tc>
              <w:tc>
                <w:tcPr/>
                <w:p>
                  <w:pPr>
                    <w:pStyle w:val="Compact"/>
                    <w:jc w:val="right"/>
                    <w:jc w:val="center"/>
                  </w:pPr>
                  <w:r>
                    <w:t xml:space="preserve">266.68</w:t>
                  </w:r>
                </w:p>
              </w:tc>
              <w:tc>
                <w:tcPr/>
                <w:p>
                  <w:pPr>
                    <w:pStyle w:val="Compact"/>
                    <w:jc w:val="right"/>
                    <w:jc w:val="center"/>
                  </w:pPr>
                  <w:r>
                    <w:t xml:space="preserve">258.75</w:t>
                  </w:r>
                </w:p>
              </w:tc>
              <w:tc>
                <w:tcPr/>
                <w:p>
                  <w:pPr>
                    <w:pStyle w:val="Compact"/>
                    <w:jc w:val="right"/>
                    <w:jc w:val="center"/>
                  </w:pPr>
                  <w:r>
                    <w:t xml:space="preserve">0.00</w:t>
                  </w:r>
                </w:p>
              </w:tc>
            </w:tr>
            <w:tr>
              <w:tc>
                <w:tcPr/>
                <w:p>
                  <w:pPr>
                    <w:pStyle w:val="Compact"/>
                    <w:jc w:val="center"/>
                    <w:jc w:val="center"/>
                  </w:pPr>
                  <w:r>
                    <w:t xml:space="preserve">1</w:t>
                  </w:r>
                </w:p>
              </w:tc>
              <w:tc>
                <w:tcPr/>
                <w:p>
                  <w:pPr>
                    <w:pStyle w:val="Compact"/>
                    <w:jc w:val="right"/>
                    <w:jc w:val="center"/>
                  </w:pPr>
                  <w:r>
                    <w:t xml:space="preserve">-2278.68</w:t>
                  </w:r>
                </w:p>
              </w:tc>
              <w:tc>
                <w:tcPr/>
                <w:p>
                  <w:pPr>
                    <w:pStyle w:val="Compact"/>
                    <w:jc w:val="right"/>
                    <w:jc w:val="center"/>
                  </w:pPr>
                  <w:r>
                    <w:t xml:space="preserve">-1761.10</w:t>
                  </w:r>
                </w:p>
              </w:tc>
              <w:tc>
                <w:tcPr/>
                <w:p>
                  <w:pPr>
                    <w:pStyle w:val="Compact"/>
                    <w:jc w:val="right"/>
                    <w:jc w:val="center"/>
                  </w:pPr>
                  <w:r>
                    <w:t xml:space="preserve">101.80</w:t>
                  </w:r>
                </w:p>
              </w:tc>
              <w:tc>
                <w:tcPr/>
                <w:p>
                  <w:pPr>
                    <w:pStyle w:val="Compact"/>
                    <w:jc w:val="right"/>
                    <w:jc w:val="center"/>
                  </w:pPr>
                  <w:r>
                    <w:t xml:space="preserve">7871.14</w:t>
                  </w:r>
                </w:p>
              </w:tc>
              <w:tc>
                <w:tcPr/>
                <w:p>
                  <w:pPr>
                    <w:pStyle w:val="Compact"/>
                    <w:jc w:val="right"/>
                    <w:jc w:val="center"/>
                  </w:pPr>
                  <w:r>
                    <w:t xml:space="preserve">266.64</w:t>
                  </w:r>
                </w:p>
              </w:tc>
              <w:tc>
                <w:tcPr/>
                <w:p>
                  <w:pPr>
                    <w:pStyle w:val="Compact"/>
                    <w:jc w:val="right"/>
                    <w:jc w:val="center"/>
                  </w:pPr>
                  <w:r>
                    <w:t xml:space="preserve">258.79</w:t>
                  </w:r>
                </w:p>
              </w:tc>
              <w:tc>
                <w:tcPr/>
                <w:p>
                  <w:pPr>
                    <w:pStyle w:val="Compact"/>
                    <w:jc w:val="right"/>
                    <w:jc w:val="center"/>
                  </w:pPr>
                  <w:r>
                    <w:t xml:space="preserve">0.00</w:t>
                  </w:r>
                </w:p>
              </w:tc>
            </w:tr>
            <w:tr>
              <w:tc>
                <w:tcPr/>
                <w:p>
                  <w:pPr>
                    <w:pStyle w:val="Compact"/>
                    <w:jc w:val="center"/>
                    <w:jc w:val="center"/>
                  </w:pPr>
                  <w:r>
                    <w:t xml:space="preserve">2</w:t>
                  </w:r>
                </w:p>
              </w:tc>
              <w:tc>
                <w:tcPr/>
                <w:p>
                  <w:pPr>
                    <w:pStyle w:val="Compact"/>
                    <w:jc w:val="right"/>
                    <w:jc w:val="center"/>
                  </w:pPr>
                  <w:r>
                    <w:t xml:space="preserve">-2279.35</w:t>
                  </w:r>
                </w:p>
              </w:tc>
              <w:tc>
                <w:tcPr/>
                <w:p>
                  <w:pPr>
                    <w:pStyle w:val="Compact"/>
                    <w:jc w:val="right"/>
                    <w:jc w:val="center"/>
                  </w:pPr>
                  <w:r>
                    <w:t xml:space="preserve">-1760.36</w:t>
                  </w:r>
                </w:p>
              </w:tc>
              <w:tc>
                <w:tcPr/>
                <w:p>
                  <w:pPr>
                    <w:pStyle w:val="Compact"/>
                    <w:jc w:val="right"/>
                    <w:jc w:val="center"/>
                  </w:pPr>
                  <w:r>
                    <w:t xml:space="preserve">101.86</w:t>
                  </w:r>
                </w:p>
              </w:tc>
              <w:tc>
                <w:tcPr/>
                <w:p>
                  <w:pPr>
                    <w:pStyle w:val="Compact"/>
                    <w:jc w:val="right"/>
                    <w:jc w:val="center"/>
                  </w:pPr>
                  <w:r>
                    <w:t xml:space="preserve">7871.88</w:t>
                  </w:r>
                </w:p>
              </w:tc>
              <w:tc>
                <w:tcPr/>
                <w:p>
                  <w:pPr>
                    <w:pStyle w:val="Compact"/>
                    <w:jc w:val="right"/>
                    <w:jc w:val="center"/>
                  </w:pPr>
                  <w:r>
                    <w:t xml:space="preserve">266.69</w:t>
                  </w:r>
                </w:p>
              </w:tc>
              <w:tc>
                <w:tcPr/>
                <w:p>
                  <w:pPr>
                    <w:pStyle w:val="Compact"/>
                    <w:jc w:val="right"/>
                    <w:jc w:val="center"/>
                  </w:pPr>
                  <w:r>
                    <w:t xml:space="preserve">259.49</w:t>
                  </w:r>
                </w:p>
              </w:tc>
              <w:tc>
                <w:tcPr/>
                <w:p>
                  <w:pPr>
                    <w:pStyle w:val="Compact"/>
                    <w:jc w:val="right"/>
                    <w:jc w:val="center"/>
                  </w:pPr>
                  <w:r>
                    <w:t xml:space="preserve">0.00</w:t>
                  </w:r>
                </w:p>
              </w:tc>
            </w:tr>
          </w:tbl>
          <w:bookmarkEnd w:id="104"/>
          <w:p/>
        </w:tc>
      </w:tr>
    </w:tbl>
    <w:p>
      <w:pPr>
        <w:pStyle w:val="BodyText"/>
      </w:pPr>
      <w:r>
        <w:t xml:space="preserve"> </w:t>
      </w:r>
    </w:p>
    <w:tbl>
      <w:tblPr>
        <w:tblStyle w:val="Table"/>
        <w:tblW w:type="pct" w:w="5000"/>
        <w:jc w:val="left"/>
        <w:tblLayout w:type="fixed"/>
        <w:tblLook w:firstRow="0" w:lastRow="0" w:firstColumn="0" w:lastColumn="0" w:noHBand="0" w:noVBand="0" w:val="0000"/>
      </w:tblPr>
      <w:tblGrid>
        <w:gridCol w:w="7920"/>
      </w:tblGrid>
      <w:tr>
        <w:tc>
          <w:tcPr/>
          <w:bookmarkStart w:id="105" w:name="tbl-rq3-psis"/>
          <w:p>
            <w:pPr>
              <w:jc w:val="center"/>
            </w:pPr>
            <w:pPr>
              <w:jc w:val="start"/>
              <w:spacing w:before="200"/>
              <w:pStyle w:val="ImageCaption"/>
            </w:pPr>
            <w:r>
              <w:t xml:space="preserve">Table 9: PSIS comparison for all models</w:t>
            </w:r>
          </w:p>
          <w:tbl>
            <w:tblPr>
              <w:tblStyle w:val="Table"/>
              <w:tblW w:type="auto" w:w="0"/>
              <w:jc w:val="left"/>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jc w:val="center"/>
                  </w:pPr>
                  <w:r>
                    <w:t xml:space="preserve">Model</w:t>
                  </w:r>
                </w:p>
              </w:tc>
              <w:tc>
                <w:tcPr/>
                <w:p>
                  <w:pPr>
                    <w:pStyle w:val="Compact"/>
                    <w:jc w:val="right"/>
                    <w:jc w:val="center"/>
                  </w:pPr>
                  <w:r>
                    <w:t xml:space="preserve">DIC</w:t>
                  </w:r>
                </w:p>
              </w:tc>
              <w:tc>
                <w:tcPr/>
                <w:p>
                  <w:pPr>
                    <w:pStyle w:val="Compact"/>
                    <w:jc w:val="right"/>
                    <w:jc w:val="center"/>
                  </w:pPr>
                  <w:r>
                    <w:t xml:space="preserve">PSIS</w:t>
                  </w:r>
                </w:p>
              </w:tc>
              <w:tc>
                <w:tcPr/>
                <w:p>
                  <w:pPr>
                    <w:pStyle w:val="Compact"/>
                    <w:jc w:val="right"/>
                    <w:jc w:val="center"/>
                  </w:pPr>
                  <w:r>
                    <w:t xml:space="preserve">SE</w:t>
                  </w:r>
                </w:p>
              </w:tc>
              <w:tc>
                <w:tcPr/>
                <w:p>
                  <w:pPr>
                    <w:pStyle w:val="Compact"/>
                    <w:jc w:val="right"/>
                    <w:jc w:val="center"/>
                  </w:pPr>
                  <w:r>
                    <w:t xml:space="preserve">dPSIS</w:t>
                  </w:r>
                </w:p>
              </w:tc>
              <w:tc>
                <w:tcPr/>
                <w:p>
                  <w:pPr>
                    <w:pStyle w:val="Compact"/>
                    <w:jc w:val="right"/>
                    <w:jc w:val="center"/>
                  </w:pPr>
                  <w:r>
                    <w:t xml:space="preserve">dSE</w:t>
                  </w:r>
                </w:p>
              </w:tc>
              <w:tc>
                <w:tcPr/>
                <w:p>
                  <w:pPr>
                    <w:pStyle w:val="Compact"/>
                    <w:jc w:val="right"/>
                    <w:jc w:val="center"/>
                  </w:pPr>
                  <w:r>
                    <w:t xml:space="preserve">pPSIS</w:t>
                  </w:r>
                </w:p>
              </w:tc>
              <w:tc>
                <w:tcPr/>
                <w:p>
                  <w:pPr>
                    <w:pStyle w:val="Compact"/>
                    <w:jc w:val="right"/>
                    <w:jc w:val="center"/>
                  </w:pPr>
                  <w:r>
                    <w:t xml:space="preserve">weight</w:t>
                  </w:r>
                </w:p>
              </w:tc>
            </w:tr>
            <w:tr>
              <w:tc>
                <w:tcPr/>
                <w:p>
                  <w:pPr>
                    <w:pStyle w:val="Compact"/>
                    <w:jc w:val="center"/>
                    <w:jc w:val="center"/>
                  </w:pPr>
                  <w:r>
                    <w:t xml:space="preserve">11</w:t>
                  </w:r>
                </w:p>
              </w:tc>
              <w:tc>
                <w:tcPr/>
                <w:p>
                  <w:pPr>
                    <w:pStyle w:val="Compact"/>
                    <w:jc w:val="right"/>
                    <w:jc w:val="center"/>
                  </w:pPr>
                  <w:r>
                    <w:t xml:space="preserve">-9741.51</w:t>
                  </w:r>
                </w:p>
              </w:tc>
              <w:tc>
                <w:tcPr/>
                <w:p>
                  <w:pPr>
                    <w:pStyle w:val="Compact"/>
                    <w:jc w:val="right"/>
                    <w:jc w:val="center"/>
                  </w:pPr>
                  <w:r>
                    <w:t xml:space="preserve">-9631.16</w:t>
                  </w:r>
                </w:p>
              </w:tc>
              <w:tc>
                <w:tcPr/>
                <w:p>
                  <w:pPr>
                    <w:pStyle w:val="Compact"/>
                    <w:jc w:val="right"/>
                    <w:jc w:val="center"/>
                  </w:pPr>
                  <w:r>
                    <w:t xml:space="preserve">276.88</w:t>
                  </w:r>
                </w:p>
              </w:tc>
              <w:tc>
                <w:tcPr/>
                <w:p>
                  <w:pPr>
                    <w:pStyle w:val="Compact"/>
                    <w:jc w:val="right"/>
                    <w:jc w:val="center"/>
                  </w:pPr>
                  <w:r>
                    <w:t xml:space="preserve">0.00</w:t>
                  </w:r>
                </w:p>
              </w:tc>
              <w:tc>
                <w:tcPr/>
                <w:p>
                  <w:pPr>
                    <w:pStyle w:val="Compact"/>
                  </w:pPr>
                </w:p>
              </w:tc>
              <w:tc>
                <w:tcPr/>
                <w:p>
                  <w:pPr>
                    <w:pStyle w:val="Compact"/>
                    <w:jc w:val="right"/>
                    <w:jc w:val="center"/>
                  </w:pPr>
                  <w:r>
                    <w:t xml:space="preserve">55.17</w:t>
                  </w:r>
                </w:p>
              </w:tc>
              <w:tc>
                <w:tcPr/>
                <w:p>
                  <w:pPr>
                    <w:pStyle w:val="Compact"/>
                    <w:jc w:val="right"/>
                    <w:jc w:val="center"/>
                  </w:pPr>
                  <w:r>
                    <w:t xml:space="preserve">0.46</w:t>
                  </w:r>
                </w:p>
              </w:tc>
            </w:tr>
            <w:tr>
              <w:tc>
                <w:tcPr/>
                <w:p>
                  <w:pPr>
                    <w:pStyle w:val="Compact"/>
                    <w:jc w:val="center"/>
                    <w:jc w:val="center"/>
                  </w:pPr>
                  <w:r>
                    <w:t xml:space="preserve">12</w:t>
                  </w:r>
                </w:p>
              </w:tc>
              <w:tc>
                <w:tcPr/>
                <w:p>
                  <w:pPr>
                    <w:pStyle w:val="Compact"/>
                    <w:jc w:val="right"/>
                    <w:jc w:val="center"/>
                  </w:pPr>
                  <w:r>
                    <w:t xml:space="preserve">-9741.49</w:t>
                  </w:r>
                </w:p>
              </w:tc>
              <w:tc>
                <w:tcPr/>
                <w:p>
                  <w:pPr>
                    <w:pStyle w:val="Compact"/>
                    <w:jc w:val="right"/>
                    <w:jc w:val="center"/>
                  </w:pPr>
                  <w:r>
                    <w:t xml:space="preserve">-9630.70</w:t>
                  </w:r>
                </w:p>
              </w:tc>
              <w:tc>
                <w:tcPr/>
                <w:p>
                  <w:pPr>
                    <w:pStyle w:val="Compact"/>
                    <w:jc w:val="right"/>
                    <w:jc w:val="center"/>
                  </w:pPr>
                  <w:r>
                    <w:t xml:space="preserve">276.90</w:t>
                  </w:r>
                </w:p>
              </w:tc>
              <w:tc>
                <w:tcPr/>
                <w:p>
                  <w:pPr>
                    <w:pStyle w:val="Compact"/>
                    <w:jc w:val="right"/>
                    <w:jc w:val="center"/>
                  </w:pPr>
                  <w:r>
                    <w:t xml:space="preserve">0.47</w:t>
                  </w:r>
                </w:p>
              </w:tc>
              <w:tc>
                <w:tcPr/>
                <w:p>
                  <w:pPr>
                    <w:pStyle w:val="Compact"/>
                    <w:jc w:val="right"/>
                    <w:jc w:val="center"/>
                  </w:pPr>
                  <w:r>
                    <w:t xml:space="preserve">1.01</w:t>
                  </w:r>
                </w:p>
              </w:tc>
              <w:tc>
                <w:tcPr/>
                <w:p>
                  <w:pPr>
                    <w:pStyle w:val="Compact"/>
                    <w:jc w:val="right"/>
                    <w:jc w:val="center"/>
                  </w:pPr>
                  <w:r>
                    <w:t xml:space="preserve">55.39</w:t>
                  </w:r>
                </w:p>
              </w:tc>
              <w:tc>
                <w:tcPr/>
                <w:p>
                  <w:pPr>
                    <w:pStyle w:val="Compact"/>
                    <w:jc w:val="right"/>
                    <w:jc w:val="center"/>
                  </w:pPr>
                  <w:r>
                    <w:t xml:space="preserve">0.36</w:t>
                  </w:r>
                </w:p>
              </w:tc>
            </w:tr>
            <w:tr>
              <w:tc>
                <w:tcPr/>
                <w:p>
                  <w:pPr>
                    <w:pStyle w:val="Compact"/>
                    <w:jc w:val="center"/>
                    <w:jc w:val="center"/>
                  </w:pPr>
                  <w:r>
                    <w:t xml:space="preserve">10</w:t>
                  </w:r>
                </w:p>
              </w:tc>
              <w:tc>
                <w:tcPr/>
                <w:p>
                  <w:pPr>
                    <w:pStyle w:val="Compact"/>
                    <w:jc w:val="right"/>
                    <w:jc w:val="center"/>
                  </w:pPr>
                  <w:r>
                    <w:t xml:space="preserve">-9741.66</w:t>
                  </w:r>
                </w:p>
              </w:tc>
              <w:tc>
                <w:tcPr/>
                <w:p>
                  <w:pPr>
                    <w:pStyle w:val="Compact"/>
                    <w:jc w:val="right"/>
                    <w:jc w:val="center"/>
                  </w:pPr>
                  <w:r>
                    <w:t xml:space="preserve">-9629.27</w:t>
                  </w:r>
                </w:p>
              </w:tc>
              <w:tc>
                <w:tcPr/>
                <w:p>
                  <w:pPr>
                    <w:pStyle w:val="Compact"/>
                    <w:jc w:val="right"/>
                    <w:jc w:val="center"/>
                  </w:pPr>
                  <w:r>
                    <w:t xml:space="preserve">276.74</w:t>
                  </w:r>
                </w:p>
              </w:tc>
              <w:tc>
                <w:tcPr/>
                <w:p>
                  <w:pPr>
                    <w:pStyle w:val="Compact"/>
                    <w:jc w:val="right"/>
                    <w:jc w:val="center"/>
                  </w:pPr>
                  <w:r>
                    <w:t xml:space="preserve">1.89</w:t>
                  </w:r>
                </w:p>
              </w:tc>
              <w:tc>
                <w:tcPr/>
                <w:p>
                  <w:pPr>
                    <w:pStyle w:val="Compact"/>
                    <w:jc w:val="right"/>
                    <w:jc w:val="center"/>
                  </w:pPr>
                  <w:r>
                    <w:t xml:space="preserve">2.84</w:t>
                  </w:r>
                </w:p>
              </w:tc>
              <w:tc>
                <w:tcPr/>
                <w:p>
                  <w:pPr>
                    <w:pStyle w:val="Compact"/>
                    <w:jc w:val="right"/>
                    <w:jc w:val="center"/>
                  </w:pPr>
                  <w:r>
                    <w:t xml:space="preserve">56.19</w:t>
                  </w:r>
                </w:p>
              </w:tc>
              <w:tc>
                <w:tcPr/>
                <w:p>
                  <w:pPr>
                    <w:pStyle w:val="Compact"/>
                    <w:jc w:val="right"/>
                    <w:jc w:val="center"/>
                  </w:pPr>
                  <w:r>
                    <w:t xml:space="preserve">0.18</w:t>
                  </w:r>
                </w:p>
              </w:tc>
            </w:tr>
            <w:tr>
              <w:tc>
                <w:tcPr/>
                <w:p>
                  <w:pPr>
                    <w:pStyle w:val="Compact"/>
                    <w:jc w:val="center"/>
                    <w:jc w:val="center"/>
                  </w:pPr>
                  <w:r>
                    <w:t xml:space="preserve">9</w:t>
                  </w:r>
                </w:p>
              </w:tc>
              <w:tc>
                <w:tcPr/>
                <w:p>
                  <w:pPr>
                    <w:pStyle w:val="Compact"/>
                    <w:jc w:val="right"/>
                    <w:jc w:val="center"/>
                  </w:pPr>
                  <w:r>
                    <w:t xml:space="preserve">-9649.15</w:t>
                  </w:r>
                </w:p>
              </w:tc>
              <w:tc>
                <w:tcPr/>
                <w:p>
                  <w:pPr>
                    <w:pStyle w:val="Compact"/>
                    <w:jc w:val="right"/>
                    <w:jc w:val="center"/>
                  </w:pPr>
                  <w:r>
                    <w:t xml:space="preserve">-9586.58</w:t>
                  </w:r>
                </w:p>
              </w:tc>
              <w:tc>
                <w:tcPr/>
                <w:p>
                  <w:pPr>
                    <w:pStyle w:val="Compact"/>
                    <w:jc w:val="right"/>
                    <w:jc w:val="center"/>
                  </w:pPr>
                  <w:r>
                    <w:t xml:space="preserve">274.41</w:t>
                  </w:r>
                </w:p>
              </w:tc>
              <w:tc>
                <w:tcPr/>
                <w:p>
                  <w:pPr>
                    <w:pStyle w:val="Compact"/>
                    <w:jc w:val="right"/>
                    <w:jc w:val="center"/>
                  </w:pPr>
                  <w:r>
                    <w:t xml:space="preserve">44.58</w:t>
                  </w:r>
                </w:p>
              </w:tc>
              <w:tc>
                <w:tcPr/>
                <w:p>
                  <w:pPr>
                    <w:pStyle w:val="Compact"/>
                    <w:jc w:val="right"/>
                    <w:jc w:val="center"/>
                  </w:pPr>
                  <w:r>
                    <w:t xml:space="preserve">17.91</w:t>
                  </w:r>
                </w:p>
              </w:tc>
              <w:tc>
                <w:tcPr/>
                <w:p>
                  <w:pPr>
                    <w:pStyle w:val="Compact"/>
                    <w:jc w:val="right"/>
                    <w:jc w:val="center"/>
                  </w:pPr>
                  <w:r>
                    <w:t xml:space="preserve">31.28</w:t>
                  </w:r>
                </w:p>
              </w:tc>
              <w:tc>
                <w:tcPr/>
                <w:p>
                  <w:pPr>
                    <w:pStyle w:val="Compact"/>
                    <w:jc w:val="right"/>
                    <w:jc w:val="center"/>
                  </w:pPr>
                  <w:r>
                    <w:t xml:space="preserve">0.00</w:t>
                  </w:r>
                </w:p>
              </w:tc>
            </w:tr>
            <w:tr>
              <w:tc>
                <w:tcPr/>
                <w:p>
                  <w:pPr>
                    <w:pStyle w:val="Compact"/>
                    <w:jc w:val="center"/>
                    <w:jc w:val="center"/>
                  </w:pPr>
                  <w:r>
                    <w:t xml:space="preserve">8</w:t>
                  </w:r>
                </w:p>
              </w:tc>
              <w:tc>
                <w:tcPr/>
                <w:p>
                  <w:pPr>
                    <w:pStyle w:val="Compact"/>
                    <w:jc w:val="right"/>
                    <w:jc w:val="center"/>
                  </w:pPr>
                  <w:r>
                    <w:t xml:space="preserve">-9649.05</w:t>
                  </w:r>
                </w:p>
              </w:tc>
              <w:tc>
                <w:tcPr/>
                <w:p>
                  <w:pPr>
                    <w:pStyle w:val="Compact"/>
                    <w:jc w:val="right"/>
                    <w:jc w:val="center"/>
                  </w:pPr>
                  <w:r>
                    <w:t xml:space="preserve">-9586.33</w:t>
                  </w:r>
                </w:p>
              </w:tc>
              <w:tc>
                <w:tcPr/>
                <w:p>
                  <w:pPr>
                    <w:pStyle w:val="Compact"/>
                    <w:jc w:val="right"/>
                    <w:jc w:val="center"/>
                  </w:pPr>
                  <w:r>
                    <w:t xml:space="preserve">274.39</w:t>
                  </w:r>
                </w:p>
              </w:tc>
              <w:tc>
                <w:tcPr/>
                <w:p>
                  <w:pPr>
                    <w:pStyle w:val="Compact"/>
                    <w:jc w:val="right"/>
                    <w:jc w:val="center"/>
                  </w:pPr>
                  <w:r>
                    <w:t xml:space="preserve">44.83</w:t>
                  </w:r>
                </w:p>
              </w:tc>
              <w:tc>
                <w:tcPr/>
                <w:p>
                  <w:pPr>
                    <w:pStyle w:val="Compact"/>
                    <w:jc w:val="right"/>
                    <w:jc w:val="center"/>
                  </w:pPr>
                  <w:r>
                    <w:t xml:space="preserve">17.91</w:t>
                  </w:r>
                </w:p>
              </w:tc>
              <w:tc>
                <w:tcPr/>
                <w:p>
                  <w:pPr>
                    <w:pStyle w:val="Compact"/>
                    <w:jc w:val="right"/>
                    <w:jc w:val="center"/>
                  </w:pPr>
                  <w:r>
                    <w:t xml:space="preserve">31.36</w:t>
                  </w:r>
                </w:p>
              </w:tc>
              <w:tc>
                <w:tcPr/>
                <w:p>
                  <w:pPr>
                    <w:pStyle w:val="Compact"/>
                    <w:jc w:val="right"/>
                    <w:jc w:val="center"/>
                  </w:pPr>
                  <w:r>
                    <w:t xml:space="preserve">0.00</w:t>
                  </w:r>
                </w:p>
              </w:tc>
            </w:tr>
            <w:tr>
              <w:tc>
                <w:tcPr/>
                <w:p>
                  <w:pPr>
                    <w:pStyle w:val="Compact"/>
                    <w:jc w:val="center"/>
                    <w:jc w:val="center"/>
                  </w:pPr>
                  <w:r>
                    <w:t xml:space="preserve">7</w:t>
                  </w:r>
                </w:p>
              </w:tc>
              <w:tc>
                <w:tcPr/>
                <w:p>
                  <w:pPr>
                    <w:pStyle w:val="Compact"/>
                    <w:jc w:val="right"/>
                    <w:jc w:val="center"/>
                  </w:pPr>
                  <w:r>
                    <w:t xml:space="preserve">-9649.54</w:t>
                  </w:r>
                </w:p>
              </w:tc>
              <w:tc>
                <w:tcPr/>
                <w:p>
                  <w:pPr>
                    <w:pStyle w:val="Compact"/>
                    <w:jc w:val="right"/>
                    <w:jc w:val="center"/>
                  </w:pPr>
                  <w:r>
                    <w:t xml:space="preserve">-9585.92</w:t>
                  </w:r>
                </w:p>
              </w:tc>
              <w:tc>
                <w:tcPr/>
                <w:p>
                  <w:pPr>
                    <w:pStyle w:val="Compact"/>
                    <w:jc w:val="right"/>
                    <w:jc w:val="center"/>
                  </w:pPr>
                  <w:r>
                    <w:t xml:space="preserve">274.56</w:t>
                  </w:r>
                </w:p>
              </w:tc>
              <w:tc>
                <w:tcPr/>
                <w:p>
                  <w:pPr>
                    <w:pStyle w:val="Compact"/>
                    <w:jc w:val="right"/>
                    <w:jc w:val="center"/>
                  </w:pPr>
                  <w:r>
                    <w:t xml:space="preserve">45.24</w:t>
                  </w:r>
                </w:p>
              </w:tc>
              <w:tc>
                <w:tcPr/>
                <w:p>
                  <w:pPr>
                    <w:pStyle w:val="Compact"/>
                    <w:jc w:val="right"/>
                    <w:jc w:val="center"/>
                  </w:pPr>
                  <w:r>
                    <w:t xml:space="preserve">18.10</w:t>
                  </w:r>
                </w:p>
              </w:tc>
              <w:tc>
                <w:tcPr/>
                <w:p>
                  <w:pPr>
                    <w:pStyle w:val="Compact"/>
                    <w:jc w:val="right"/>
                    <w:jc w:val="center"/>
                  </w:pPr>
                  <w:r>
                    <w:t xml:space="preserve">31.81</w:t>
                  </w:r>
                </w:p>
              </w:tc>
              <w:tc>
                <w:tcPr/>
                <w:p>
                  <w:pPr>
                    <w:pStyle w:val="Compact"/>
                    <w:jc w:val="right"/>
                    <w:jc w:val="center"/>
                  </w:pPr>
                  <w:r>
                    <w:t xml:space="preserve">0.00</w:t>
                  </w:r>
                </w:p>
              </w:tc>
            </w:tr>
            <w:tr>
              <w:tc>
                <w:tcPr/>
                <w:p>
                  <w:pPr>
                    <w:pStyle w:val="Compact"/>
                    <w:jc w:val="center"/>
                    <w:jc w:val="center"/>
                  </w:pPr>
                  <w:r>
                    <w:t xml:space="preserve">6</w:t>
                  </w:r>
                </w:p>
              </w:tc>
              <w:tc>
                <w:tcPr/>
                <w:p>
                  <w:pPr>
                    <w:pStyle w:val="Compact"/>
                    <w:jc w:val="right"/>
                    <w:jc w:val="center"/>
                  </w:pPr>
                  <w:r>
                    <w:t xml:space="preserve">-2669.28</w:t>
                  </w:r>
                </w:p>
              </w:tc>
              <w:tc>
                <w:tcPr/>
                <w:p>
                  <w:pPr>
                    <w:pStyle w:val="Compact"/>
                    <w:jc w:val="right"/>
                    <w:jc w:val="center"/>
                  </w:pPr>
                  <w:r>
                    <w:t xml:space="preserve">-2009.22</w:t>
                  </w:r>
                </w:p>
              </w:tc>
              <w:tc>
                <w:tcPr/>
                <w:p>
                  <w:pPr>
                    <w:pStyle w:val="Compact"/>
                    <w:jc w:val="right"/>
                    <w:jc w:val="center"/>
                  </w:pPr>
                  <w:r>
                    <w:t xml:space="preserve">128.46</w:t>
                  </w:r>
                </w:p>
              </w:tc>
              <w:tc>
                <w:tcPr/>
                <w:p>
                  <w:pPr>
                    <w:pStyle w:val="Compact"/>
                    <w:jc w:val="right"/>
                    <w:jc w:val="center"/>
                  </w:pPr>
                  <w:r>
                    <w:t xml:space="preserve">7621.94</w:t>
                  </w:r>
                </w:p>
              </w:tc>
              <w:tc>
                <w:tcPr/>
                <w:p>
                  <w:pPr>
                    <w:pStyle w:val="Compact"/>
                    <w:jc w:val="right"/>
                    <w:jc w:val="center"/>
                  </w:pPr>
                  <w:r>
                    <w:t xml:space="preserve">263.52</w:t>
                  </w:r>
                </w:p>
              </w:tc>
              <w:tc>
                <w:tcPr/>
                <w:p>
                  <w:pPr>
                    <w:pStyle w:val="Compact"/>
                    <w:jc w:val="right"/>
                    <w:jc w:val="center"/>
                  </w:pPr>
                  <w:r>
                    <w:t xml:space="preserve">330.03</w:t>
                  </w:r>
                </w:p>
              </w:tc>
              <w:tc>
                <w:tcPr/>
                <w:p>
                  <w:pPr>
                    <w:pStyle w:val="Compact"/>
                    <w:jc w:val="right"/>
                    <w:jc w:val="center"/>
                  </w:pPr>
                  <w:r>
                    <w:t xml:space="preserve">0.00</w:t>
                  </w:r>
                </w:p>
              </w:tc>
            </w:tr>
            <w:tr>
              <w:tc>
                <w:tcPr/>
                <w:p>
                  <w:pPr>
                    <w:pStyle w:val="Compact"/>
                    <w:jc w:val="center"/>
                    <w:jc w:val="center"/>
                  </w:pPr>
                  <w:r>
                    <w:t xml:space="preserve">4</w:t>
                  </w:r>
                </w:p>
              </w:tc>
              <w:tc>
                <w:tcPr/>
                <w:p>
                  <w:pPr>
                    <w:pStyle w:val="Compact"/>
                    <w:jc w:val="right"/>
                    <w:jc w:val="center"/>
                  </w:pPr>
                  <w:r>
                    <w:t xml:space="preserve">-2670.62</w:t>
                  </w:r>
                </w:p>
              </w:tc>
              <w:tc>
                <w:tcPr/>
                <w:p>
                  <w:pPr>
                    <w:pStyle w:val="Compact"/>
                    <w:jc w:val="right"/>
                    <w:jc w:val="center"/>
                  </w:pPr>
                  <w:r>
                    <w:t xml:space="preserve">-2007.66</w:t>
                  </w:r>
                </w:p>
              </w:tc>
              <w:tc>
                <w:tcPr/>
                <w:p>
                  <w:pPr>
                    <w:pStyle w:val="Compact"/>
                    <w:jc w:val="right"/>
                    <w:jc w:val="center"/>
                  </w:pPr>
                  <w:r>
                    <w:t xml:space="preserve">128.57</w:t>
                  </w:r>
                </w:p>
              </w:tc>
              <w:tc>
                <w:tcPr/>
                <w:p>
                  <w:pPr>
                    <w:pStyle w:val="Compact"/>
                    <w:jc w:val="right"/>
                    <w:jc w:val="center"/>
                  </w:pPr>
                  <w:r>
                    <w:t xml:space="preserve">7623.50</w:t>
                  </w:r>
                </w:p>
              </w:tc>
              <w:tc>
                <w:tcPr/>
                <w:p>
                  <w:pPr>
                    <w:pStyle w:val="Compact"/>
                    <w:jc w:val="right"/>
                    <w:jc w:val="center"/>
                  </w:pPr>
                  <w:r>
                    <w:t xml:space="preserve">263.60</w:t>
                  </w:r>
                </w:p>
              </w:tc>
              <w:tc>
                <w:tcPr/>
                <w:p>
                  <w:pPr>
                    <w:pStyle w:val="Compact"/>
                    <w:jc w:val="right"/>
                    <w:jc w:val="center"/>
                  </w:pPr>
                  <w:r>
                    <w:t xml:space="preserve">331.48</w:t>
                  </w:r>
                </w:p>
              </w:tc>
              <w:tc>
                <w:tcPr/>
                <w:p>
                  <w:pPr>
                    <w:pStyle w:val="Compact"/>
                    <w:jc w:val="right"/>
                    <w:jc w:val="center"/>
                  </w:pPr>
                  <w:r>
                    <w:t xml:space="preserve">0.00</w:t>
                  </w:r>
                </w:p>
              </w:tc>
            </w:tr>
            <w:tr>
              <w:tc>
                <w:tcPr/>
                <w:p>
                  <w:pPr>
                    <w:pStyle w:val="Compact"/>
                    <w:jc w:val="center"/>
                    <w:jc w:val="center"/>
                  </w:pPr>
                  <w:r>
                    <w:t xml:space="preserve">5</w:t>
                  </w:r>
                </w:p>
              </w:tc>
              <w:tc>
                <w:tcPr/>
                <w:p>
                  <w:pPr>
                    <w:pStyle w:val="Compact"/>
                    <w:jc w:val="right"/>
                    <w:jc w:val="center"/>
                  </w:pPr>
                  <w:r>
                    <w:t xml:space="preserve">-2669.28</w:t>
                  </w:r>
                </w:p>
              </w:tc>
              <w:tc>
                <w:tcPr/>
                <w:p>
                  <w:pPr>
                    <w:pStyle w:val="Compact"/>
                    <w:jc w:val="right"/>
                    <w:jc w:val="center"/>
                  </w:pPr>
                  <w:r>
                    <w:t xml:space="preserve">-2006.49</w:t>
                  </w:r>
                </w:p>
              </w:tc>
              <w:tc>
                <w:tcPr/>
                <w:p>
                  <w:pPr>
                    <w:pStyle w:val="Compact"/>
                    <w:jc w:val="right"/>
                    <w:jc w:val="center"/>
                  </w:pPr>
                  <w:r>
                    <w:t xml:space="preserve">128.71</w:t>
                  </w:r>
                </w:p>
              </w:tc>
              <w:tc>
                <w:tcPr/>
                <w:p>
                  <w:pPr>
                    <w:pStyle w:val="Compact"/>
                    <w:jc w:val="right"/>
                    <w:jc w:val="center"/>
                  </w:pPr>
                  <w:r>
                    <w:t xml:space="preserve">7624.67</w:t>
                  </w:r>
                </w:p>
              </w:tc>
              <w:tc>
                <w:tcPr/>
                <w:p>
                  <w:pPr>
                    <w:pStyle w:val="Compact"/>
                    <w:jc w:val="right"/>
                    <w:jc w:val="center"/>
                  </w:pPr>
                  <w:r>
                    <w:t xml:space="preserve">263.62</w:t>
                  </w:r>
                </w:p>
              </w:tc>
              <w:tc>
                <w:tcPr/>
                <w:p>
                  <w:pPr>
                    <w:pStyle w:val="Compact"/>
                    <w:jc w:val="right"/>
                    <w:jc w:val="center"/>
                  </w:pPr>
                  <w:r>
                    <w:t xml:space="preserve">331.39</w:t>
                  </w:r>
                </w:p>
              </w:tc>
              <w:tc>
                <w:tcPr/>
                <w:p>
                  <w:pPr>
                    <w:pStyle w:val="Compact"/>
                    <w:jc w:val="right"/>
                    <w:jc w:val="center"/>
                  </w:pPr>
                  <w:r>
                    <w:t xml:space="preserve">0.00</w:t>
                  </w:r>
                </w:p>
              </w:tc>
            </w:tr>
            <w:tr>
              <w:tc>
                <w:tcPr/>
                <w:p>
                  <w:pPr>
                    <w:pStyle w:val="Compact"/>
                    <w:jc w:val="center"/>
                    <w:jc w:val="center"/>
                  </w:pPr>
                  <w:r>
                    <w:t xml:space="preserve">3</w:t>
                  </w:r>
                </w:p>
              </w:tc>
              <w:tc>
                <w:tcPr/>
                <w:p>
                  <w:pPr>
                    <w:pStyle w:val="Compact"/>
                    <w:jc w:val="right"/>
                    <w:jc w:val="center"/>
                  </w:pPr>
                  <w:r>
                    <w:t xml:space="preserve">-2279.58</w:t>
                  </w:r>
                </w:p>
              </w:tc>
              <w:tc>
                <w:tcPr/>
                <w:p>
                  <w:pPr>
                    <w:pStyle w:val="Compact"/>
                    <w:jc w:val="right"/>
                    <w:jc w:val="center"/>
                  </w:pPr>
                  <w:r>
                    <w:t xml:space="preserve">-1754.43</w:t>
                  </w:r>
                </w:p>
              </w:tc>
              <w:tc>
                <w:tcPr/>
                <w:p>
                  <w:pPr>
                    <w:pStyle w:val="Compact"/>
                    <w:jc w:val="right"/>
                    <w:jc w:val="center"/>
                  </w:pPr>
                  <w:r>
                    <w:t xml:space="preserve">102.07</w:t>
                  </w:r>
                </w:p>
              </w:tc>
              <w:tc>
                <w:tcPr/>
                <w:p>
                  <w:pPr>
                    <w:pStyle w:val="Compact"/>
                    <w:jc w:val="right"/>
                    <w:jc w:val="center"/>
                  </w:pPr>
                  <w:r>
                    <w:t xml:space="preserve">7876.73</w:t>
                  </w:r>
                </w:p>
              </w:tc>
              <w:tc>
                <w:tcPr/>
                <w:p>
                  <w:pPr>
                    <w:pStyle w:val="Compact"/>
                    <w:jc w:val="right"/>
                    <w:jc w:val="center"/>
                  </w:pPr>
                  <w:r>
                    <w:t xml:space="preserve">266.68</w:t>
                  </w:r>
                </w:p>
              </w:tc>
              <w:tc>
                <w:tcPr/>
                <w:p>
                  <w:pPr>
                    <w:pStyle w:val="Compact"/>
                    <w:jc w:val="right"/>
                    <w:jc w:val="center"/>
                  </w:pPr>
                  <w:r>
                    <w:t xml:space="preserve">262.57</w:t>
                  </w:r>
                </w:p>
              </w:tc>
              <w:tc>
                <w:tcPr/>
                <w:p>
                  <w:pPr>
                    <w:pStyle w:val="Compact"/>
                    <w:jc w:val="right"/>
                    <w:jc w:val="center"/>
                  </w:pPr>
                  <w:r>
                    <w:t xml:space="preserve">0.00</w:t>
                  </w:r>
                </w:p>
              </w:tc>
            </w:tr>
            <w:tr>
              <w:tc>
                <w:tcPr/>
                <w:p>
                  <w:pPr>
                    <w:pStyle w:val="Compact"/>
                    <w:jc w:val="center"/>
                    <w:jc w:val="center"/>
                  </w:pPr>
                  <w:r>
                    <w:t xml:space="preserve">1</w:t>
                  </w:r>
                </w:p>
              </w:tc>
              <w:tc>
                <w:tcPr/>
                <w:p>
                  <w:pPr>
                    <w:pStyle w:val="Compact"/>
                    <w:jc w:val="right"/>
                    <w:jc w:val="center"/>
                  </w:pPr>
                  <w:r>
                    <w:t xml:space="preserve">-2278.68</w:t>
                  </w:r>
                </w:p>
              </w:tc>
              <w:tc>
                <w:tcPr/>
                <w:p>
                  <w:pPr>
                    <w:pStyle w:val="Compact"/>
                    <w:jc w:val="right"/>
                    <w:jc w:val="center"/>
                  </w:pPr>
                  <w:r>
                    <w:t xml:space="preserve">-1753.71</w:t>
                  </w:r>
                </w:p>
              </w:tc>
              <w:tc>
                <w:tcPr/>
                <w:p>
                  <w:pPr>
                    <w:pStyle w:val="Compact"/>
                    <w:jc w:val="right"/>
                    <w:jc w:val="center"/>
                  </w:pPr>
                  <w:r>
                    <w:t xml:space="preserve">102.09</w:t>
                  </w:r>
                </w:p>
              </w:tc>
              <w:tc>
                <w:tcPr/>
                <w:p>
                  <w:pPr>
                    <w:pStyle w:val="Compact"/>
                    <w:jc w:val="right"/>
                    <w:jc w:val="center"/>
                  </w:pPr>
                  <w:r>
                    <w:t xml:space="preserve">7877.46</w:t>
                  </w:r>
                </w:p>
              </w:tc>
              <w:tc>
                <w:tcPr/>
                <w:p>
                  <w:pPr>
                    <w:pStyle w:val="Compact"/>
                    <w:jc w:val="right"/>
                    <w:jc w:val="center"/>
                  </w:pPr>
                  <w:r>
                    <w:t xml:space="preserve">266.64</w:t>
                  </w:r>
                </w:p>
              </w:tc>
              <w:tc>
                <w:tcPr/>
                <w:p>
                  <w:pPr>
                    <w:pStyle w:val="Compact"/>
                    <w:jc w:val="right"/>
                    <w:jc w:val="center"/>
                  </w:pPr>
                  <w:r>
                    <w:t xml:space="preserve">262.48</w:t>
                  </w:r>
                </w:p>
              </w:tc>
              <w:tc>
                <w:tcPr/>
                <w:p>
                  <w:pPr>
                    <w:pStyle w:val="Compact"/>
                    <w:jc w:val="right"/>
                    <w:jc w:val="center"/>
                  </w:pPr>
                  <w:r>
                    <w:t xml:space="preserve">0.00</w:t>
                  </w:r>
                </w:p>
              </w:tc>
            </w:tr>
            <w:tr>
              <w:tc>
                <w:tcPr/>
                <w:p>
                  <w:pPr>
                    <w:pStyle w:val="Compact"/>
                    <w:jc w:val="center"/>
                    <w:jc w:val="center"/>
                  </w:pPr>
                  <w:r>
                    <w:t xml:space="preserve">2</w:t>
                  </w:r>
                </w:p>
              </w:tc>
              <w:tc>
                <w:tcPr/>
                <w:p>
                  <w:pPr>
                    <w:pStyle w:val="Compact"/>
                    <w:jc w:val="right"/>
                    <w:jc w:val="center"/>
                  </w:pPr>
                  <w:r>
                    <w:t xml:space="preserve">-2279.35</w:t>
                  </w:r>
                </w:p>
              </w:tc>
              <w:tc>
                <w:tcPr/>
                <w:p>
                  <w:pPr>
                    <w:pStyle w:val="Compact"/>
                    <w:jc w:val="right"/>
                    <w:jc w:val="center"/>
                  </w:pPr>
                  <w:r>
                    <w:t xml:space="preserve">-1752.86</w:t>
                  </w:r>
                </w:p>
              </w:tc>
              <w:tc>
                <w:tcPr/>
                <w:p>
                  <w:pPr>
                    <w:pStyle w:val="Compact"/>
                    <w:jc w:val="right"/>
                    <w:jc w:val="center"/>
                  </w:pPr>
                  <w:r>
                    <w:t xml:space="preserve">102.13</w:t>
                  </w:r>
                </w:p>
              </w:tc>
              <w:tc>
                <w:tcPr/>
                <w:p>
                  <w:pPr>
                    <w:pStyle w:val="Compact"/>
                    <w:jc w:val="right"/>
                    <w:jc w:val="center"/>
                  </w:pPr>
                  <w:r>
                    <w:t xml:space="preserve">7878.30</w:t>
                  </w:r>
                </w:p>
              </w:tc>
              <w:tc>
                <w:tcPr/>
                <w:p>
                  <w:pPr>
                    <w:pStyle w:val="Compact"/>
                    <w:jc w:val="right"/>
                    <w:jc w:val="center"/>
                  </w:pPr>
                  <w:r>
                    <w:t xml:space="preserve">266.68</w:t>
                  </w:r>
                </w:p>
              </w:tc>
              <w:tc>
                <w:tcPr/>
                <w:p>
                  <w:pPr>
                    <w:pStyle w:val="Compact"/>
                    <w:jc w:val="right"/>
                    <w:jc w:val="center"/>
                  </w:pPr>
                  <w:r>
                    <w:t xml:space="preserve">263.24</w:t>
                  </w:r>
                </w:p>
              </w:tc>
              <w:tc>
                <w:tcPr/>
                <w:p>
                  <w:pPr>
                    <w:pStyle w:val="Compact"/>
                    <w:jc w:val="right"/>
                    <w:jc w:val="center"/>
                  </w:pPr>
                  <w:r>
                    <w:t xml:space="preserve">0.00</w:t>
                  </w:r>
                </w:p>
              </w:tc>
            </w:tr>
          </w:tbl>
          <w:bookmarkEnd w:id="105"/>
          <w:p/>
        </w:tc>
      </w:tr>
    </w:tbl>
    <w:bookmarkEnd w:id="106"/>
    <w:bookmarkStart w:id="142" w:name="sec-appC"/>
    <w:p>
      <w:pPr>
        <w:pStyle w:val="Heading2"/>
      </w:pPr>
      <w:r>
        <w:t xml:space="preserve">Figures</w:t>
      </w:r>
    </w:p>
    <w:bookmarkStart w:id="111" w:name="cell-fig-rq1-pred-speaker_model04"/>
    <w:tbl>
      <w:tblPr>
        <w:tblStyle w:val="Table"/>
        <w:tblW w:type="pct" w:w="5000"/>
        <w:jc w:val="left"/>
        <w:tblLayout w:type="fixed"/>
        <w:tblLook w:firstRow="0" w:lastRow="0" w:firstColumn="0" w:lastColumn="0" w:noHBand="0" w:noVBand="0" w:val="0000"/>
      </w:tblPr>
      <w:tblGrid>
        <w:gridCol w:w="7920"/>
      </w:tblGrid>
      <w:tr>
        <w:tc>
          <w:tcPr/>
          <w:bookmarkStart w:id="110" w:name="fig-rq1-pred-speaker_model04"/>
          <w:p>
            <w:pPr>
              <w:pStyle w:val="Compact"/>
              <w:jc w:val="center"/>
            </w:pPr>
            <w:r>
              <w:drawing>
                <wp:inline>
                  <wp:extent cx="5334000" cy="3733800"/>
                  <wp:effectExtent b="0" l="0" r="0" t="0"/>
                  <wp:docPr descr="" title="" id="108" name="Picture"/>
                  <a:graphic>
                    <a:graphicData uri="http://schemas.openxmlformats.org/drawingml/2006/picture">
                      <pic:pic>
                        <pic:nvPicPr>
                          <pic:cNvPr descr="index_files/figure-docx/fig-rq1-pred-speaker_model04-1.png" id="109" name="Picture"/>
                          <pic:cNvPicPr>
                            <a:picLocks noChangeArrowheads="1" noChangeAspect="1"/>
                          </pic:cNvPicPr>
                        </pic:nvPicPr>
                        <pic:blipFill>
                          <a:blip r:embed="rId107"/>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Model 4: Entropy scores density for selected speakers.</w:t>
            </w:r>
            <w:r>
              <w:t xml:space="preserve"> </w:t>
            </w:r>
            <w:r>
              <w:rPr>
                <w:i/>
                <w:iCs/>
              </w:rPr>
              <w:t xml:space="preserve">Note:</w:t>
            </w:r>
            <w:r>
              <w:t xml:space="preserve"> </w:t>
            </w:r>
            <w:r>
              <w:t xml:space="preserve">Black bars denote the true data density, orange bars describe the predicted data density</w:t>
            </w:r>
          </w:p>
          <w:bookmarkEnd w:id="110"/>
        </w:tc>
      </w:tr>
    </w:tbl>
    <w:bookmarkEnd w:id="111"/>
    <w:bookmarkStart w:id="116" w:name="cell-fig-rq1-pred-speaker_model10"/>
    <w:tbl>
      <w:tblPr>
        <w:tblStyle w:val="Table"/>
        <w:tblW w:type="pct" w:w="5000"/>
        <w:jc w:val="left"/>
        <w:tblLayout w:type="fixed"/>
        <w:tblLook w:firstRow="0" w:lastRow="0" w:firstColumn="0" w:lastColumn="0" w:noHBand="0" w:noVBand="0" w:val="0000"/>
      </w:tblPr>
      <w:tblGrid>
        <w:gridCol w:w="7920"/>
      </w:tblGrid>
      <w:tr>
        <w:tc>
          <w:tcPr/>
          <w:bookmarkStart w:id="115" w:name="fig-rq1-pred-speaker_model10"/>
          <w:p>
            <w:pPr>
              <w:pStyle w:val="Compact"/>
              <w:jc w:val="center"/>
            </w:pPr>
            <w:r>
              <w:drawing>
                <wp:inline>
                  <wp:extent cx="5334000" cy="3733800"/>
                  <wp:effectExtent b="0" l="0" r="0" t="0"/>
                  <wp:docPr descr="" title="" id="113" name="Picture"/>
                  <a:graphic>
                    <a:graphicData uri="http://schemas.openxmlformats.org/drawingml/2006/picture">
                      <pic:pic>
                        <pic:nvPicPr>
                          <pic:cNvPr descr="index_files/figure-docx/fig-rq1-pred-speaker_model10-1.png" id="114" name="Picture"/>
                          <pic:cNvPicPr>
                            <a:picLocks noChangeArrowheads="1" noChangeAspect="1"/>
                          </pic:cNvPicPr>
                        </pic:nvPicPr>
                        <pic:blipFill>
                          <a:blip r:embed="rId112"/>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Model 10: Entropy scores density for selected speakers.</w:t>
            </w:r>
            <w:r>
              <w:t xml:space="preserve"> </w:t>
            </w:r>
            <w:r>
              <w:rPr>
                <w:i/>
                <w:iCs/>
              </w:rPr>
              <w:t xml:space="preserve">Note:</w:t>
            </w:r>
            <w:r>
              <w:t xml:space="preserve"> </w:t>
            </w:r>
            <w:r>
              <w:t xml:space="preserve">Black bars denote the true data density, blue bars describe the predicted data density</w:t>
            </w:r>
          </w:p>
          <w:bookmarkEnd w:id="115"/>
        </w:tc>
      </w:tr>
    </w:tbl>
    <w:bookmarkEnd w:id="116"/>
    <w:bookmarkStart w:id="121" w:name="cell-fig-rq1-model-outliers"/>
    <w:tbl>
      <w:tblPr>
        <w:tblStyle w:val="Table"/>
        <w:tblW w:type="pct" w:w="5000"/>
        <w:jc w:val="left"/>
        <w:tblLayout w:type="fixed"/>
        <w:tblLook w:firstRow="0" w:lastRow="0" w:firstColumn="0" w:lastColumn="0" w:noHBand="0" w:noVBand="0" w:val="0000"/>
      </w:tblPr>
      <w:tblGrid>
        <w:gridCol w:w="7920"/>
      </w:tblGrid>
      <w:tr>
        <w:tc>
          <w:tcPr/>
          <w:bookmarkStart w:id="120" w:name="fig-rq1-model-outliers"/>
          <w:p>
            <w:pPr>
              <w:pStyle w:val="Compact"/>
              <w:jc w:val="center"/>
            </w:pPr>
            <w:r>
              <w:drawing>
                <wp:inline>
                  <wp:extent cx="5334000" cy="3733800"/>
                  <wp:effectExtent b="0" l="0" r="0" t="0"/>
                  <wp:docPr descr="" title="" id="118" name="Picture"/>
                  <a:graphic>
                    <a:graphicData uri="http://schemas.openxmlformats.org/drawingml/2006/picture">
                      <pic:pic>
                        <pic:nvPicPr>
                          <pic:cNvPr descr="index_files/figure-docx/fig-rq1-model-outliers-1.png" id="119" name="Picture"/>
                          <pic:cNvPicPr>
                            <a:picLocks noChangeArrowheads="1" noChangeAspect="1"/>
                          </pic:cNvPicPr>
                        </pic:nvPicPr>
                        <pic:blipFill>
                          <a:blip r:embed="rId117"/>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Outlier identification and analysis for selected models. Note: Thin and thick vertical discontinuous line indicate threshold of 0.5 and 0.7, respectively. Number pair texts indicate the observation pair of speaker and sentence index.</w:t>
            </w:r>
          </w:p>
          <w:bookmarkEnd w:id="120"/>
        </w:tc>
      </w:tr>
    </w:tbl>
    <w:bookmarkEnd w:id="121"/>
    <w:bookmarkStart w:id="126" w:name="cell-fig-rq3-pred-speaker"/>
    <w:tbl>
      <w:tblPr>
        <w:tblStyle w:val="Table"/>
        <w:tblW w:type="pct" w:w="5000"/>
        <w:jc w:val="left"/>
        <w:tblLayout w:type="fixed"/>
        <w:tblLook w:firstRow="0" w:lastRow="0" w:firstColumn="0" w:lastColumn="0" w:noHBand="0" w:noVBand="0" w:val="0000"/>
      </w:tblPr>
      <w:tblGrid>
        <w:gridCol w:w="7920"/>
      </w:tblGrid>
      <w:tr>
        <w:tc>
          <w:tcPr/>
          <w:bookmarkStart w:id="125" w:name="fig-rq3-pred-speaker"/>
          <w:p>
            <w:pPr>
              <w:pStyle w:val="Compact"/>
              <w:jc w:val="center"/>
            </w:pPr>
            <w:r>
              <w:drawing>
                <wp:inline>
                  <wp:extent cx="5334000" cy="3200400"/>
                  <wp:effectExtent b="0" l="0" r="0" t="0"/>
                  <wp:docPr descr="" title="" id="123" name="Picture"/>
                  <a:graphic>
                    <a:graphicData uri="http://schemas.openxmlformats.org/drawingml/2006/picture">
                      <pic:pic>
                        <pic:nvPicPr>
                          <pic:cNvPr descr="index_files/figure-docx/fig-rq3-pred-speaker-1.png" id="124" name="Picture"/>
                          <pic:cNvPicPr>
                            <a:picLocks noChangeArrowheads="1" noChangeAspect="1"/>
                          </pic:cNvPicPr>
                        </pic:nvPicPr>
                        <pic:blipFill>
                          <a:blip r:embed="rId122"/>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Entropy scores prediction for selected models. Note: Black dots show manifest entropy scores, orange dots and vertical lines show the point estimates and 95% highest probability density intervals (HPDI) derived from model 6, blue dots and vertical lines show similar information for model 12.</w:t>
            </w:r>
          </w:p>
          <w:bookmarkEnd w:id="125"/>
        </w:tc>
      </w:tr>
    </w:tbl>
    <w:bookmarkEnd w:id="126"/>
    <w:bookmarkStart w:id="131" w:name="cell-fig-rq3-pred-speaker_model06"/>
    <w:tbl>
      <w:tblPr>
        <w:tblStyle w:val="Table"/>
        <w:tblW w:type="pct" w:w="5000"/>
        <w:jc w:val="left"/>
        <w:tblLayout w:type="fixed"/>
        <w:tblLook w:firstRow="0" w:lastRow="0" w:firstColumn="0" w:lastColumn="0" w:noHBand="0" w:noVBand="0" w:val="0000"/>
      </w:tblPr>
      <w:tblGrid>
        <w:gridCol w:w="7920"/>
      </w:tblGrid>
      <w:tr>
        <w:tc>
          <w:tcPr/>
          <w:bookmarkStart w:id="130" w:name="fig-rq3-pred-speaker_model06"/>
          <w:p>
            <w:pPr>
              <w:pStyle w:val="Compact"/>
              <w:jc w:val="center"/>
            </w:pPr>
            <w:r>
              <w:drawing>
                <wp:inline>
                  <wp:extent cx="5334000" cy="3733800"/>
                  <wp:effectExtent b="0" l="0" r="0" t="0"/>
                  <wp:docPr descr="" title="" id="128" name="Picture"/>
                  <a:graphic>
                    <a:graphicData uri="http://schemas.openxmlformats.org/drawingml/2006/picture">
                      <pic:pic>
                        <pic:nvPicPr>
                          <pic:cNvPr descr="index_files/figure-docx/fig-rq3-pred-speaker_model06-1.png" id="129" name="Picture"/>
                          <pic:cNvPicPr>
                            <a:picLocks noChangeArrowheads="1" noChangeAspect="1"/>
                          </pic:cNvPicPr>
                        </pic:nvPicPr>
                        <pic:blipFill>
                          <a:blip r:embed="rId127"/>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Model 6: Entropy scores density for selected speakers. Note: Black bars denote the true data density, orange bars describe the predicted data density</w:t>
            </w:r>
          </w:p>
          <w:bookmarkEnd w:id="130"/>
        </w:tc>
      </w:tr>
    </w:tbl>
    <w:bookmarkEnd w:id="131"/>
    <w:bookmarkStart w:id="136" w:name="cell-fig-rq3-pred-speaker_model12"/>
    <w:tbl>
      <w:tblPr>
        <w:tblStyle w:val="Table"/>
        <w:tblW w:type="pct" w:w="5000"/>
        <w:jc w:val="left"/>
        <w:tblLayout w:type="fixed"/>
        <w:tblLook w:firstRow="0" w:lastRow="0" w:firstColumn="0" w:lastColumn="0" w:noHBand="0" w:noVBand="0" w:val="0000"/>
      </w:tblPr>
      <w:tblGrid>
        <w:gridCol w:w="7920"/>
      </w:tblGrid>
      <w:tr>
        <w:tc>
          <w:tcPr/>
          <w:bookmarkStart w:id="135" w:name="fig-rq3-pred-speaker_model12"/>
          <w:p>
            <w:pPr>
              <w:pStyle w:val="Compact"/>
              <w:jc w:val="center"/>
            </w:pPr>
            <w:r>
              <w:drawing>
                <wp:inline>
                  <wp:extent cx="5334000" cy="3733800"/>
                  <wp:effectExtent b="0" l="0" r="0" t="0"/>
                  <wp:docPr descr="" title="" id="133" name="Picture"/>
                  <a:graphic>
                    <a:graphicData uri="http://schemas.openxmlformats.org/drawingml/2006/picture">
                      <pic:pic>
                        <pic:nvPicPr>
                          <pic:cNvPr descr="index_files/figure-docx/fig-rq3-pred-speaker_model12-1.png" id="134" name="Picture"/>
                          <pic:cNvPicPr>
                            <a:picLocks noChangeArrowheads="1" noChangeAspect="1"/>
                          </pic:cNvPicPr>
                        </pic:nvPicPr>
                        <pic:blipFill>
                          <a:blip r:embed="rId132"/>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14: Model 12: Entropy scores density for selected speakers. Note: Black bars denote the true data density, blue bars describe the predicted data density</w:t>
            </w:r>
          </w:p>
          <w:bookmarkEnd w:id="135"/>
        </w:tc>
      </w:tr>
    </w:tbl>
    <w:bookmarkEnd w:id="136"/>
    <w:bookmarkStart w:id="141" w:name="cell-fig-rq3-model-outliers"/>
    <w:tbl>
      <w:tblPr>
        <w:tblStyle w:val="Table"/>
        <w:tblW w:type="pct" w:w="5000"/>
        <w:jc w:val="left"/>
        <w:tblLayout w:type="fixed"/>
        <w:tblLook w:firstRow="0" w:lastRow="0" w:firstColumn="0" w:lastColumn="0" w:noHBand="0" w:noVBand="0" w:val="0000"/>
      </w:tblPr>
      <w:tblGrid>
        <w:gridCol w:w="7920"/>
      </w:tblGrid>
      <w:tr>
        <w:tc>
          <w:tcPr/>
          <w:bookmarkStart w:id="140" w:name="fig-rq3-model-outliers"/>
          <w:p>
            <w:pPr>
              <w:pStyle w:val="Compact"/>
              <w:jc w:val="center"/>
            </w:pPr>
            <w:r>
              <w:drawing>
                <wp:inline>
                  <wp:extent cx="5334000" cy="3733800"/>
                  <wp:effectExtent b="0" l="0" r="0" t="0"/>
                  <wp:docPr descr="" title="" id="138" name="Picture"/>
                  <a:graphic>
                    <a:graphicData uri="http://schemas.openxmlformats.org/drawingml/2006/picture">
                      <pic:pic>
                        <pic:nvPicPr>
                          <pic:cNvPr descr="index_files/figure-docx/fig-rq3-model-outliers-1.png" id="139" name="Picture"/>
                          <pic:cNvPicPr>
                            <a:picLocks noChangeArrowheads="1" noChangeAspect="1"/>
                          </pic:cNvPicPr>
                        </pic:nvPicPr>
                        <pic:blipFill>
                          <a:blip r:embed="rId137"/>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15: Outlier identification and analysis for selected models. Note: Thin and thick vertical discontinuous line indicate threshold of 0.5 and 0.7, respectively. Number pair texts indicate the observation pair of speaker and sentence index.</w:t>
            </w:r>
          </w:p>
          <w:bookmarkEnd w:id="140"/>
        </w:tc>
      </w:tr>
    </w:tbl>
    <w:bookmarkEnd w:id="141"/>
    <w:p>
      <w:r>
        <w:br w:type="page"/>
      </w:r>
    </w:p>
    <w:bookmarkEnd w:id="142"/>
    <w:bookmarkEnd w:id="143"/>
    <w:bookmarkStart w:id="144" w:name="declarations"/>
    <w:p>
      <w:pPr>
        <w:pStyle w:val="Heading1"/>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Conflict of interests:</w:t>
      </w:r>
      <w:r>
        <w:t xml:space="preserve"> </w:t>
      </w:r>
      <w:r>
        <w:t xml:space="preserve">The authors declare no conflict of interest.</w:t>
      </w:r>
    </w:p>
    <w:p>
      <w:pPr>
        <w:pStyle w:val="BodyText"/>
      </w:pPr>
      <w:r>
        <w:rPr>
          <w:b/>
          <w:bCs/>
        </w:rPr>
        <w:t xml:space="preserve">Ethics approval:</w:t>
      </w:r>
      <w:r>
        <w:t xml:space="preserve"> </w:t>
      </w:r>
      <w:r>
        <w:t xml:space="preserve">This is an observational study. 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The data is delivered upon request.</w:t>
      </w:r>
    </w:p>
    <w:p>
      <w:pPr>
        <w:pStyle w:val="BodyText"/>
      </w:pPr>
      <w:r>
        <w:rPr>
          <w:b/>
          <w:bCs/>
        </w:rPr>
        <w:t xml:space="preserve">Code availability:</w:t>
      </w:r>
      <w:r>
        <w:t xml:space="preserve"> </w:t>
      </w:r>
      <w:r>
        <w:t xml:space="preserve">All the code utilized in this research is available in the different notebooks and</w:t>
      </w:r>
      <w:r>
        <w:t xml:space="preserve"> </w:t>
      </w:r>
      <w:r>
        <w:rPr>
          <w:rStyle w:val="VerbatimChar"/>
        </w:rPr>
        <w:t xml:space="preserve">CODE LINKS</w:t>
      </w:r>
      <w:r>
        <w:t xml:space="preserve"> </w:t>
      </w:r>
      <w:r>
        <w:t xml:space="preserve">referenced in the digital document. The digital document is located at:</w:t>
      </w:r>
      <w:r>
        <w:t xml:space="preserve"> </w:t>
      </w:r>
      <w:hyperlink r:id="rId45">
        <w:r>
          <w:rPr>
            <w:rStyle w:val="Hyperlink"/>
          </w:rPr>
          <w:t xml:space="preserve">https://jriveraespejo.github.io/paper1_manuscript/</w:t>
        </w:r>
      </w:hyperlink>
      <w:r>
        <w:t xml:space="preserve">.</w:t>
      </w:r>
    </w:p>
    <w:p>
      <w:pPr>
        <w:pStyle w:val="BodyText"/>
      </w:pPr>
      <w:r>
        <w:rPr>
          <w:b/>
          <w:bCs/>
        </w:rPr>
        <w:t xml:space="preserve">Authors’ contributions:</w:t>
      </w:r>
      <w:r>
        <w:t xml:space="preserve"> </w:t>
      </w:r>
      <w:r>
        <w:rPr>
          <w:i/>
          <w:iCs/>
        </w:rPr>
        <w:t xml:space="preserve">Conceptualization:</w:t>
      </w:r>
      <w:r>
        <w:t xml:space="preserve"> </w:t>
      </w:r>
      <w:r>
        <w:t xml:space="preserve">S.G., S.dM., and J.M.R.E;</w:t>
      </w:r>
      <w:r>
        <w:t xml:space="preserve"> </w:t>
      </w:r>
      <w:r>
        <w:rPr>
          <w:i/>
          <w:iCs/>
        </w:rPr>
        <w:t xml:space="preserve">Data curation: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Funding acquisition:</w:t>
      </w:r>
      <w:r>
        <w:t xml:space="preserve"> </w:t>
      </w:r>
      <w:r>
        <w:t xml:space="preserve">S.G. and S.dM;</w:t>
      </w:r>
      <w:r>
        <w:t xml:space="preserve"> </w:t>
      </w:r>
      <w:r>
        <w:rPr>
          <w:i/>
          <w:iCs/>
        </w:rPr>
        <w:t xml:space="preserve">Investigation:</w:t>
      </w:r>
      <w:r>
        <w:t xml:space="preserve"> </w:t>
      </w:r>
      <w:r>
        <w:t xml:space="preserve">S.G.;</w:t>
      </w:r>
      <w:r>
        <w:t xml:space="preserve"> </w:t>
      </w:r>
      <w:r>
        <w:rPr>
          <w:i/>
          <w:iCs/>
        </w:rPr>
        <w:t xml:space="preserve">Methodology:</w:t>
      </w:r>
      <w:r>
        <w:t xml:space="preserve"> </w:t>
      </w:r>
      <w:r>
        <w:t xml:space="preserve">S.G., S.dM., and J.M.R.E;</w:t>
      </w:r>
      <w:r>
        <w:t xml:space="preserve"> </w:t>
      </w:r>
      <w:r>
        <w:rPr>
          <w:i/>
          <w:iCs/>
        </w:rPr>
        <w:t xml:space="preserve">Project administration:</w:t>
      </w:r>
      <w:r>
        <w:t xml:space="preserve"> </w:t>
      </w:r>
      <w:r>
        <w:t xml:space="preserve">S.G. and S.dM.;</w:t>
      </w:r>
      <w:r>
        <w:t xml:space="preserve"> </w:t>
      </w:r>
      <w:r>
        <w:rPr>
          <w:i/>
          <w:iCs/>
        </w:rPr>
        <w:t xml:space="preserve">Resources:</w:t>
      </w:r>
      <w:r>
        <w:t xml:space="preserve"> </w:t>
      </w:r>
      <w:r>
        <w:t xml:space="preserve">S.G. and S.dM.;</w:t>
      </w:r>
      <w:r>
        <w:t xml:space="preserve"> </w:t>
      </w:r>
      <w:r>
        <w:rPr>
          <w:i/>
          <w:iCs/>
        </w:rPr>
        <w:t xml:space="preserve">Software: J.M.R.E.</w:t>
      </w:r>
      <w:r>
        <w:t xml:space="preserve">;</w:t>
      </w:r>
      <w:r>
        <w:t xml:space="preserve"> </w:t>
      </w:r>
      <w:r>
        <w:rPr>
          <w:i/>
          <w:iCs/>
        </w:rPr>
        <w:t xml:space="preserve">Supervision:</w:t>
      </w:r>
      <w:r>
        <w:t xml:space="preserve"> </w:t>
      </w:r>
      <w:r>
        <w:t xml:space="preserve">S.G. and S.dM.;</w:t>
      </w:r>
      <w:r>
        <w:t xml:space="preserve"> </w:t>
      </w:r>
      <w:r>
        <w:rPr>
          <w:i/>
          <w:iCs/>
        </w:rPr>
        <w:t xml:space="preserve">Validation:</w:t>
      </w:r>
      <w:r>
        <w:t xml:space="preserve"> </w:t>
      </w:r>
      <w:r>
        <w:t xml:space="preserve">J.M.R.E.;</w:t>
      </w:r>
      <w:r>
        <w:t xml:space="preserve"> </w:t>
      </w:r>
      <w:r>
        <w:rPr>
          <w:i/>
          <w:iCs/>
        </w:rPr>
        <w:t xml:space="preserve">Visualization: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&amp; editing:</w:t>
      </w:r>
      <w:r>
        <w:t xml:space="preserve"> </w:t>
      </w:r>
      <w:r>
        <w:t xml:space="preserve">S.G. and S.dM.</w:t>
      </w:r>
    </w:p>
    <w:p>
      <w:r>
        <w:br w:type="page"/>
      </w:r>
    </w:p>
    <w:bookmarkEnd w:id="144"/>
    <w:bookmarkStart w:id="302" w:name="references"/>
    <w:p>
      <w:pPr>
        <w:pStyle w:val="Heading1"/>
      </w:pPr>
      <w:r>
        <w:t xml:space="preserve">References</w:t>
      </w:r>
    </w:p>
    <w:bookmarkStart w:id="301" w:name="refs"/>
    <w:bookmarkStart w:id="146" w:name="ref-Baker_1998"/>
    <w:p>
      <w:pPr>
        <w:pStyle w:val="Bibliography"/>
      </w:pPr>
      <w:r>
        <w:t xml:space="preserve">Baker, F. 1998.</w:t>
      </w:r>
      <w:r>
        <w:t xml:space="preserve"> </w:t>
      </w:r>
      <w:r>
        <w:t xml:space="preserve">“An Investigation of the Item Parameter Recovery Characteristics of a Gibbs Sampling Procedure.”</w:t>
      </w:r>
      <w:r>
        <w:t xml:space="preserve"> </w:t>
      </w:r>
      <w:r>
        <w:rPr>
          <w:i/>
          <w:iCs/>
        </w:rPr>
        <w:t xml:space="preserve">Applied Psychological Measurement</w:t>
      </w:r>
      <w:r>
        <w:t xml:space="preserve"> </w:t>
      </w:r>
      <w:r>
        <w:t xml:space="preserve">22 (22): 153–69.</w:t>
      </w:r>
      <w:r>
        <w:t xml:space="preserve"> </w:t>
      </w:r>
      <w:hyperlink r:id="rId145">
        <w:r>
          <w:rPr>
            <w:rStyle w:val="Hyperlink"/>
          </w:rPr>
          <w:t xml:space="preserve">https://doi.org/10.1177/01466216980222005</w:t>
        </w:r>
      </w:hyperlink>
      <w:r>
        <w:t xml:space="preserve">.</w:t>
      </w:r>
    </w:p>
    <w:bookmarkEnd w:id="146"/>
    <w:bookmarkStart w:id="148" w:name="ref-Baldwin_et_al_2013"/>
    <w:p>
      <w:pPr>
        <w:pStyle w:val="Bibliography"/>
      </w:pPr>
      <w:r>
        <w:t xml:space="preserve">Baldwin, S., and G. Fellingham. 2013.</w:t>
      </w:r>
      <w:r>
        <w:t xml:space="preserve"> </w:t>
      </w:r>
      <w:r>
        <w:t xml:space="preserve">“Bayesian Methods for the Analysis of Small Sample Multilevel Data with a Complex Variance Structure.”</w:t>
      </w:r>
      <w:r>
        <w:t xml:space="preserve"> </w:t>
      </w:r>
      <w:r>
        <w:rPr>
          <w:i/>
          <w:iCs/>
        </w:rPr>
        <w:t xml:space="preserve">Journal of Psychological Methods</w:t>
      </w:r>
      <w:r>
        <w:t xml:space="preserve"> </w:t>
      </w:r>
      <w:r>
        <w:t xml:space="preserve">18 (2): 151–64.</w:t>
      </w:r>
      <w:r>
        <w:t xml:space="preserve"> </w:t>
      </w:r>
      <w:hyperlink r:id="rId147">
        <w:r>
          <w:rPr>
            <w:rStyle w:val="Hyperlink"/>
          </w:rPr>
          <w:t xml:space="preserve">https://doi.org/10.1037/a0030642</w:t>
        </w:r>
      </w:hyperlink>
      <w:r>
        <w:t xml:space="preserve">.</w:t>
      </w:r>
    </w:p>
    <w:bookmarkEnd w:id="148"/>
    <w:bookmarkStart w:id="150" w:name="ref-Bayes_et_al_2012"/>
    <w:p>
      <w:pPr>
        <w:pStyle w:val="Bibliography"/>
      </w:pPr>
      <w:r>
        <w:t xml:space="preserve">Bayes, C., J. Bazán, and C. García. 2012.</w:t>
      </w:r>
      <w:r>
        <w:t xml:space="preserve"> </w:t>
      </w:r>
      <w:r>
        <w:t xml:space="preserve">“A New Robust Regression Model for Proportions.”</w:t>
      </w:r>
      <w:r>
        <w:t xml:space="preserve"> </w:t>
      </w:r>
      <w:r>
        <w:rPr>
          <w:i/>
          <w:iCs/>
        </w:rPr>
        <w:t xml:space="preserve">Bayesian Analysis</w:t>
      </w:r>
      <w:r>
        <w:t xml:space="preserve"> </w:t>
      </w:r>
      <w:r>
        <w:t xml:space="preserve">7 (4): 841–66.</w:t>
      </w:r>
      <w:r>
        <w:t xml:space="preserve"> </w:t>
      </w:r>
      <w:hyperlink r:id="rId149">
        <w:r>
          <w:rPr>
            <w:rStyle w:val="Hyperlink"/>
          </w:rPr>
          <w:t xml:space="preserve">https://doi.org/10.1214/12-ba728</w:t>
        </w:r>
      </w:hyperlink>
      <w:r>
        <w:t xml:space="preserve">.</w:t>
      </w:r>
    </w:p>
    <w:bookmarkEnd w:id="150"/>
    <w:bookmarkStart w:id="152" w:name="ref-Boonen_et_al_2021"/>
    <w:p>
      <w:pPr>
        <w:pStyle w:val="Bibliography"/>
      </w:pPr>
      <w:r>
        <w:t xml:space="preserve">Boonen, N., H. Kloots, P. Nurzia, and S. Gillis. 2021.</w:t>
      </w:r>
      <w:r>
        <w:t xml:space="preserve"> </w:t>
      </w:r>
      <w:r>
        <w:t xml:space="preserve">“Spontaneous Speech Intelligibility: Early Cochlear Implanted Children Versus Their Normally Hearing Peers at Seven Years of Age.”</w:t>
      </w:r>
      <w:r>
        <w:t xml:space="preserve"> </w:t>
      </w:r>
      <w:r>
        <w:rPr>
          <w:i/>
          <w:iCs/>
        </w:rPr>
        <w:t xml:space="preserve">Journal of Child Language</w:t>
      </w:r>
      <w:r>
        <w:t xml:space="preserve">, 1–26.</w:t>
      </w:r>
      <w:r>
        <w:t xml:space="preserve"> </w:t>
      </w:r>
      <w:hyperlink r:id="rId151">
        <w:r>
          <w:rPr>
            <w:rStyle w:val="Hyperlink"/>
          </w:rPr>
          <w:t xml:space="preserve">https://doi.org/10.1017/S0305000921000714</w:t>
        </w:r>
      </w:hyperlink>
      <w:r>
        <w:t xml:space="preserve">.</w:t>
      </w:r>
    </w:p>
    <w:bookmarkEnd w:id="152"/>
    <w:bookmarkStart w:id="154" w:name="ref-Boons_et_al_2012"/>
    <w:p>
      <w:pPr>
        <w:pStyle w:val="Bibliography"/>
      </w:pPr>
      <w:r>
        <w:t xml:space="preserve">Boons, T., J. Brokx, I. Dhooge, J. Frijns, L. Peeraer, A. Vermeulen, J. Wouters, and A. van Wieringen. 2012.</w:t>
      </w:r>
      <w:r>
        <w:t xml:space="preserve"> </w:t>
      </w:r>
      <w:r>
        <w:t xml:space="preserve">“Predictors of Spoken Language Development Following Pediatric Cochlear Implantation.”</w:t>
      </w:r>
      <w:r>
        <w:t xml:space="preserve"> </w:t>
      </w:r>
      <w:r>
        <w:rPr>
          <w:i/>
          <w:iCs/>
        </w:rPr>
        <w:t xml:space="preserve">Ear and Hearing</w:t>
      </w:r>
      <w:r>
        <w:t xml:space="preserve"> </w:t>
      </w:r>
      <w:r>
        <w:t xml:space="preserve">33 (5): 617–39.</w:t>
      </w:r>
      <w:r>
        <w:t xml:space="preserve"> </w:t>
      </w:r>
      <w:hyperlink r:id="rId153">
        <w:r>
          <w:rPr>
            <w:rStyle w:val="Hyperlink"/>
          </w:rPr>
          <w:t xml:space="preserve">https://doi.org/10.1097/AUD.0b013e3182503e47</w:t>
        </w:r>
      </w:hyperlink>
      <w:r>
        <w:t xml:space="preserve">.</w:t>
      </w:r>
    </w:p>
    <w:bookmarkEnd w:id="154"/>
    <w:bookmarkStart w:id="156" w:name="ref-Carrasco_et_al_2012"/>
    <w:p>
      <w:pPr>
        <w:pStyle w:val="Bibliography"/>
      </w:pPr>
      <w:r>
        <w:t xml:space="preserve">Carrasco, J., S. Ferrari, and R. Arellano-Valle. 2012.</w:t>
      </w:r>
      <w:r>
        <w:t xml:space="preserve"> </w:t>
      </w:r>
      <w:r>
        <w:t xml:space="preserve">“Errors-in-Variables Beta Regression Models.”</w:t>
      </w:r>
      <w:r>
        <w:t xml:space="preserve"> </w:t>
      </w:r>
      <w:hyperlink r:id="rId155">
        <w:r>
          <w:rPr>
            <w:rStyle w:val="Hyperlink"/>
          </w:rPr>
          <w:t xml:space="preserve">\url{https://arxiv.org/abs/1212.0870}</w:t>
        </w:r>
      </w:hyperlink>
      <w:r>
        <w:t xml:space="preserve">.</w:t>
      </w:r>
    </w:p>
    <w:bookmarkEnd w:id="156"/>
    <w:bookmarkStart w:id="158" w:name="ref-Castellanos_et_al_2014"/>
    <w:p>
      <w:pPr>
        <w:pStyle w:val="Bibliography"/>
      </w:pPr>
      <w:r>
        <w:t xml:space="preserve">Castellanos, I., W. Kronenberger, J. Beer, S. Henning, B. Colson, and D. Pisoni. 2014.</w:t>
      </w:r>
      <w:r>
        <w:t xml:space="preserve"> </w:t>
      </w:r>
      <w:r>
        <w:t xml:space="preserve">“Preschool Speech Intelligibility and Vocabulary Skills Predict Long-Term Speech and Language Outcomes Following Cochlear Implantation in Early Childhood.”</w:t>
      </w:r>
      <w:r>
        <w:t xml:space="preserve"> </w:t>
      </w:r>
      <w:r>
        <w:rPr>
          <w:i/>
          <w:iCs/>
        </w:rPr>
        <w:t xml:space="preserve">Cochlear Implants International</w:t>
      </w:r>
      <w:r>
        <w:t xml:space="preserve"> </w:t>
      </w:r>
      <w:r>
        <w:t xml:space="preserve">15 (4): 200–210.</w:t>
      </w:r>
      <w:r>
        <w:t xml:space="preserve"> </w:t>
      </w:r>
      <w:hyperlink r:id="rId157">
        <w:r>
          <w:rPr>
            <w:rStyle w:val="Hyperlink"/>
          </w:rPr>
          <w:t xml:space="preserve">https://doi.org/10.1179/1754762813Y.0000000043</w:t>
        </w:r>
      </w:hyperlink>
      <w:r>
        <w:t xml:space="preserve">.</w:t>
      </w:r>
    </w:p>
    <w:bookmarkEnd w:id="158"/>
    <w:bookmarkStart w:id="160" w:name="ref-Chin_et_al_2012"/>
    <w:p>
      <w:pPr>
        <w:pStyle w:val="Bibliography"/>
      </w:pPr>
      <w:r>
        <w:t xml:space="preserve">Chin, S., T. Bergeson, and J. Phan. 2012.</w:t>
      </w:r>
      <w:r>
        <w:t xml:space="preserve"> </w:t>
      </w:r>
      <w:r>
        <w:t xml:space="preserve">“Speech Intelligibility and Prosody Production in Children with Cochlear Implants.”</w:t>
      </w:r>
      <w:r>
        <w:t xml:space="preserve"> </w:t>
      </w:r>
      <w:r>
        <w:rPr>
          <w:i/>
          <w:iCs/>
        </w:rPr>
        <w:t xml:space="preserve">Journal of Communication Disorders</w:t>
      </w:r>
      <w:r>
        <w:t xml:space="preserve"> </w:t>
      </w:r>
      <w:r>
        <w:t xml:space="preserve">45: 355–66.</w:t>
      </w:r>
      <w:r>
        <w:t xml:space="preserve"> </w:t>
      </w:r>
      <w:hyperlink r:id="rId159">
        <w:r>
          <w:rPr>
            <w:rStyle w:val="Hyperlink"/>
          </w:rPr>
          <w:t xml:space="preserve">https://doi.org/10.1016/j.jcomdis.2012.05.003</w:t>
        </w:r>
      </w:hyperlink>
      <w:r>
        <w:t xml:space="preserve">.</w:t>
      </w:r>
    </w:p>
    <w:bookmarkEnd w:id="160"/>
    <w:bookmarkStart w:id="162" w:name="ref-Chin_et_al_2014"/>
    <w:p>
      <w:pPr>
        <w:pStyle w:val="Bibliography"/>
      </w:pPr>
      <w:r>
        <w:t xml:space="preserve">Chin, S., and M. Kuhns. 2014.</w:t>
      </w:r>
      <w:r>
        <w:t xml:space="preserve"> </w:t>
      </w:r>
      <w:r>
        <w:t xml:space="preserve">“Proximate Factors Associated with Speech Intelligibility in Children with Cochlear Implants: A Preliminary Study.”</w:t>
      </w:r>
      <w:r>
        <w:t xml:space="preserve"> </w:t>
      </w:r>
      <w:r>
        <w:rPr>
          <w:i/>
          <w:iCs/>
        </w:rPr>
        <w:t xml:space="preserve">Clinical Linguistics &amp; Phonetics</w:t>
      </w:r>
      <w:r>
        <w:t xml:space="preserve"> </w:t>
      </w:r>
      <w:r>
        <w:t xml:space="preserve">28 (7-8): 532–42.</w:t>
      </w:r>
      <w:r>
        <w:t xml:space="preserve"> </w:t>
      </w:r>
      <w:hyperlink r:id="rId161">
        <w:r>
          <w:rPr>
            <w:rStyle w:val="Hyperlink"/>
          </w:rPr>
          <w:t xml:space="preserve">https://doi.org/10.3109/02699206.2014.926997</w:t>
        </w:r>
      </w:hyperlink>
      <w:r>
        <w:t xml:space="preserve">.</w:t>
      </w:r>
    </w:p>
    <w:bookmarkEnd w:id="162"/>
    <w:bookmarkStart w:id="164" w:name="ref-Choi_2023"/>
    <w:p>
      <w:pPr>
        <w:pStyle w:val="Bibliography"/>
      </w:pPr>
      <w:r>
        <w:t xml:space="preserve">Choi, IH. 2023.</w:t>
      </w:r>
      <w:r>
        <w:t xml:space="preserve"> </w:t>
      </w:r>
      <w:r>
        <w:t xml:space="preserve">“The Impact of Measurement Noninvariance Across Time and Group in Longitudinal Item Response Modeling.”</w:t>
      </w:r>
      <w:r>
        <w:t xml:space="preserve"> </w:t>
      </w:r>
      <w:r>
        <w:rPr>
          <w:i/>
          <w:iCs/>
        </w:rPr>
        <w:t xml:space="preserve">Asia Pacific Education Review</w:t>
      </w:r>
      <w:r>
        <w:t xml:space="preserve">.</w:t>
      </w:r>
      <w:r>
        <w:t xml:space="preserve"> </w:t>
      </w:r>
      <w:hyperlink r:id="rId163">
        <w:r>
          <w:rPr>
            <w:rStyle w:val="Hyperlink"/>
          </w:rPr>
          <w:t xml:space="preserve">https://doi.org/10.1007/s12564-023-09907-4</w:t>
        </w:r>
      </w:hyperlink>
      <w:r>
        <w:t xml:space="preserve">.</w:t>
      </w:r>
    </w:p>
    <w:bookmarkEnd w:id="164"/>
    <w:bookmarkStart w:id="166" w:name="ref-Cinelli_et_al_2021"/>
    <w:p>
      <w:pPr>
        <w:pStyle w:val="Bibliography"/>
      </w:pPr>
      <w:r>
        <w:t xml:space="preserve">Cinelli, C., A. Forney, and J. Pearl. 2022.</w:t>
      </w:r>
      <w:r>
        <w:t xml:space="preserve"> </w:t>
      </w:r>
      <w:r>
        <w:t xml:space="preserve">“A Crash Course in Good and Bad Controls.”</w:t>
      </w:r>
      <w:r>
        <w:t xml:space="preserve"> </w:t>
      </w:r>
      <w:r>
        <w:rPr>
          <w:i/>
          <w:iCs/>
        </w:rPr>
        <w:t xml:space="preserve">SSRN</w:t>
      </w:r>
      <w:r>
        <w:t xml:space="preserve">, September. https://doi.org/</w:t>
      </w:r>
      <w:hyperlink r:id="rId165">
        <w:r>
          <w:rPr>
            <w:rStyle w:val="Hyperlink"/>
          </w:rPr>
          <w:t xml:space="preserve">http://dx.doi.org/10.2139/ssrn.3689437</w:t>
        </w:r>
      </w:hyperlink>
      <w:r>
        <w:t xml:space="preserve">.</w:t>
      </w:r>
    </w:p>
    <w:bookmarkEnd w:id="166"/>
    <w:bookmarkStart w:id="168" w:name="ref-Cox_et_al_1989"/>
    <w:p>
      <w:pPr>
        <w:pStyle w:val="Bibliography"/>
      </w:pPr>
      <w:r>
        <w:t xml:space="preserve">Cox, R., D. McDaniel, J. Kent, and J. Rosenbek. 1989.</w:t>
      </w:r>
      <w:r>
        <w:t xml:space="preserve"> </w:t>
      </w:r>
      <w:r>
        <w:t xml:space="preserve">“Development of the Speech Intelligibility Rating (SIR) Test for Hearing Aid Comparisons.”</w:t>
      </w:r>
      <w:r>
        <w:t xml:space="preserve"> </w:t>
      </w:r>
      <w:r>
        <w:rPr>
          <w:i/>
          <w:iCs/>
        </w:rPr>
        <w:t xml:space="preserve">Journal of Speech, Language, and Hearing Research</w:t>
      </w:r>
      <w:r>
        <w:t xml:space="preserve"> </w:t>
      </w:r>
      <w:r>
        <w:t xml:space="preserve">32 (2): 347–52.</w:t>
      </w:r>
      <w:r>
        <w:t xml:space="preserve"> </w:t>
      </w:r>
      <w:hyperlink r:id="rId167">
        <w:r>
          <w:rPr>
            <w:rStyle w:val="Hyperlink"/>
          </w:rPr>
          <w:t xml:space="preserve">https://doi.org/10.1044/jshr.3202.347</w:t>
        </w:r>
      </w:hyperlink>
      <w:r>
        <w:t xml:space="preserve">.</w:t>
      </w:r>
    </w:p>
    <w:bookmarkEnd w:id="168"/>
    <w:bookmarkStart w:id="170" w:name="ref-Cronbach_et_al_1955"/>
    <w:p>
      <w:pPr>
        <w:pStyle w:val="Bibliography"/>
      </w:pPr>
      <w:r>
        <w:t xml:space="preserve">Cronbach, L., and P. Meehl. 1955.</w:t>
      </w:r>
      <w:r>
        <w:t xml:space="preserve"> </w:t>
      </w:r>
      <w:r>
        <w:t xml:space="preserve">“Construct Validity in Psychological Tests.”</w:t>
      </w:r>
      <w:r>
        <w:t xml:space="preserve"> </w:t>
      </w:r>
      <w:r>
        <w:rPr>
          <w:i/>
          <w:iCs/>
        </w:rPr>
        <w:t xml:space="preserve">Psychological Bulletin</w:t>
      </w:r>
      <w:r>
        <w:t xml:space="preserve"> </w:t>
      </w:r>
      <w:r>
        <w:t xml:space="preserve">52 (4): 281–302.</w:t>
      </w:r>
      <w:r>
        <w:t xml:space="preserve"> </w:t>
      </w:r>
      <w:hyperlink r:id="rId169">
        <w:r>
          <w:rPr>
            <w:rStyle w:val="Hyperlink"/>
          </w:rPr>
          <w:t xml:space="preserve">https://doi.org/10.1037/h0040957</w:t>
        </w:r>
      </w:hyperlink>
      <w:r>
        <w:t xml:space="preserve">.</w:t>
      </w:r>
    </w:p>
    <w:bookmarkEnd w:id="170"/>
    <w:bookmarkStart w:id="172" w:name="ref-de_Brito_et_al_2021"/>
    <w:p>
      <w:pPr>
        <w:pStyle w:val="Bibliography"/>
      </w:pPr>
      <w:r>
        <w:t xml:space="preserve">de Brito Trindade, Daniele, Patrícia Leone Espinheira, Klaus Leite Pinto Vasconcellos, Jalmar Manuel Farfán Carrasco, and Maria do Carmo Soares de Lima. 2021.</w:t>
      </w:r>
      <w:r>
        <w:t xml:space="preserve"> </w:t>
      </w:r>
      <w:r>
        <w:t xml:space="preserve">“Beta Regression Model Nonlinear in the Parameters with Additive Measurement Errors in Variables.”</w:t>
      </w:r>
      <w:r>
        <w:t xml:space="preserve"> </w:t>
      </w:r>
      <w:r>
        <w:rPr>
          <w:i/>
          <w:iCs/>
        </w:rPr>
        <w:t xml:space="preserve">PLOS ONE</w:t>
      </w:r>
      <w:r>
        <w:t xml:space="preserve"> </w:t>
      </w:r>
      <w:r>
        <w:t xml:space="preserve">16 (7): 1–28.</w:t>
      </w:r>
      <w:r>
        <w:t xml:space="preserve"> </w:t>
      </w:r>
      <w:hyperlink r:id="rId171">
        <w:r>
          <w:rPr>
            <w:rStyle w:val="Hyperlink"/>
          </w:rPr>
          <w:t xml:space="preserve">https://doi.org/10.1371/journal.pone.0254103</w:t>
        </w:r>
      </w:hyperlink>
      <w:r>
        <w:t xml:space="preserve">.</w:t>
      </w:r>
    </w:p>
    <w:bookmarkEnd w:id="172"/>
    <w:bookmarkStart w:id="174" w:name="ref-Deffner_et_al_2022"/>
    <w:p>
      <w:pPr>
        <w:pStyle w:val="Bibliography"/>
      </w:pPr>
      <w:r>
        <w:t xml:space="preserve">Deffner, D., J. Rohrer, and R. McElreath. 2022.</w:t>
      </w:r>
      <w:r>
        <w:t xml:space="preserve"> </w:t>
      </w:r>
      <w:r>
        <w:t xml:space="preserve">“A Causal Framework for Cross-Cultural Generalizability.”</w:t>
      </w:r>
      <w:r>
        <w:t xml:space="preserve"> </w:t>
      </w:r>
      <w:r>
        <w:rPr>
          <w:i/>
          <w:iCs/>
        </w:rPr>
        <w:t xml:space="preserve">Advances in Methods and Practices in Psychological Science</w:t>
      </w:r>
      <w:r>
        <w:t xml:space="preserve"> </w:t>
      </w:r>
      <w:r>
        <w:t xml:space="preserve">5 (3).</w:t>
      </w:r>
      <w:r>
        <w:t xml:space="preserve"> </w:t>
      </w:r>
      <w:hyperlink r:id="rId173">
        <w:r>
          <w:rPr>
            <w:rStyle w:val="Hyperlink"/>
          </w:rPr>
          <w:t xml:space="preserve">https://doi.org/10.1177/25152459221106366</w:t>
        </w:r>
      </w:hyperlink>
      <w:r>
        <w:t xml:space="preserve">.</w:t>
      </w:r>
    </w:p>
    <w:bookmarkEnd w:id="174"/>
    <w:bookmarkStart w:id="176" w:name="ref-Depaoli_2014"/>
    <w:p>
      <w:pPr>
        <w:pStyle w:val="Bibliography"/>
      </w:pPr>
      <w:r>
        <w:t xml:space="preserve">Depaoli, S. 2014.</w:t>
      </w:r>
      <w:r>
        <w:t xml:space="preserve"> </w:t>
      </w:r>
      <w:r>
        <w:t xml:space="preserve">“The Impact of Inaccurate</w:t>
      </w:r>
      <w:r>
        <w:t xml:space="preserve"> </w:t>
      </w:r>
      <w:r>
        <w:t xml:space="preserve">‘Informative’</w:t>
      </w:r>
      <w:r>
        <w:t xml:space="preserve"> </w:t>
      </w:r>
      <w:r>
        <w:t xml:space="preserve">Priors for Growth Parameters in Bayesian Growth Mixture Modeling.”</w:t>
      </w:r>
      <w:r>
        <w:t xml:space="preserve"> </w:t>
      </w:r>
      <w:r>
        <w:rPr>
          <w:i/>
          <w:iCs/>
        </w:rPr>
        <w:t xml:space="preserve">Journal of Structural Equation Modeling</w:t>
      </w:r>
      <w:r>
        <w:t xml:space="preserve"> </w:t>
      </w:r>
      <w:r>
        <w:t xml:space="preserve">21: 239–52.</w:t>
      </w:r>
      <w:r>
        <w:t xml:space="preserve"> </w:t>
      </w:r>
      <w:hyperlink r:id="rId175">
        <w:r>
          <w:rPr>
            <w:rStyle w:val="Hyperlink"/>
          </w:rPr>
          <w:t xml:space="preserve">https://doi.org/10.1080/10705511.2014.882686</w:t>
        </w:r>
      </w:hyperlink>
      <w:r>
        <w:t xml:space="preserve">.</w:t>
      </w:r>
    </w:p>
    <w:bookmarkEnd w:id="176"/>
    <w:bookmarkStart w:id="178" w:name="ref-Depaoli_2021"/>
    <w:p>
      <w:pPr>
        <w:pStyle w:val="Bibliography"/>
      </w:pPr>
      <w:r>
        <w:t xml:space="preserve">———. 2021.</w:t>
      </w:r>
      <w:r>
        <w:t xml:space="preserve"> </w:t>
      </w:r>
      <w:hyperlink r:id="rId177">
        <w:r>
          <w:rPr>
            <w:rStyle w:val="Hyperlink"/>
            <w:i/>
            <w:iCs/>
          </w:rPr>
          <w:t xml:space="preserve">Bayesian Structural Equation Modeling</w:t>
        </w:r>
      </w:hyperlink>
      <w:r>
        <w:t xml:space="preserve">. Methodology in the Social Sciences. The Guilford Press.</w:t>
      </w:r>
    </w:p>
    <w:bookmarkEnd w:id="178"/>
    <w:bookmarkStart w:id="180" w:name="ref-Depaoli_et_al_2017"/>
    <w:p>
      <w:pPr>
        <w:pStyle w:val="Bibliography"/>
      </w:pPr>
      <w:r>
        <w:t xml:space="preserve">Depaoli, S., and R. van de Schoot. 2017.</w:t>
      </w:r>
      <w:r>
        <w:t xml:space="preserve"> </w:t>
      </w:r>
      <w:r>
        <w:t xml:space="preserve">“Improving Transparency and Replication in Bayesian Statistics: The WAMBS-Checklist.”</w:t>
      </w:r>
      <w:r>
        <w:t xml:space="preserve"> </w:t>
      </w:r>
      <w:r>
        <w:rPr>
          <w:i/>
          <w:iCs/>
        </w:rPr>
        <w:t xml:space="preserve">Psychological Methods</w:t>
      </w:r>
      <w:r>
        <w:t xml:space="preserve"> </w:t>
      </w:r>
      <w:r>
        <w:t xml:space="preserve">22 (2): 240–61.</w:t>
      </w:r>
      <w:r>
        <w:t xml:space="preserve"> </w:t>
      </w:r>
      <w:hyperlink r:id="rId179">
        <w:r>
          <w:rPr>
            <w:rStyle w:val="Hyperlink"/>
          </w:rPr>
          <w:t xml:space="preserve">https://doi.org/10.1037/met0000065</w:t>
        </w:r>
      </w:hyperlink>
      <w:r>
        <w:t xml:space="preserve">.</w:t>
      </w:r>
    </w:p>
    <w:bookmarkEnd w:id="180"/>
    <w:bookmarkStart w:id="182" w:name="ref-Dieteren_et_al_2023"/>
    <w:p>
      <w:pPr>
        <w:pStyle w:val="Bibliography"/>
      </w:pPr>
      <w:r>
        <w:t xml:space="preserve">Dieteren, C., I. Bonfrer, W. Brouwer, and J. van Exel. 2023.</w:t>
      </w:r>
      <w:r>
        <w:t xml:space="preserve"> </w:t>
      </w:r>
      <w:r>
        <w:t xml:space="preserve">“Public Preferences for Policies Promoting a Healthy Diet: A Discrete Choice Experiment.”</w:t>
      </w:r>
      <w:r>
        <w:t xml:space="preserve"> </w:t>
      </w:r>
      <w:r>
        <w:rPr>
          <w:i/>
          <w:iCs/>
        </w:rPr>
        <w:t xml:space="preserve">European Journal of Health Economics</w:t>
      </w:r>
      <w:r>
        <w:t xml:space="preserve"> </w:t>
      </w:r>
      <w:r>
        <w:t xml:space="preserve">24: 1429–40.</w:t>
      </w:r>
      <w:r>
        <w:t xml:space="preserve"> </w:t>
      </w:r>
      <w:hyperlink r:id="rId181">
        <w:r>
          <w:rPr>
            <w:rStyle w:val="Hyperlink"/>
          </w:rPr>
          <w:t xml:space="preserve">https://doi.org/10.1007/s10198-022-01554-7</w:t>
        </w:r>
      </w:hyperlink>
      <w:r>
        <w:t xml:space="preserve">.</w:t>
      </w:r>
    </w:p>
    <w:bookmarkEnd w:id="182"/>
    <w:bookmarkStart w:id="184" w:name="ref-Ertmer_2011"/>
    <w:p>
      <w:pPr>
        <w:pStyle w:val="Bibliography"/>
      </w:pPr>
      <w:r>
        <w:t xml:space="preserve">Ertmer, D. 2011.</w:t>
      </w:r>
      <w:r>
        <w:t xml:space="preserve"> </w:t>
      </w:r>
      <w:r>
        <w:t xml:space="preserve">“Assessing Speech Intelligibility in Children with Hearing Loss: Toward Revitalizing a Valuable Clinical Tool.”</w:t>
      </w:r>
      <w:r>
        <w:t xml:space="preserve"> </w:t>
      </w:r>
      <w:r>
        <w:rPr>
          <w:i/>
          <w:iCs/>
        </w:rPr>
        <w:t xml:space="preserve">Language, Speech, and Hearing Services in Schools</w:t>
      </w:r>
      <w:r>
        <w:t xml:space="preserve"> </w:t>
      </w:r>
      <w:r>
        <w:t xml:space="preserve">42 (1): 52–58.</w:t>
      </w:r>
      <w:r>
        <w:t xml:space="preserve"> </w:t>
      </w:r>
      <w:hyperlink r:id="rId183">
        <w:r>
          <w:rPr>
            <w:rStyle w:val="Hyperlink"/>
          </w:rPr>
          <w:t xml:space="preserve">https://doi.org/10.1044/0161-1461(2010/09-0081)</w:t>
        </w:r>
      </w:hyperlink>
      <w:r>
        <w:t xml:space="preserve">.</w:t>
      </w:r>
    </w:p>
    <w:bookmarkEnd w:id="184"/>
    <w:bookmarkStart w:id="185" w:name="ref-Everitt_et_al_2010"/>
    <w:p>
      <w:pPr>
        <w:pStyle w:val="Bibliography"/>
      </w:pPr>
      <w:r>
        <w:t xml:space="preserve">Everitt, B., and A. Skrondal. 2010.</w:t>
      </w:r>
      <w:r>
        <w:t xml:space="preserve"> </w:t>
      </w:r>
      <w:hyperlink r:id="rId177">
        <w:r>
          <w:rPr>
            <w:rStyle w:val="Hyperlink"/>
            <w:i/>
            <w:iCs/>
          </w:rPr>
          <w:t xml:space="preserve">The Cambridge Dictionary of Statistics</w:t>
        </w:r>
      </w:hyperlink>
      <w:r>
        <w:t xml:space="preserve">. Cambridge University Press.</w:t>
      </w:r>
    </w:p>
    <w:bookmarkEnd w:id="185"/>
    <w:bookmarkStart w:id="186" w:name="ref-Faes_et_al_2021"/>
    <w:p>
      <w:pPr>
        <w:pStyle w:val="Bibliography"/>
      </w:pPr>
      <w:r>
        <w:t xml:space="preserve">Faes, J., S. De Maeyer, and S. Gillis. 2021.</w:t>
      </w:r>
      <w:r>
        <w:t xml:space="preserve"> </w:t>
      </w:r>
      <w:r>
        <w:t xml:space="preserve">“</w:t>
      </w:r>
      <w:hyperlink r:id="rId177">
        <w:r>
          <w:rPr>
            <w:rStyle w:val="Hyperlink"/>
          </w:rPr>
          <w:t xml:space="preserve">Speech Intelligibility of Children with an Auditory Brainstem Implant: A Triple-Case Study</w:t>
        </w:r>
      </w:hyperlink>
      <w:r>
        <w:t xml:space="preserve">,”</w:t>
      </w:r>
      <w:r>
        <w:t xml:space="preserve"> </w:t>
      </w:r>
      <w:r>
        <w:t xml:space="preserve">1–50.</w:t>
      </w:r>
    </w:p>
    <w:bookmarkEnd w:id="186"/>
    <w:bookmarkStart w:id="188" w:name="ref-Fagan_et_al_2020"/>
    <w:p>
      <w:pPr>
        <w:pStyle w:val="Bibliography"/>
      </w:pPr>
      <w:r>
        <w:t xml:space="preserve">Fagan, M., L. Eisenberg, and K. Johnson. 2020.</w:t>
      </w:r>
      <w:r>
        <w:t xml:space="preserve"> </w:t>
      </w:r>
      <w:r>
        <w:t xml:space="preserve">“Investigating Early Pre-Implant Predictors of Language and Cognitive Development in Children with Cochlear Implants.”</w:t>
      </w:r>
      <w:r>
        <w:t xml:space="preserve"> </w:t>
      </w:r>
      <w:r>
        <w:t xml:space="preserve">In</w:t>
      </w:r>
      <w:r>
        <w:t xml:space="preserve"> </w:t>
      </w:r>
      <w:r>
        <w:rPr>
          <w:i/>
          <w:iCs/>
        </w:rPr>
        <w:t xml:space="preserve">Oxford Handbook of Deaf Studies in Learning and Cognition</w:t>
      </w:r>
      <w:r>
        <w:t xml:space="preserve">, edited by M. Marschark and H. Knoors, 46–95. Oxford University Press.</w:t>
      </w:r>
      <w:r>
        <w:t xml:space="preserve"> </w:t>
      </w:r>
      <w:hyperlink r:id="rId187">
        <w:r>
          <w:rPr>
            <w:rStyle w:val="Hyperlink"/>
          </w:rPr>
          <w:t xml:space="preserve">https://doi.org/10.1093/oxfordhb/9780190054045.013.3</w:t>
        </w:r>
      </w:hyperlink>
      <w:r>
        <w:t xml:space="preserve">.</w:t>
      </w:r>
    </w:p>
    <w:bookmarkEnd w:id="188"/>
    <w:bookmarkStart w:id="190" w:name="ref-Ferrari_et_al_2004"/>
    <w:p>
      <w:pPr>
        <w:pStyle w:val="Bibliography"/>
      </w:pPr>
      <w:r>
        <w:t xml:space="preserve">Ferrari, S., and F. Cribari-Neto. 2004.</w:t>
      </w:r>
      <w:r>
        <w:t xml:space="preserve"> </w:t>
      </w:r>
      <w:r>
        <w:t xml:space="preserve">“Beta Regression for Modelling Rates and Proportions.”</w:t>
      </w:r>
      <w:r>
        <w:t xml:space="preserve"> </w:t>
      </w:r>
      <w:r>
        <w:rPr>
          <w:i/>
          <w:iCs/>
        </w:rPr>
        <w:t xml:space="preserve">Journal of Applied Statistics</w:t>
      </w:r>
      <w:r>
        <w:t xml:space="preserve"> </w:t>
      </w:r>
      <w:r>
        <w:t xml:space="preserve">31 (7): 799–815.</w:t>
      </w:r>
      <w:r>
        <w:t xml:space="preserve"> </w:t>
      </w:r>
      <w:hyperlink r:id="rId189">
        <w:r>
          <w:rPr>
            <w:rStyle w:val="Hyperlink"/>
          </w:rPr>
          <w:t xml:space="preserve">https://doi.org/10.1080/0266476042000214501</w:t>
        </w:r>
      </w:hyperlink>
      <w:r>
        <w:t xml:space="preserve">.</w:t>
      </w:r>
    </w:p>
    <w:bookmarkEnd w:id="190"/>
    <w:bookmarkStart w:id="192" w:name="ref-Figueroa-Zuniga_et_al_2013"/>
    <w:p>
      <w:pPr>
        <w:pStyle w:val="Bibliography"/>
      </w:pPr>
      <w:r>
        <w:t xml:space="preserve">Figueroa-Zúñiga, J., R. Arellano-Valle, and S. Ferrari. 2013.</w:t>
      </w:r>
      <w:r>
        <w:t xml:space="preserve"> </w:t>
      </w:r>
      <w:r>
        <w:t xml:space="preserve">“Mixed Beta Regression.”</w:t>
      </w:r>
      <w:r>
        <w:t xml:space="preserve"> </w:t>
      </w:r>
      <w:r>
        <w:rPr>
          <w:i/>
          <w:iCs/>
        </w:rPr>
        <w:t xml:space="preserve">Computational Statistics &amp; Data Analysis</w:t>
      </w:r>
      <w:r>
        <w:t xml:space="preserve"> </w:t>
      </w:r>
      <w:r>
        <w:t xml:space="preserve">61: 137–47.</w:t>
      </w:r>
      <w:r>
        <w:t xml:space="preserve"> </w:t>
      </w:r>
      <w:hyperlink r:id="rId191">
        <w:r>
          <w:rPr>
            <w:rStyle w:val="Hyperlink"/>
          </w:rPr>
          <w:t xml:space="preserve">https://doi.org/10.1016/j.csda.2012.12.002</w:t>
        </w:r>
      </w:hyperlink>
      <w:r>
        <w:t xml:space="preserve">.</w:t>
      </w:r>
    </w:p>
    <w:bookmarkEnd w:id="192"/>
    <w:bookmarkStart w:id="194" w:name="ref-Figueroa-Zuniga_et_al_2021"/>
    <w:p>
      <w:pPr>
        <w:pStyle w:val="Bibliography"/>
      </w:pPr>
      <w:r>
        <w:t xml:space="preserve">Figueroa-Zúñiga, J., C. Bayes, V. Leiva, and S. Liu. 2021.</w:t>
      </w:r>
      <w:r>
        <w:t xml:space="preserve"> </w:t>
      </w:r>
      <w:r>
        <w:t xml:space="preserve">“Robust Beta Regression Modeling with Errors-in-Variables: A Bayesian Approach and Numerical Applications.”</w:t>
      </w:r>
      <w:r>
        <w:t xml:space="preserve"> </w:t>
      </w:r>
      <w:r>
        <w:rPr>
          <w:i/>
          <w:iCs/>
        </w:rPr>
        <w:t xml:space="preserve">Statistical Papers</w:t>
      </w:r>
      <w:r>
        <w:t xml:space="preserve">.</w:t>
      </w:r>
      <w:r>
        <w:t xml:space="preserve"> </w:t>
      </w:r>
      <w:hyperlink r:id="rId193">
        <w:r>
          <w:rPr>
            <w:rStyle w:val="Hyperlink"/>
          </w:rPr>
          <w:t xml:space="preserve">https://doi.org/10.1007/s00362-021-01260-1</w:t>
        </w:r>
      </w:hyperlink>
      <w:r>
        <w:t xml:space="preserve">.</w:t>
      </w:r>
    </w:p>
    <w:bookmarkEnd w:id="194"/>
    <w:bookmarkStart w:id="196" w:name="ref-Figueroa-Zuniga_et_al_2018"/>
    <w:p>
      <w:pPr>
        <w:pStyle w:val="Bibliography"/>
      </w:pPr>
      <w:r>
        <w:t xml:space="preserve">Figueroa-Zúñiga, J., J. Carrasco, R. Arellano-Valle, and S. Ferrari. 2018.</w:t>
      </w:r>
      <w:r>
        <w:t xml:space="preserve"> </w:t>
      </w:r>
      <w:r>
        <w:t xml:space="preserve">“A Bayesian Approach to Errors-in-Variables Beta Regression.”</w:t>
      </w:r>
      <w:r>
        <w:t xml:space="preserve"> </w:t>
      </w:r>
      <w:r>
        <w:rPr>
          <w:i/>
          <w:iCs/>
        </w:rPr>
        <w:t xml:space="preserve">Brazilian Journal of Probability and Statistics</w:t>
      </w:r>
      <w:r>
        <w:t xml:space="preserve"> </w:t>
      </w:r>
      <w:r>
        <w:t xml:space="preserve">32 (3): 559–82.</w:t>
      </w:r>
      <w:r>
        <w:t xml:space="preserve"> </w:t>
      </w:r>
      <w:hyperlink r:id="rId195">
        <w:r>
          <w:rPr>
            <w:rStyle w:val="Hyperlink"/>
          </w:rPr>
          <w:t xml:space="preserve">https://doi.org/10.1214/17-bjps354</w:t>
        </w:r>
      </w:hyperlink>
      <w:r>
        <w:t xml:space="preserve">.</w:t>
      </w:r>
    </w:p>
    <w:bookmarkEnd w:id="196"/>
    <w:bookmarkStart w:id="198" w:name="ref-Flipsen_2006"/>
    <w:p>
      <w:pPr>
        <w:pStyle w:val="Bibliography"/>
      </w:pPr>
      <w:r>
        <w:t xml:space="preserve">Flipsen, P. 2006.</w:t>
      </w:r>
      <w:r>
        <w:t xml:space="preserve"> </w:t>
      </w:r>
      <w:r>
        <w:t xml:space="preserve">“Measuring the Intelligibility of Conversational Speech in Children.”</w:t>
      </w:r>
      <w:r>
        <w:t xml:space="preserve"> </w:t>
      </w:r>
      <w:r>
        <w:rPr>
          <w:i/>
          <w:iCs/>
        </w:rPr>
        <w:t xml:space="preserve">Clinical Linguistics &amp; Phonetics</w:t>
      </w:r>
      <w:r>
        <w:t xml:space="preserve"> </w:t>
      </w:r>
      <w:r>
        <w:t xml:space="preserve">20 (4): 303–12.</w:t>
      </w:r>
      <w:r>
        <w:t xml:space="preserve"> </w:t>
      </w:r>
      <w:hyperlink r:id="rId197">
        <w:r>
          <w:rPr>
            <w:rStyle w:val="Hyperlink"/>
          </w:rPr>
          <w:t xml:space="preserve">https://doi.org/10.1080/02699200400024863</w:t>
        </w:r>
      </w:hyperlink>
      <w:r>
        <w:t xml:space="preserve">.</w:t>
      </w:r>
    </w:p>
    <w:bookmarkEnd w:id="198"/>
    <w:bookmarkStart w:id="200" w:name="ref-Freeman_et_al_2017"/>
    <w:p>
      <w:pPr>
        <w:pStyle w:val="Bibliography"/>
      </w:pPr>
      <w:r>
        <w:t xml:space="preserve">Freeman, V., D. Pisoni, W. Kronenberger, and I. Castellanos. 2017.</w:t>
      </w:r>
      <w:r>
        <w:t xml:space="preserve"> </w:t>
      </w:r>
      <w:r>
        <w:t xml:space="preserve">“Speech Intelligibility and Psychosocial Functioning in Deaf Children and Teens with Cochlear Implants.”</w:t>
      </w:r>
      <w:r>
        <w:t xml:space="preserve"> </w:t>
      </w:r>
      <w:r>
        <w:rPr>
          <w:i/>
          <w:iCs/>
        </w:rPr>
        <w:t xml:space="preserve">Journal of Deaf Studies and Deaf Education</w:t>
      </w:r>
      <w:r>
        <w:t xml:space="preserve"> </w:t>
      </w:r>
      <w:r>
        <w:t xml:space="preserve">22 (3): 278–89.</w:t>
      </w:r>
      <w:r>
        <w:t xml:space="preserve"> </w:t>
      </w:r>
      <w:hyperlink r:id="rId199">
        <w:r>
          <w:rPr>
            <w:rStyle w:val="Hyperlink"/>
          </w:rPr>
          <w:t xml:space="preserve">https://doi.org/10.1093/deafed/enx001</w:t>
        </w:r>
      </w:hyperlink>
      <w:r>
        <w:t xml:space="preserve">.</w:t>
      </w:r>
    </w:p>
    <w:bookmarkEnd w:id="200"/>
    <w:bookmarkStart w:id="201" w:name="ref-Gelman_et_al_2014"/>
    <w:p>
      <w:pPr>
        <w:pStyle w:val="Bibliography"/>
      </w:pPr>
      <w:r>
        <w:t xml:space="preserve">Gelman, A., J. Carlin, H. Stern, D. Dunson, A. Vehtari, and D. Rubin. 2014.</w:t>
      </w:r>
      <w:r>
        <w:t xml:space="preserve"> </w:t>
      </w:r>
      <w:hyperlink r:id="rId177">
        <w:r>
          <w:rPr>
            <w:rStyle w:val="Hyperlink"/>
            <w:i/>
            <w:iCs/>
          </w:rPr>
          <w:t xml:space="preserve">Bayesian Data Analysis</w:t>
        </w:r>
      </w:hyperlink>
      <w:r>
        <w:t xml:space="preserve">. 3rd ed. Texts in Statistical Science. Chapman; Hall/CRC.</w:t>
      </w:r>
    </w:p>
    <w:bookmarkEnd w:id="201"/>
    <w:bookmarkStart w:id="203" w:name="ref-Ghosh_2019"/>
    <w:p>
      <w:pPr>
        <w:pStyle w:val="Bibliography"/>
      </w:pPr>
      <w:r>
        <w:t xml:space="preserve">Ghosh, A. 2019.</w:t>
      </w:r>
      <w:r>
        <w:t xml:space="preserve"> </w:t>
      </w:r>
      <w:r>
        <w:t xml:space="preserve">“Robust Inference Under the Beta Regression Model with Application to Health Care Studies.”</w:t>
      </w:r>
      <w:r>
        <w:t xml:space="preserve"> </w:t>
      </w:r>
      <w:r>
        <w:rPr>
          <w:i/>
          <w:iCs/>
        </w:rPr>
        <w:t xml:space="preserve">Journal of Statistical Methods in Medical Research</w:t>
      </w:r>
      <w:r>
        <w:t xml:space="preserve"> </w:t>
      </w:r>
      <w:r>
        <w:t xml:space="preserve">28 (3): 871–88.</w:t>
      </w:r>
      <w:r>
        <w:t xml:space="preserve"> </w:t>
      </w:r>
      <w:hyperlink r:id="rId202">
        <w:r>
          <w:rPr>
            <w:rStyle w:val="Hyperlink"/>
          </w:rPr>
          <w:t xml:space="preserve">https://doi.org/10.1177/0962280217738142</w:t>
        </w:r>
      </w:hyperlink>
      <w:r>
        <w:t xml:space="preserve">.</w:t>
      </w:r>
    </w:p>
    <w:bookmarkEnd w:id="203"/>
    <w:bookmarkStart w:id="205" w:name="ref-Gillis_2018"/>
    <w:p>
      <w:pPr>
        <w:pStyle w:val="Bibliography"/>
      </w:pPr>
      <w:r>
        <w:t xml:space="preserve">Gillis, S. 2018.</w:t>
      </w:r>
      <w:r>
        <w:t xml:space="preserve"> </w:t>
      </w:r>
      <w:r>
        <w:t xml:space="preserve">“Speech and Language in Congenitally Deaf Children with a Cochlear Implant.”</w:t>
      </w:r>
      <w:r>
        <w:t xml:space="preserve"> </w:t>
      </w:r>
      <w:r>
        <w:t xml:space="preserve">In</w:t>
      </w:r>
      <w:r>
        <w:t xml:space="preserve"> </w:t>
      </w:r>
      <w:r>
        <w:rPr>
          <w:i/>
          <w:iCs/>
        </w:rPr>
        <w:t xml:space="preserve">Handbook of Communication Disorders: Theoretical, Empirical, and Applied Linguistic Perspectives</w:t>
      </w:r>
      <w:r>
        <w:t xml:space="preserve">, edited by ElitzurHG Dattner and Dorit Ravid, 765–92. De Gruyter Mouton.</w:t>
      </w:r>
      <w:r>
        <w:t xml:space="preserve"> </w:t>
      </w:r>
      <w:hyperlink r:id="rId204">
        <w:r>
          <w:rPr>
            <w:rStyle w:val="Hyperlink"/>
          </w:rPr>
          <w:t xml:space="preserve">https://doi.org/10.1515/9781614514909-038</w:t>
        </w:r>
      </w:hyperlink>
      <w:r>
        <w:t xml:space="preserve">.</w:t>
      </w:r>
    </w:p>
    <w:bookmarkEnd w:id="205"/>
    <w:bookmarkStart w:id="207" w:name="ref-Holmes_et_al_2019"/>
    <w:p>
      <w:pPr>
        <w:pStyle w:val="Bibliography"/>
      </w:pPr>
      <w:r>
        <w:t xml:space="preserve">Holmes, W., J. Bolin, and K. Kelley. 2019.</w:t>
      </w:r>
      <w:r>
        <w:t xml:space="preserve"> </w:t>
      </w:r>
      <w:r>
        <w:rPr>
          <w:i/>
          <w:iCs/>
        </w:rPr>
        <w:t xml:space="preserve">Multilevel Modeling Using r (2nd Edition)</w:t>
      </w:r>
      <w:r>
        <w:t xml:space="preserve">. Chapman; Hall/CRC.</w:t>
      </w:r>
      <w:r>
        <w:t xml:space="preserve"> </w:t>
      </w:r>
      <w:hyperlink r:id="rId206">
        <w:r>
          <w:rPr>
            <w:rStyle w:val="Hyperlink"/>
          </w:rPr>
          <w:t xml:space="preserve">https://doi.org/10.1201/9781351062268</w:t>
        </w:r>
      </w:hyperlink>
      <w:r>
        <w:t xml:space="preserve">.</w:t>
      </w:r>
    </w:p>
    <w:bookmarkEnd w:id="207"/>
    <w:bookmarkStart w:id="208" w:name="ref-Jeffreys_1998"/>
    <w:p>
      <w:pPr>
        <w:pStyle w:val="Bibliography"/>
      </w:pPr>
      <w:r>
        <w:t xml:space="preserve">Jeffreys, H. 1998.</w:t>
      </w:r>
      <w:r>
        <w:t xml:space="preserve"> </w:t>
      </w:r>
      <w:hyperlink r:id="rId177">
        <w:r>
          <w:rPr>
            <w:rStyle w:val="Hyperlink"/>
            <w:i/>
            <w:iCs/>
          </w:rPr>
          <w:t xml:space="preserve">Theory of Probability</w:t>
        </w:r>
      </w:hyperlink>
      <w:r>
        <w:t xml:space="preserve">. Oxford University Press.</w:t>
      </w:r>
    </w:p>
    <w:bookmarkEnd w:id="208"/>
    <w:bookmarkStart w:id="210" w:name="ref-Jenkins_2000"/>
    <w:p>
      <w:pPr>
        <w:pStyle w:val="Bibliography"/>
      </w:pPr>
      <w:r>
        <w:t xml:space="preserve">Jenkins, S. 2000.</w:t>
      </w:r>
      <w:r>
        <w:t xml:space="preserve"> </w:t>
      </w:r>
      <w:r>
        <w:t xml:space="preserve">“Cultural and Linguistic Miscues: A Case Study of International Teaching Assistant and Academic Faculty Miscommunication.”</w:t>
      </w:r>
      <w:r>
        <w:t xml:space="preserve"> </w:t>
      </w:r>
      <w:r>
        <w:rPr>
          <w:i/>
          <w:iCs/>
        </w:rPr>
        <w:t xml:space="preserve">International Journal of Intercultural Relations</w:t>
      </w:r>
      <w:r>
        <w:t xml:space="preserve"> </w:t>
      </w:r>
      <w:r>
        <w:t xml:space="preserve">24 (4): 477–501.</w:t>
      </w:r>
      <w:r>
        <w:t xml:space="preserve"> </w:t>
      </w:r>
      <w:hyperlink r:id="rId209">
        <w:r>
          <w:rPr>
            <w:rStyle w:val="Hyperlink"/>
          </w:rPr>
          <w:t xml:space="preserve">https://doi.org/10.1016/S0147-1767(00)00011-0</w:t>
        </w:r>
      </w:hyperlink>
      <w:r>
        <w:t xml:space="preserve">.</w:t>
      </w:r>
    </w:p>
    <w:bookmarkEnd w:id="210"/>
    <w:bookmarkStart w:id="212" w:name="ref-Kangmennaang_et_al_2023"/>
    <w:p>
      <w:pPr>
        <w:pStyle w:val="Bibliography"/>
      </w:pPr>
      <w:r>
        <w:t xml:space="preserve">Kangmennaang, J., A. Siiba, and E. Bisung. 2023.</w:t>
      </w:r>
      <w:r>
        <w:t xml:space="preserve"> </w:t>
      </w:r>
      <w:r>
        <w:t xml:space="preserve">“Does Trust Mediate the Relationship Between Experiences of Discrimination and Health Care Access and Utilization Among Minoritized Canadians During COVID-19 Pandemic?”</w:t>
      </w:r>
      <w:r>
        <w:t xml:space="preserve"> </w:t>
      </w:r>
      <w:r>
        <w:rPr>
          <w:i/>
          <w:iCs/>
        </w:rPr>
        <w:t xml:space="preserve">Journal of Racial and Ethnic Health Disparities</w:t>
      </w:r>
      <w:r>
        <w:t xml:space="preserve">.</w:t>
      </w:r>
      <w:r>
        <w:t xml:space="preserve"> </w:t>
      </w:r>
      <w:hyperlink r:id="rId211">
        <w:r>
          <w:rPr>
            <w:rStyle w:val="Hyperlink"/>
          </w:rPr>
          <w:t xml:space="preserve">https://doi.org/10.1007/s40615-023-01809-w</w:t>
        </w:r>
      </w:hyperlink>
      <w:r>
        <w:t xml:space="preserve">.</w:t>
      </w:r>
    </w:p>
    <w:bookmarkEnd w:id="212"/>
    <w:bookmarkStart w:id="214" w:name="ref-Kent_et_al_1994"/>
    <w:p>
      <w:pPr>
        <w:pStyle w:val="Bibliography"/>
      </w:pPr>
      <w:r>
        <w:t xml:space="preserve">Kent, R. D., G. Miolo, and S. Bloedel. 19943.</w:t>
      </w:r>
      <w:r>
        <w:t xml:space="preserve"> </w:t>
      </w:r>
      <w:r>
        <w:t xml:space="preserve">“The Intelligibility of Children’s Speech: A Review of Evaluation Procedures.”</w:t>
      </w:r>
      <w:r>
        <w:t xml:space="preserve"> </w:t>
      </w:r>
      <w:r>
        <w:rPr>
          <w:i/>
          <w:iCs/>
        </w:rPr>
        <w:t xml:space="preserve">American Journal of Speech-Language Pathology</w:t>
      </w:r>
      <w:r>
        <w:t xml:space="preserve"> </w:t>
      </w:r>
      <w:r>
        <w:t xml:space="preserve">3 (2): 81–95.</w:t>
      </w:r>
      <w:r>
        <w:t xml:space="preserve"> </w:t>
      </w:r>
      <w:hyperlink r:id="rId213">
        <w:r>
          <w:rPr>
            <w:rStyle w:val="Hyperlink"/>
          </w:rPr>
          <w:t xml:space="preserve">https://doi.org/10.1044/1058-0360.0302.81</w:t>
        </w:r>
      </w:hyperlink>
      <w:r>
        <w:t xml:space="preserve">.</w:t>
      </w:r>
    </w:p>
    <w:bookmarkEnd w:id="214"/>
    <w:bookmarkStart w:id="216" w:name="ref-Kent_et_al_1989"/>
    <w:p>
      <w:pPr>
        <w:pStyle w:val="Bibliography"/>
      </w:pPr>
      <w:r>
        <w:t xml:space="preserve">Kent, R., G. Weismer, J. Kent, and J. Rosenbek. 1989.</w:t>
      </w:r>
      <w:r>
        <w:t xml:space="preserve"> </w:t>
      </w:r>
      <w:r>
        <w:t xml:space="preserve">“Toward Phonetic Intelligibility Testing in Dysarthria.”</w:t>
      </w:r>
      <w:r>
        <w:t xml:space="preserve"> </w:t>
      </w:r>
      <w:r>
        <w:rPr>
          <w:i/>
          <w:iCs/>
        </w:rPr>
        <w:t xml:space="preserve">Journal of Speech and Hearing Disorders</w:t>
      </w:r>
      <w:r>
        <w:t xml:space="preserve"> </w:t>
      </w:r>
      <w:r>
        <w:t xml:space="preserve">54 (4): 482–99.</w:t>
      </w:r>
      <w:r>
        <w:t xml:space="preserve"> </w:t>
      </w:r>
      <w:hyperlink r:id="rId215">
        <w:r>
          <w:rPr>
            <w:rStyle w:val="Hyperlink"/>
          </w:rPr>
          <w:t xml:space="preserve">https://doi.org/10.1044/jshd.5404.482</w:t>
        </w:r>
      </w:hyperlink>
      <w:r>
        <w:t xml:space="preserve">.</w:t>
      </w:r>
    </w:p>
    <w:bookmarkEnd w:id="216"/>
    <w:bookmarkStart w:id="218" w:name="ref-Khwaileh_et_al_2010"/>
    <w:p>
      <w:pPr>
        <w:pStyle w:val="Bibliography"/>
      </w:pPr>
      <w:r>
        <w:t xml:space="preserve">Khwaileh, F., and P. Flipsen. 2010.</w:t>
      </w:r>
      <w:r>
        <w:t xml:space="preserve"> </w:t>
      </w:r>
      <w:r>
        <w:t xml:space="preserve">“Single Word and Sentence Intelligibility in Children with Cochlear Implants.”</w:t>
      </w:r>
      <w:r>
        <w:t xml:space="preserve"> </w:t>
      </w:r>
      <w:r>
        <w:rPr>
          <w:i/>
          <w:iCs/>
        </w:rPr>
        <w:t xml:space="preserve">Clinical Linguistics &amp; Phonetics</w:t>
      </w:r>
      <w:r>
        <w:t xml:space="preserve"> </w:t>
      </w:r>
      <w:r>
        <w:t xml:space="preserve">24 (9): 722–33.</w:t>
      </w:r>
      <w:r>
        <w:t xml:space="preserve"> </w:t>
      </w:r>
      <w:hyperlink r:id="rId217">
        <w:r>
          <w:rPr>
            <w:rStyle w:val="Hyperlink"/>
          </w:rPr>
          <w:t xml:space="preserve">https://doi.org/10.3109/02699206.2010.490003</w:t>
        </w:r>
      </w:hyperlink>
      <w:r>
        <w:t xml:space="preserve">.</w:t>
      </w:r>
    </w:p>
    <w:bookmarkEnd w:id="218"/>
    <w:bookmarkStart w:id="220" w:name="ref-Kim_et_al_1999"/>
    <w:p>
      <w:pPr>
        <w:pStyle w:val="Bibliography"/>
      </w:pPr>
      <w:r>
        <w:t xml:space="preserve">Kim, S., and A. Cohen. 1999.</w:t>
      </w:r>
      <w:r>
        <w:t xml:space="preserve"> </w:t>
      </w:r>
      <w:r>
        <w:t xml:space="preserve">“Accuracy of Parameter Estimation in Gibbs Sampling Under the Two-Parameter Logistic Model.”</w:t>
      </w:r>
      <w:r>
        <w:t xml:space="preserve"> </w:t>
      </w:r>
      <w:r>
        <w:t xml:space="preserve">In</w:t>
      </w:r>
      <w:r>
        <w:t xml:space="preserve"> </w:t>
      </w:r>
      <w:r>
        <w:rPr>
          <w:i/>
          <w:iCs/>
        </w:rPr>
        <w:t xml:space="preserve">Annual Meeting of the American Educational Research Association</w:t>
      </w:r>
      <w:r>
        <w:t xml:space="preserve">. American Educational Research Association.</w:t>
      </w:r>
      <w:r>
        <w:t xml:space="preserve"> </w:t>
      </w:r>
      <w:hyperlink r:id="rId219">
        <w:r>
          <w:rPr>
            <w:rStyle w:val="Hyperlink"/>
          </w:rPr>
          <w:t xml:space="preserve">\url{https://eric.ed.gov/?id=ED430012}</w:t>
        </w:r>
      </w:hyperlink>
      <w:r>
        <w:t xml:space="preserve">.</w:t>
      </w:r>
    </w:p>
    <w:bookmarkEnd w:id="220"/>
    <w:bookmarkStart w:id="222" w:name="ref-Kullback_et_al_1951"/>
    <w:p>
      <w:pPr>
        <w:pStyle w:val="Bibliography"/>
      </w:pPr>
      <w:r>
        <w:t xml:space="preserve">Kullback, S., and R. Leibler. 1951.</w:t>
      </w:r>
      <w:r>
        <w:t xml:space="preserve"> </w:t>
      </w:r>
      <w:r>
        <w:t xml:space="preserve">“On Information and Sufficiency.”</w:t>
      </w:r>
      <w:r>
        <w:t xml:space="preserve"> </w:t>
      </w:r>
      <w:r>
        <w:rPr>
          <w:i/>
          <w:iCs/>
        </w:rPr>
        <w:t xml:space="preserve">The Annals of Mathematical Statistics</w:t>
      </w:r>
      <w:r>
        <w:t xml:space="preserve"> </w:t>
      </w:r>
      <w:r>
        <w:t xml:space="preserve">22 (1): 79–86.</w:t>
      </w:r>
      <w:r>
        <w:t xml:space="preserve"> </w:t>
      </w:r>
      <w:hyperlink r:id="rId221">
        <w:r>
          <w:rPr>
            <w:rStyle w:val="Hyperlink"/>
          </w:rPr>
          <w:t xml:space="preserve">\url{http://www.jstor.org/stable/2236703}</w:t>
        </w:r>
      </w:hyperlink>
      <w:r>
        <w:t xml:space="preserve">.</w:t>
      </w:r>
    </w:p>
    <w:bookmarkEnd w:id="222"/>
    <w:bookmarkStart w:id="224" w:name="ref-Lagerberg_et_al_2014"/>
    <w:p>
      <w:pPr>
        <w:pStyle w:val="Bibliography"/>
      </w:pPr>
      <w:r>
        <w:t xml:space="preserve">Lagerberg, T., J. Asberg, L. Hartelius, and C. Persson. 2014.</w:t>
      </w:r>
      <w:r>
        <w:t xml:space="preserve"> </w:t>
      </w:r>
      <w:r>
        <w:t xml:space="preserve">“Assessment of Intelligibility Using Children’s Spontaneous Speech: Methodological Aspects.”</w:t>
      </w:r>
      <w:r>
        <w:t xml:space="preserve"> </w:t>
      </w:r>
      <w:r>
        <w:rPr>
          <w:i/>
          <w:iCs/>
        </w:rPr>
        <w:t xml:space="preserve">International Journal of Language and Communication Disorders</w:t>
      </w:r>
      <w:r>
        <w:t xml:space="preserve"> </w:t>
      </w:r>
      <w:r>
        <w:t xml:space="preserve">49 (2): 228–39.</w:t>
      </w:r>
      <w:r>
        <w:t xml:space="preserve"> </w:t>
      </w:r>
      <w:hyperlink r:id="rId223">
        <w:r>
          <w:rPr>
            <w:rStyle w:val="Hyperlink"/>
          </w:rPr>
          <w:t xml:space="preserve">https://doi.org/10.1111/1460-6984.12067</w:t>
        </w:r>
      </w:hyperlink>
      <w:r>
        <w:t xml:space="preserve">.</w:t>
      </w:r>
    </w:p>
    <w:bookmarkEnd w:id="224"/>
    <w:bookmarkStart w:id="226" w:name="ref-Lambert_et_al_2005"/>
    <w:p>
      <w:pPr>
        <w:pStyle w:val="Bibliography"/>
      </w:pPr>
      <w:r>
        <w:t xml:space="preserve">Lambert, P., A. Sutton, P. Burton, K. Abrams, and D. Jones. 2006.</w:t>
      </w:r>
      <w:r>
        <w:t xml:space="preserve"> </w:t>
      </w:r>
      <w:r>
        <w:t xml:space="preserve">“How Vague Is Vague? A Simulation Study of the Impact of the Use of Vague Prior Distributions in MCMC Using WinBUGS.”</w:t>
      </w:r>
      <w:r>
        <w:t xml:space="preserve"> </w:t>
      </w:r>
      <w:r>
        <w:rPr>
          <w:i/>
          <w:iCs/>
        </w:rPr>
        <w:t xml:space="preserve">Journal of Statistics in Medicine</w:t>
      </w:r>
      <w:r>
        <w:t xml:space="preserve"> </w:t>
      </w:r>
      <w:r>
        <w:t xml:space="preserve">24 (15): 2401–28.</w:t>
      </w:r>
      <w:r>
        <w:t xml:space="preserve"> </w:t>
      </w:r>
      <w:hyperlink r:id="rId225">
        <w:r>
          <w:rPr>
            <w:rStyle w:val="Hyperlink"/>
          </w:rPr>
          <w:t xml:space="preserve">https://doi.org/10.1002/sim.2112</w:t>
        </w:r>
      </w:hyperlink>
      <w:r>
        <w:t xml:space="preserve">.</w:t>
      </w:r>
    </w:p>
    <w:bookmarkEnd w:id="226"/>
    <w:bookmarkStart w:id="228" w:name="ref-Lebl_2022"/>
    <w:p>
      <w:pPr>
        <w:pStyle w:val="Bibliography"/>
      </w:pPr>
      <w:r>
        <w:t xml:space="preserve">Lebl, J. 2022.</w:t>
      </w:r>
      <w:r>
        <w:t xml:space="preserve"> </w:t>
      </w:r>
      <w:r>
        <w:rPr>
          <w:i/>
          <w:iCs/>
        </w:rPr>
        <w:t xml:space="preserve">Basic Analysis i &amp; II: Introduction to Real Analysis, Volumes i &amp; II</w:t>
      </w:r>
      <w:r>
        <w:t xml:space="preserve">.</w:t>
      </w:r>
      <w:r>
        <w:t xml:space="preserve"> </w:t>
      </w:r>
      <w:hyperlink r:id="rId227">
        <w:r>
          <w:rPr>
            <w:rStyle w:val="Hyperlink"/>
          </w:rPr>
          <w:t xml:space="preserve">\url{https://www.jirka.org/ra/html/frontmatter-1.html}</w:t>
        </w:r>
      </w:hyperlink>
      <w:r>
        <w:t xml:space="preserve">.</w:t>
      </w:r>
    </w:p>
    <w:bookmarkEnd w:id="228"/>
    <w:bookmarkStart w:id="229" w:name="ref-Lesterhuis_2018"/>
    <w:p>
      <w:pPr>
        <w:pStyle w:val="Bibliography"/>
      </w:pPr>
      <w:r>
        <w:t xml:space="preserve">Lesterhuis, M. 2018.</w:t>
      </w:r>
      <w:r>
        <w:t xml:space="preserve"> </w:t>
      </w:r>
      <w:r>
        <w:t xml:space="preserve">“The Validity of Comparative Judgement for Assessing Text Quality: An Assessor’s Perspective.”</w:t>
      </w:r>
      <w:r>
        <w:t xml:space="preserve"> </w:t>
      </w:r>
      <w:r>
        <w:t xml:space="preserve">PhD thesis, University of Antwerp.</w:t>
      </w:r>
    </w:p>
    <w:bookmarkEnd w:id="229"/>
    <w:bookmarkStart w:id="231" w:name="ref-Lopes_et_al_2023"/>
    <w:p>
      <w:pPr>
        <w:pStyle w:val="Bibliography"/>
      </w:pPr>
      <w:r>
        <w:t xml:space="preserve">Lopes, S., L. Shi, X. Pan, Y. Gu, C. Dengler-Crish, Y. Yan Li, B. Tiwari, and D. Zhang. 2023.</w:t>
      </w:r>
      <w:r>
        <w:t xml:space="preserve"> </w:t>
      </w:r>
      <w:r>
        <w:t xml:space="preserve">“Meditation and Cognitive Outcomes: A Longitudinal Analysis Using Data from the Health and Retirement Study 2000–2016.”</w:t>
      </w:r>
      <w:r>
        <w:t xml:space="preserve"> </w:t>
      </w:r>
      <w:r>
        <w:rPr>
          <w:i/>
          <w:iCs/>
        </w:rPr>
        <w:t xml:space="preserve">Mindfulness</w:t>
      </w:r>
      <w:r>
        <w:t xml:space="preserve"> </w:t>
      </w:r>
      <w:r>
        <w:t xml:space="preserve">14: 1705–17.</w:t>
      </w:r>
      <w:r>
        <w:t xml:space="preserve"> </w:t>
      </w:r>
      <w:hyperlink r:id="rId230">
        <w:r>
          <w:rPr>
            <w:rStyle w:val="Hyperlink"/>
          </w:rPr>
          <w:t xml:space="preserve">https://doi.org/10.1007/s12671-023-02165-w</w:t>
        </w:r>
      </w:hyperlink>
      <w:r>
        <w:t xml:space="preserve">.</w:t>
      </w:r>
    </w:p>
    <w:bookmarkEnd w:id="231"/>
    <w:bookmarkStart w:id="233" w:name="ref-MacWhinney_2020"/>
    <w:p>
      <w:pPr>
        <w:pStyle w:val="Bibliography"/>
      </w:pPr>
      <w:r>
        <w:t xml:space="preserve">MacWhinney, B. 2020.</w:t>
      </w:r>
      <w:r>
        <w:t xml:space="preserve"> </w:t>
      </w:r>
      <w:r>
        <w:rPr>
          <w:i/>
          <w:iCs/>
        </w:rPr>
        <w:t xml:space="preserve">The CHILDES Project: Tools for Analyzing Talk</w:t>
      </w:r>
      <w:r>
        <w:t xml:space="preserve">. Lawrence Erlbaum Associates.</w:t>
      </w:r>
      <w:r>
        <w:t xml:space="preserve"> </w:t>
      </w:r>
      <w:hyperlink r:id="rId232">
        <w:r>
          <w:rPr>
            <w:rStyle w:val="Hyperlink"/>
          </w:rPr>
          <w:t xml:space="preserve">https://doi.org/10.21415/3mhn-0z89</w:t>
        </w:r>
      </w:hyperlink>
      <w:r>
        <w:t xml:space="preserve">.</w:t>
      </w:r>
    </w:p>
    <w:bookmarkEnd w:id="233"/>
    <w:bookmarkStart w:id="235" w:name="ref-Martin_et_al_1975"/>
    <w:p>
      <w:pPr>
        <w:pStyle w:val="Bibliography"/>
      </w:pPr>
      <w:r>
        <w:t xml:space="preserve">Martin, J., and R. McDonald. 1975.</w:t>
      </w:r>
      <w:r>
        <w:t xml:space="preserve"> </w:t>
      </w:r>
      <w:r>
        <w:t xml:space="preserve">“Bayesian Estimation in Unrestricted Factor Analysis: A Treatment for Heywood Cases.”</w:t>
      </w:r>
      <w:r>
        <w:t xml:space="preserve"> </w:t>
      </w:r>
      <w:r>
        <w:rPr>
          <w:i/>
          <w:iCs/>
        </w:rPr>
        <w:t xml:space="preserve">Psychometrika</w:t>
      </w:r>
      <w:r>
        <w:t xml:space="preserve">, no. 40: 505–17.</w:t>
      </w:r>
      <w:r>
        <w:t xml:space="preserve"> </w:t>
      </w:r>
      <w:hyperlink r:id="rId234">
        <w:r>
          <w:rPr>
            <w:rStyle w:val="Hyperlink"/>
          </w:rPr>
          <w:t xml:space="preserve">https://doi.org/10.1007/BF02291552</w:t>
        </w:r>
      </w:hyperlink>
      <w:r>
        <w:t xml:space="preserve">.</w:t>
      </w:r>
    </w:p>
    <w:bookmarkEnd w:id="235"/>
    <w:bookmarkStart w:id="237" w:name="ref-Mayer_1969"/>
    <w:p>
      <w:pPr>
        <w:pStyle w:val="Bibliography"/>
      </w:pPr>
      <w:r>
        <w:t xml:space="preserve">Mayer, M. 1969.</w:t>
      </w:r>
      <w:r>
        <w:t xml:space="preserve"> </w:t>
      </w:r>
      <w:r>
        <w:rPr>
          <w:i/>
          <w:iCs/>
        </w:rPr>
        <w:t xml:space="preserve">Frog, Where Are You?</w:t>
      </w:r>
      <w:r>
        <w:t xml:space="preserve"> Boy, a Dog, and a Frog. Dial Books for Young Readers.</w:t>
      </w:r>
      <w:r>
        <w:t xml:space="preserve"> </w:t>
      </w:r>
      <w:hyperlink r:id="rId236">
        <w:r>
          <w:rPr>
            <w:rStyle w:val="Hyperlink"/>
          </w:rPr>
          <w:t xml:space="preserve">\url{https://books.google.be/books?id=Asi5KQAACAAJ}</w:t>
        </w:r>
      </w:hyperlink>
      <w:r>
        <w:t xml:space="preserve">.</w:t>
      </w:r>
    </w:p>
    <w:bookmarkEnd w:id="237"/>
    <w:bookmarkStart w:id="238" w:name="ref-McElreath_2020"/>
    <w:p>
      <w:pPr>
        <w:pStyle w:val="Bibliography"/>
      </w:pPr>
      <w:r>
        <w:t xml:space="preserve">McElreath, R. 2020.</w:t>
      </w:r>
      <w:r>
        <w:t xml:space="preserve"> </w:t>
      </w:r>
      <w:hyperlink r:id="rId177">
        <w:r>
          <w:rPr>
            <w:rStyle w:val="Hyperlink"/>
            <w:i/>
            <w:iCs/>
          </w:rPr>
          <w:t xml:space="preserve">Statistical Rethinking: A Bayesian Course with Examples in r and STAN</w:t>
        </w:r>
      </w:hyperlink>
      <w:r>
        <w:t xml:space="preserve">. Chapman; Hall/CRC.</w:t>
      </w:r>
    </w:p>
    <w:bookmarkEnd w:id="238"/>
    <w:bookmarkStart w:id="240" w:name="ref-Montag_et_al_2014"/>
    <w:p>
      <w:pPr>
        <w:pStyle w:val="Bibliography"/>
      </w:pPr>
      <w:r>
        <w:t xml:space="preserve">Montag, J., A. AuBuchon, D. Pisoni, and W. Kronenberger. 2014.</w:t>
      </w:r>
      <w:r>
        <w:t xml:space="preserve"> </w:t>
      </w:r>
      <w:r>
        <w:t xml:space="preserve">“Speech Intelligibility in Deaf Children After Long-Term Cochlear Implant Use.”</w:t>
      </w:r>
      <w:r>
        <w:t xml:space="preserve"> </w:t>
      </w:r>
      <w:r>
        <w:rPr>
          <w:i/>
          <w:iCs/>
        </w:rPr>
        <w:t xml:space="preserve">Journal of Speech, Language, and Hearing Research</w:t>
      </w:r>
      <w:r>
        <w:t xml:space="preserve"> </w:t>
      </w:r>
      <w:r>
        <w:t xml:space="preserve">57 (6): 2332–43.</w:t>
      </w:r>
      <w:r>
        <w:t xml:space="preserve"> </w:t>
      </w:r>
      <w:hyperlink r:id="rId239">
        <w:r>
          <w:rPr>
            <w:rStyle w:val="Hyperlink"/>
          </w:rPr>
          <w:t xml:space="preserve">https://doi.org/10.1044/2014\_JSLHR-H-14-0190</w:t>
        </w:r>
      </w:hyperlink>
      <w:r>
        <w:t xml:space="preserve">.</w:t>
      </w:r>
    </w:p>
    <w:bookmarkEnd w:id="240"/>
    <w:bookmarkStart w:id="242" w:name="ref-Munro_1998"/>
    <w:p>
      <w:pPr>
        <w:pStyle w:val="Bibliography"/>
      </w:pPr>
      <w:r>
        <w:t xml:space="preserve">Munro, M. 1998.</w:t>
      </w:r>
      <w:r>
        <w:t xml:space="preserve"> </w:t>
      </w:r>
      <w:r>
        <w:t xml:space="preserve">“The Effects of Noise on the Intelligibility of Foreign-Accented Speech.”</w:t>
      </w:r>
      <w:r>
        <w:t xml:space="preserve"> </w:t>
      </w:r>
      <w:r>
        <w:rPr>
          <w:i/>
          <w:iCs/>
        </w:rPr>
        <w:t xml:space="preserve">Studies in Second Language Acquisition</w:t>
      </w:r>
      <w:r>
        <w:t xml:space="preserve"> </w:t>
      </w:r>
      <w:r>
        <w:t xml:space="preserve">20 (2): 139–54.</w:t>
      </w:r>
      <w:r>
        <w:t xml:space="preserve"> </w:t>
      </w:r>
      <w:hyperlink r:id="rId241">
        <w:r>
          <w:rPr>
            <w:rStyle w:val="Hyperlink"/>
          </w:rPr>
          <w:t xml:space="preserve">https://doi.org/10.1017/S0272263198002022</w:t>
        </w:r>
      </w:hyperlink>
      <w:r>
        <w:t xml:space="preserve">.</w:t>
      </w:r>
    </w:p>
    <w:bookmarkEnd w:id="242"/>
    <w:bookmarkStart w:id="244" w:name="ref-Munro_et_al_1998"/>
    <w:p>
      <w:pPr>
        <w:pStyle w:val="Bibliography"/>
      </w:pPr>
      <w:r>
        <w:t xml:space="preserve">Munro, M., and T. Derwing. 1998.</w:t>
      </w:r>
      <w:r>
        <w:t xml:space="preserve"> </w:t>
      </w:r>
      <w:r>
        <w:t xml:space="preserve">“The Effects of Speaking Rate on Listener Evaluations of Native and Foreign-Accented Speech.”</w:t>
      </w:r>
      <w:r>
        <w:t xml:space="preserve"> </w:t>
      </w:r>
      <w:r>
        <w:rPr>
          <w:i/>
          <w:iCs/>
        </w:rPr>
        <w:t xml:space="preserve">Language Learning</w:t>
      </w:r>
      <w:r>
        <w:t xml:space="preserve"> </w:t>
      </w:r>
      <w:r>
        <w:t xml:space="preserve">48 (2): 159–82.</w:t>
      </w:r>
      <w:r>
        <w:t xml:space="preserve"> </w:t>
      </w:r>
      <w:hyperlink r:id="rId243">
        <w:r>
          <w:rPr>
            <w:rStyle w:val="Hyperlink"/>
          </w:rPr>
          <w:t xml:space="preserve">https://doi.org/10.1111/1467-9922.00038</w:t>
        </w:r>
      </w:hyperlink>
      <w:r>
        <w:t xml:space="preserve">.</w:t>
      </w:r>
    </w:p>
    <w:bookmarkEnd w:id="244"/>
    <w:bookmarkStart w:id="246" w:name="ref-Muthen_2001"/>
    <w:p>
      <w:pPr>
        <w:pStyle w:val="Bibliography"/>
      </w:pPr>
      <w:r>
        <w:t xml:space="preserve">Muthén, B. 2001.</w:t>
      </w:r>
      <w:r>
        <w:t xml:space="preserve"> </w:t>
      </w:r>
      <w:r>
        <w:t xml:space="preserve">“Second-Generation Structural Equation Modeling with a Combination of Categorical and Continuous Latent Variables: New Opportunities for Latent Class–Latent Growth Modeling.”</w:t>
      </w:r>
      <w:r>
        <w:t xml:space="preserve"> </w:t>
      </w:r>
      <w:r>
        <w:t xml:space="preserve">In</w:t>
      </w:r>
      <w:r>
        <w:t xml:space="preserve"> </w:t>
      </w:r>
      <w:r>
        <w:rPr>
          <w:i/>
          <w:iCs/>
        </w:rPr>
        <w:t xml:space="preserve">New Methods for the Analysis of Change</w:t>
      </w:r>
      <w:r>
        <w:t xml:space="preserve">, edited by L. Collins and A. Sayer, 291–322. American Psychological Association.</w:t>
      </w:r>
      <w:r>
        <w:t xml:space="preserve"> </w:t>
      </w:r>
      <w:hyperlink r:id="rId245">
        <w:r>
          <w:rPr>
            <w:rStyle w:val="Hyperlink"/>
          </w:rPr>
          <w:t xml:space="preserve">https://doi.org/10.1037/10409-010</w:t>
        </w:r>
      </w:hyperlink>
      <w:r>
        <w:t xml:space="preserve">.</w:t>
      </w:r>
    </w:p>
    <w:bookmarkEnd w:id="246"/>
    <w:bookmarkStart w:id="248" w:name="ref-Niparko_et_al_2010"/>
    <w:p>
      <w:pPr>
        <w:pStyle w:val="Bibliography"/>
      </w:pPr>
      <w:r>
        <w:t xml:space="preserve">Niparko, J., E. Tobey, D. Thal, L. Eisenberg, N. Wang, A. Quittner, and N. Fink. 2010.</w:t>
      </w:r>
      <w:r>
        <w:t xml:space="preserve"> </w:t>
      </w:r>
      <w:r>
        <w:t xml:space="preserve">“Spoken Language Development in Children Following Cochlear Implantation.”</w:t>
      </w:r>
      <w:r>
        <w:t xml:space="preserve"> </w:t>
      </w:r>
      <w:r>
        <w:rPr>
          <w:i/>
          <w:iCs/>
        </w:rPr>
        <w:t xml:space="preserve">JAMA</w:t>
      </w:r>
      <w:r>
        <w:t xml:space="preserve"> </w:t>
      </w:r>
      <w:r>
        <w:t xml:space="preserve">303 (15): 1498–1506.</w:t>
      </w:r>
      <w:r>
        <w:t xml:space="preserve"> </w:t>
      </w:r>
      <w:hyperlink r:id="rId247">
        <w:r>
          <w:rPr>
            <w:rStyle w:val="Hyperlink"/>
          </w:rPr>
          <w:t xml:space="preserve">https://doi.org/10.1001/jama.2010.451</w:t>
        </w:r>
      </w:hyperlink>
      <w:r>
        <w:t xml:space="preserve">.</w:t>
      </w:r>
    </w:p>
    <w:bookmarkEnd w:id="248"/>
    <w:bookmarkStart w:id="250" w:name="ref-Ockey_et_al_2016"/>
    <w:p>
      <w:pPr>
        <w:pStyle w:val="Bibliography"/>
      </w:pPr>
      <w:r>
        <w:t xml:space="preserve">Ockey, G., S. Papageorgiou, and R. French. 2016.</w:t>
      </w:r>
      <w:r>
        <w:t xml:space="preserve"> </w:t>
      </w:r>
      <w:r>
        <w:t xml:space="preserve">“Effects of Strength of Accent on an L2 Interactive Lecture Listening Comprehension Test.”</w:t>
      </w:r>
      <w:r>
        <w:t xml:space="preserve"> </w:t>
      </w:r>
      <w:r>
        <w:rPr>
          <w:i/>
          <w:iCs/>
        </w:rPr>
        <w:t xml:space="preserve">International Journal of Listening</w:t>
      </w:r>
      <w:r>
        <w:t xml:space="preserve"> </w:t>
      </w:r>
      <w:r>
        <w:t xml:space="preserve">30 (1-2): 84–98.</w:t>
      </w:r>
      <w:r>
        <w:t xml:space="preserve"> </w:t>
      </w:r>
      <w:hyperlink r:id="rId249">
        <w:r>
          <w:rPr>
            <w:rStyle w:val="Hyperlink"/>
          </w:rPr>
          <w:t xml:space="preserve">https://doi.org/0.1080/10904018.2015.1056877</w:t>
        </w:r>
      </w:hyperlink>
      <w:r>
        <w:t xml:space="preserve">.</w:t>
      </w:r>
    </w:p>
    <w:bookmarkEnd w:id="250"/>
    <w:bookmarkStart w:id="252" w:name="ref-Pereira_et_al_2020"/>
    <w:p>
      <w:pPr>
        <w:pStyle w:val="Bibliography"/>
      </w:pPr>
      <w:r>
        <w:t xml:space="preserve">Pereira, J., W. Nobre, I. Silva, and A. Schmidt. 2020.</w:t>
      </w:r>
      <w:r>
        <w:t xml:space="preserve"> </w:t>
      </w:r>
      <w:r>
        <w:t xml:space="preserve">“Spatial Confounding in Hurdle Multilevel Beta Models: The Case of the Brazilian Mathematical Olympics for Public Schools.”</w:t>
      </w:r>
      <w:r>
        <w:t xml:space="preserve"> </w:t>
      </w:r>
      <w:r>
        <w:rPr>
          <w:i/>
          <w:iCs/>
        </w:rPr>
        <w:t xml:space="preserve">Journal of the Royal Statistical Society Series A: Statistics in Society</w:t>
      </w:r>
      <w:r>
        <w:t xml:space="preserve"> </w:t>
      </w:r>
      <w:r>
        <w:t xml:space="preserve">183 (3): 1051–73.</w:t>
      </w:r>
      <w:r>
        <w:t xml:space="preserve"> </w:t>
      </w:r>
      <w:hyperlink r:id="rId251">
        <w:r>
          <w:rPr>
            <w:rStyle w:val="Hyperlink"/>
          </w:rPr>
          <w:t xml:space="preserve">https://doi.org/10.1111/rssa.12551</w:t>
        </w:r>
      </w:hyperlink>
      <w:r>
        <w:t xml:space="preserve">.</w:t>
      </w:r>
    </w:p>
    <w:bookmarkEnd w:id="252"/>
    <w:bookmarkStart w:id="254" w:name="ref-Pollitt_2012a"/>
    <w:p>
      <w:pPr>
        <w:pStyle w:val="Bibliography"/>
      </w:pPr>
      <w:r>
        <w:t xml:space="preserve">Pollitt, A. 2012.</w:t>
      </w:r>
      <w:r>
        <w:t xml:space="preserve"> </w:t>
      </w:r>
      <w:r>
        <w:t xml:space="preserve">“Comparative Judgement for Assessment.”</w:t>
      </w:r>
      <w:r>
        <w:t xml:space="preserve"> </w:t>
      </w:r>
      <w:r>
        <w:rPr>
          <w:i/>
          <w:iCs/>
        </w:rPr>
        <w:t xml:space="preserve">International Journal of Technology and Design Education</w:t>
      </w:r>
      <w:r>
        <w:t xml:space="preserve"> </w:t>
      </w:r>
      <w:r>
        <w:t xml:space="preserve">22 (2): 157--170.</w:t>
      </w:r>
      <w:r>
        <w:t xml:space="preserve"> </w:t>
      </w:r>
      <w:hyperlink r:id="rId253">
        <w:r>
          <w:rPr>
            <w:rStyle w:val="Hyperlink"/>
          </w:rPr>
          <w:t xml:space="preserve">https://doi.org/10.1007/s10798-011-9189-x</w:t>
        </w:r>
      </w:hyperlink>
      <w:r>
        <w:t xml:space="preserve">.</w:t>
      </w:r>
    </w:p>
    <w:bookmarkEnd w:id="254"/>
    <w:bookmarkStart w:id="256" w:name="ref-R_2015"/>
    <w:p>
      <w:pPr>
        <w:pStyle w:val="Bibliography"/>
      </w:pPr>
      <w:r>
        <w:t xml:space="preserve">R Core Team. 2015.</w:t>
      </w:r>
      <w:r>
        <w:t xml:space="preserve"> </w:t>
      </w:r>
      <w:r>
        <w:rPr>
          <w:i/>
          <w:iCs/>
        </w:rPr>
        <w:t xml:space="preserve">R: A Language and Environment for Statistical Computing</w:t>
      </w:r>
      <w:r>
        <w:t xml:space="preserve">. Vienna, Austria: R Foundation for Statistical Computing.</w:t>
      </w:r>
      <w:r>
        <w:t xml:space="preserve"> </w:t>
      </w:r>
      <w:hyperlink r:id="rId255">
        <w:r>
          <w:rPr>
            <w:rStyle w:val="Hyperlink"/>
          </w:rPr>
          <w:t xml:space="preserve">\url{http://www.R-project.org/}</w:t>
        </w:r>
      </w:hyperlink>
      <w:r>
        <w:t xml:space="preserve">.</w:t>
      </w:r>
    </w:p>
    <w:bookmarkEnd w:id="256"/>
    <w:bookmarkStart w:id="258" w:name="ref-Rabe_et_al_2004a"/>
    <w:p>
      <w:pPr>
        <w:pStyle w:val="Bibliography"/>
      </w:pPr>
      <w:r>
        <w:t xml:space="preserve">Rabe-Hesketh, S., A. Skrondal, and A. Pickles. 2004a.</w:t>
      </w:r>
      <w:r>
        <w:t xml:space="preserve"> </w:t>
      </w:r>
      <w:r>
        <w:t xml:space="preserve">“Generalized Multilevel Structural Equation Modeling.”</w:t>
      </w:r>
      <w:r>
        <w:t xml:space="preserve"> </w:t>
      </w:r>
      <w:r>
        <w:rPr>
          <w:i/>
          <w:iCs/>
        </w:rPr>
        <w:t xml:space="preserve">Psychometrika</w:t>
      </w:r>
      <w:r>
        <w:t xml:space="preserve"> </w:t>
      </w:r>
      <w:r>
        <w:t xml:space="preserve">69 (2): 167–90. https://doi.org/</w:t>
      </w:r>
      <w:hyperlink r:id="rId257">
        <w:r>
          <w:rPr>
            <w:rStyle w:val="Hyperlink"/>
          </w:rPr>
          <w:t xml:space="preserve">https://www.doi.org/10.1007/BF02295939</w:t>
        </w:r>
      </w:hyperlink>
      <w:r>
        <w:t xml:space="preserve">.</w:t>
      </w:r>
    </w:p>
    <w:bookmarkEnd w:id="258"/>
    <w:bookmarkStart w:id="260" w:name="ref-Rabe_et_al_2004c"/>
    <w:p>
      <w:pPr>
        <w:pStyle w:val="Bibliography"/>
      </w:pPr>
      <w:r>
        <w:t xml:space="preserve">———. 2004b.</w:t>
      </w:r>
      <w:r>
        <w:t xml:space="preserve"> </w:t>
      </w:r>
      <w:r>
        <w:rPr>
          <w:i/>
          <w:iCs/>
        </w:rPr>
        <w:t xml:space="preserve">GLLAMM Manual</w:t>
      </w:r>
      <w:r>
        <w:t xml:space="preserve">. UC Berkeley Division of Biostatistics.</w:t>
      </w:r>
      <w:r>
        <w:t xml:space="preserve"> </w:t>
      </w:r>
      <w:hyperlink r:id="rId259">
        <w:r>
          <w:rPr>
            <w:rStyle w:val="Hyperlink"/>
          </w:rPr>
          <w:t xml:space="preserve">\url{http://www.biostat.jhsph.edu/~fdominic/teaching/bio656/software-gllamm.manual.pdf}</w:t>
        </w:r>
      </w:hyperlink>
      <w:r>
        <w:t xml:space="preserve">.</w:t>
      </w:r>
    </w:p>
    <w:bookmarkEnd w:id="260"/>
    <w:bookmarkStart w:id="262" w:name="ref-Rabe_et_al_2004b"/>
    <w:p>
      <w:pPr>
        <w:pStyle w:val="Bibliography"/>
      </w:pPr>
      <w:r>
        <w:t xml:space="preserve">———. 2004c.</w:t>
      </w:r>
      <w:r>
        <w:t xml:space="preserve"> </w:t>
      </w:r>
      <w:r>
        <w:t xml:space="preserve">“Maximum Likelihood Estimation of Limited and Discrete Dependent Variable Models with Nested Random Effects.”</w:t>
      </w:r>
      <w:r>
        <w:t xml:space="preserve"> </w:t>
      </w:r>
      <w:r>
        <w:rPr>
          <w:i/>
          <w:iCs/>
        </w:rPr>
        <w:t xml:space="preserve">Journal of Econometrics</w:t>
      </w:r>
      <w:r>
        <w:t xml:space="preserve"> </w:t>
      </w:r>
      <w:r>
        <w:t xml:space="preserve">128 (2): 301–23. https://doi.org/</w:t>
      </w:r>
      <w:hyperlink r:id="rId261">
        <w:r>
          <w:rPr>
            <w:rStyle w:val="Hyperlink"/>
          </w:rPr>
          <w:t xml:space="preserve">https://www.doi.org/10.1016/j.jeconom.2004.08.017</w:t>
        </w:r>
      </w:hyperlink>
      <w:r>
        <w:t xml:space="preserve">.</w:t>
      </w:r>
    </w:p>
    <w:bookmarkEnd w:id="262"/>
    <w:bookmarkStart w:id="264" w:name="ref-Seaman_et_al_2011"/>
    <w:p>
      <w:pPr>
        <w:pStyle w:val="Bibliography"/>
      </w:pPr>
      <w:r>
        <w:t xml:space="preserve">Seaman, Seaman jr., J., and J. Stamey. 2011.</w:t>
      </w:r>
      <w:r>
        <w:t xml:space="preserve"> </w:t>
      </w:r>
      <w:r>
        <w:t xml:space="preserve">“Hidden Dangers of Specifying Noninformative Priors.”</w:t>
      </w:r>
      <w:r>
        <w:t xml:space="preserve"> </w:t>
      </w:r>
      <w:r>
        <w:rPr>
          <w:i/>
          <w:iCs/>
        </w:rPr>
        <w:t xml:space="preserve">The American Statistician</w:t>
      </w:r>
      <w:r>
        <w:t xml:space="preserve"> </w:t>
      </w:r>
      <w:r>
        <w:t xml:space="preserve">66 (2): 77–84.</w:t>
      </w:r>
      <w:r>
        <w:t xml:space="preserve"> </w:t>
      </w:r>
      <w:hyperlink r:id="rId263">
        <w:r>
          <w:rPr>
            <w:rStyle w:val="Hyperlink"/>
          </w:rPr>
          <w:t xml:space="preserve">https://doi.org/10.1080/00031305.2012.695938</w:t>
        </w:r>
      </w:hyperlink>
      <w:r>
        <w:t xml:space="preserve">.</w:t>
      </w:r>
    </w:p>
    <w:bookmarkEnd w:id="264"/>
    <w:bookmarkStart w:id="266" w:name="ref-Shannon_1948"/>
    <w:p>
      <w:pPr>
        <w:pStyle w:val="Bibliography"/>
      </w:pPr>
      <w:r>
        <w:t xml:space="preserve">Shannon, C. 1948.</w:t>
      </w:r>
      <w:r>
        <w:t xml:space="preserve"> </w:t>
      </w:r>
      <w:r>
        <w:t xml:space="preserve">“A Mathematical Theory of Communication.”</w:t>
      </w:r>
      <w:r>
        <w:t xml:space="preserve"> </w:t>
      </w:r>
      <w:r>
        <w:rPr>
          <w:i/>
          <w:iCs/>
        </w:rPr>
        <w:t xml:space="preserve">The Bell System Technical Journal</w:t>
      </w:r>
      <w:r>
        <w:t xml:space="preserve"> </w:t>
      </w:r>
      <w:r>
        <w:t xml:space="preserve">27 (3): 379–423.</w:t>
      </w:r>
      <w:r>
        <w:t xml:space="preserve"> </w:t>
      </w:r>
      <w:hyperlink r:id="rId265">
        <w:r>
          <w:rPr>
            <w:rStyle w:val="Hyperlink"/>
          </w:rPr>
          <w:t xml:space="preserve">https://doi.org/10.1002/j.1538-7305.1948.tb01338.x</w:t>
        </w:r>
      </w:hyperlink>
      <w:r>
        <w:t xml:space="preserve">.</w:t>
      </w:r>
    </w:p>
    <w:bookmarkEnd w:id="266"/>
    <w:bookmarkStart w:id="268" w:name="ref-Shmueli_et_al_2012"/>
    <w:p>
      <w:pPr>
        <w:pStyle w:val="Bibliography"/>
      </w:pPr>
      <w:r>
        <w:t xml:space="preserve">Shmueli, G., and O. Koppius. 2011.</w:t>
      </w:r>
      <w:r>
        <w:t xml:space="preserve"> </w:t>
      </w:r>
      <w:r>
        <w:t xml:space="preserve">“Predictive Analytics in Information Systems Research.”</w:t>
      </w:r>
      <w:r>
        <w:t xml:space="preserve"> </w:t>
      </w:r>
      <w:r>
        <w:rPr>
          <w:i/>
          <w:iCs/>
        </w:rPr>
        <w:t xml:space="preserve">MIS Quarterly</w:t>
      </w:r>
      <w:r>
        <w:t xml:space="preserve"> </w:t>
      </w:r>
      <w:r>
        <w:t xml:space="preserve">35 (3): 553–72.</w:t>
      </w:r>
      <w:r>
        <w:t xml:space="preserve"> </w:t>
      </w:r>
      <w:hyperlink r:id="rId267">
        <w:r>
          <w:rPr>
            <w:rStyle w:val="Hyperlink"/>
          </w:rPr>
          <w:t xml:space="preserve">https://doi.org/10.2307/23042796</w:t>
        </w:r>
      </w:hyperlink>
      <w:r>
        <w:t xml:space="preserve">.</w:t>
      </w:r>
    </w:p>
    <w:bookmarkEnd w:id="268"/>
    <w:bookmarkStart w:id="270" w:name="ref-Simas_et_al_2010"/>
    <w:p>
      <w:pPr>
        <w:pStyle w:val="Bibliography"/>
      </w:pPr>
      <w:r>
        <w:t xml:space="preserve">Simas, Alexandre B., Wagner Barreto-Souza, and Andréa V. Rocha. 2010.</w:t>
      </w:r>
      <w:r>
        <w:t xml:space="preserve"> </w:t>
      </w:r>
      <w:r>
        <w:t xml:space="preserve">“Improved Estimators for a General Class of Beta Regression Models.”</w:t>
      </w:r>
      <w:r>
        <w:t xml:space="preserve"> </w:t>
      </w:r>
      <w:r>
        <w:rPr>
          <w:i/>
          <w:iCs/>
        </w:rPr>
        <w:t xml:space="preserve">Computational Statistics &amp; Data Analysis</w:t>
      </w:r>
      <w:r>
        <w:t xml:space="preserve"> </w:t>
      </w:r>
      <w:r>
        <w:t xml:space="preserve">54 (2): 348–66. https://doi.org/</w:t>
      </w:r>
      <w:hyperlink r:id="rId269">
        <w:r>
          <w:rPr>
            <w:rStyle w:val="Hyperlink"/>
          </w:rPr>
          <w:t xml:space="preserve">https://doi.org/10.1016/j.csda.2009.08.017</w:t>
        </w:r>
      </w:hyperlink>
      <w:r>
        <w:t xml:space="preserve">.</w:t>
      </w:r>
    </w:p>
    <w:bookmarkEnd w:id="270"/>
    <w:bookmarkStart w:id="271" w:name="ref-Skrondal_et_al_2004a"/>
    <w:p>
      <w:pPr>
        <w:pStyle w:val="Bibliography"/>
      </w:pPr>
      <w:r>
        <w:t xml:space="preserve">Skrondal, A., and S. Rabe-Hesketh. 2004.</w:t>
      </w:r>
      <w:r>
        <w:t xml:space="preserve"> </w:t>
      </w:r>
      <w:hyperlink r:id="rId177">
        <w:r>
          <w:rPr>
            <w:rStyle w:val="Hyperlink"/>
            <w:i/>
            <w:iCs/>
          </w:rPr>
          <w:t xml:space="preserve">Generalized Latent Variable Modeling: Multilevel, Longitudinal, and Structural Equation Models</w:t>
        </w:r>
      </w:hyperlink>
      <w:r>
        <w:t xml:space="preserve">. Interdisciplinary Statistics. Chapman &amp; Hall/CRC Press.</w:t>
      </w:r>
    </w:p>
    <w:bookmarkEnd w:id="271"/>
    <w:bookmarkStart w:id="273" w:name="ref-Spiegelhalter_et_al_2002"/>
    <w:p>
      <w:pPr>
        <w:pStyle w:val="Bibliography"/>
      </w:pPr>
      <w:r>
        <w:t xml:space="preserve">Spiegelhalter, D., N. Best, B. Carlin, and A. van der Linde. 2002.</w:t>
      </w:r>
      <w:r>
        <w:t xml:space="preserve"> </w:t>
      </w:r>
      <w:r>
        <w:t xml:space="preserve">“</w:t>
      </w:r>
      <w:r>
        <w:t xml:space="preserve">Bayesian Measures of Model Complexity and Fit</w:t>
      </w:r>
      <w:r>
        <w:t xml:space="preserve">.”</w:t>
      </w:r>
      <w:r>
        <w:t xml:space="preserve"> </w:t>
      </w:r>
      <w:r>
        <w:rPr>
          <w:i/>
          <w:iCs/>
        </w:rPr>
        <w:t xml:space="preserve">Journal of the Royal Statistical Society Series B: Statistical Methodology</w:t>
      </w:r>
      <w:r>
        <w:t xml:space="preserve"> </w:t>
      </w:r>
      <w:r>
        <w:t xml:space="preserve">64 (4): 583–639.</w:t>
      </w:r>
      <w:r>
        <w:t xml:space="preserve"> </w:t>
      </w:r>
      <w:hyperlink r:id="rId272">
        <w:r>
          <w:rPr>
            <w:rStyle w:val="Hyperlink"/>
          </w:rPr>
          <w:t xml:space="preserve">https://doi.org/10.1111/1467-9868.00353</w:t>
        </w:r>
      </w:hyperlink>
      <w:r>
        <w:t xml:space="preserve">.</w:t>
      </w:r>
    </w:p>
    <w:bookmarkEnd w:id="273"/>
    <w:bookmarkStart w:id="275" w:name="ref-Stan_2020"/>
    <w:p>
      <w:pPr>
        <w:pStyle w:val="Bibliography"/>
      </w:pPr>
      <w:r>
        <w:t xml:space="preserve">Stan Development Team. 2021.</w:t>
      </w:r>
      <w:r>
        <w:t xml:space="preserve"> </w:t>
      </w:r>
      <w:r>
        <w:rPr>
          <w:i/>
          <w:iCs/>
        </w:rPr>
        <w:t xml:space="preserve">Stan Modeling Language Users Guide and Reference Manual, Version 2.26</w:t>
      </w:r>
      <w:r>
        <w:t xml:space="preserve">. Vienna, Austria.</w:t>
      </w:r>
      <w:r>
        <w:t xml:space="preserve"> </w:t>
      </w:r>
      <w:hyperlink r:id="rId274">
        <w:r>
          <w:rPr>
            <w:rStyle w:val="Hyperlink"/>
          </w:rPr>
          <w:t xml:space="preserve">\url{https://mc-stan.org}</w:t>
        </w:r>
      </w:hyperlink>
      <w:r>
        <w:t xml:space="preserve">.</w:t>
      </w:r>
    </w:p>
    <w:bookmarkEnd w:id="275"/>
    <w:bookmarkStart w:id="277" w:name="ref-Tackney_et_al_2023"/>
    <w:p>
      <w:pPr>
        <w:pStyle w:val="Bibliography"/>
      </w:pPr>
      <w:r>
        <w:t xml:space="preserve">Tackney, M., T. Morris, I. White, C. Leyrat, K. Diaz-Ordaz, and E. Williamson. 2023.</w:t>
      </w:r>
      <w:r>
        <w:t xml:space="preserve"> </w:t>
      </w:r>
      <w:r>
        <w:t xml:space="preserve">“A Comparison of Covariate Adjustment Approaches Under Model Misspecification in Individually Randomized Trials.”</w:t>
      </w:r>
      <w:r>
        <w:t xml:space="preserve"> </w:t>
      </w:r>
      <w:r>
        <w:rPr>
          <w:i/>
          <w:iCs/>
        </w:rPr>
        <w:t xml:space="preserve">Trials</w:t>
      </w:r>
      <w:r>
        <w:t xml:space="preserve"> </w:t>
      </w:r>
      <w:r>
        <w:t xml:space="preserve">24 (14).</w:t>
      </w:r>
      <w:r>
        <w:t xml:space="preserve"> </w:t>
      </w:r>
      <w:hyperlink r:id="rId276">
        <w:r>
          <w:rPr>
            <w:rStyle w:val="Hyperlink"/>
          </w:rPr>
          <w:t xml:space="preserve">https://doi.org/10.1186/s13063-022-06967-6</w:t>
        </w:r>
      </w:hyperlink>
      <w:r>
        <w:t xml:space="preserve">.</w:t>
      </w:r>
    </w:p>
    <w:bookmarkEnd w:id="277"/>
    <w:bookmarkStart w:id="279" w:name="ref-Thurstone_1927"/>
    <w:p>
      <w:pPr>
        <w:pStyle w:val="Bibliography"/>
      </w:pPr>
      <w:r>
        <w:t xml:space="preserve">Thurstone, L. 1927.</w:t>
      </w:r>
      <w:r>
        <w:t xml:space="preserve"> </w:t>
      </w:r>
      <w:r>
        <w:t xml:space="preserve">“A Law of Comparative Judgment.”</w:t>
      </w:r>
      <w:r>
        <w:t xml:space="preserve"> </w:t>
      </w:r>
      <w:r>
        <w:rPr>
          <w:i/>
          <w:iCs/>
        </w:rPr>
        <w:t xml:space="preserve">Psychological Review</w:t>
      </w:r>
      <w:r>
        <w:t xml:space="preserve"> </w:t>
      </w:r>
      <w:r>
        <w:t xml:space="preserve">34 (4): 482–99.</w:t>
      </w:r>
      <w:r>
        <w:t xml:space="preserve"> </w:t>
      </w:r>
      <w:hyperlink r:id="rId278">
        <w:r>
          <w:rPr>
            <w:rStyle w:val="Hyperlink"/>
          </w:rPr>
          <w:t xml:space="preserve">https://doi.org/10.1037/h0070288</w:t>
        </w:r>
      </w:hyperlink>
      <w:r>
        <w:t xml:space="preserve">.</w:t>
      </w:r>
    </w:p>
    <w:bookmarkEnd w:id="279"/>
    <w:bookmarkStart w:id="281" w:name="ref-Unlu_et_al_2017"/>
    <w:p>
      <w:pPr>
        <w:pStyle w:val="Bibliography"/>
      </w:pPr>
      <w:r>
        <w:t xml:space="preserve">Unlu, H., and S. Aktas. 2017.</w:t>
      </w:r>
      <w:r>
        <w:t xml:space="preserve"> </w:t>
      </w:r>
      <w:r>
        <w:t xml:space="preserve">“Beta Regression for the Indicator Values of Well-Being Index for Provinces in Turkey.”</w:t>
      </w:r>
      <w:r>
        <w:t xml:space="preserve"> </w:t>
      </w:r>
      <w:r>
        <w:rPr>
          <w:i/>
          <w:iCs/>
        </w:rPr>
        <w:t xml:space="preserve">Journal of Engineering Technology and Applied Sciences</w:t>
      </w:r>
      <w:r>
        <w:t xml:space="preserve"> </w:t>
      </w:r>
      <w:r>
        <w:t xml:space="preserve">2 (2): 101–11.</w:t>
      </w:r>
      <w:r>
        <w:t xml:space="preserve"> </w:t>
      </w:r>
      <w:hyperlink r:id="rId280">
        <w:r>
          <w:rPr>
            <w:rStyle w:val="Hyperlink"/>
          </w:rPr>
          <w:t xml:space="preserve">https://doi.org/10.30931/jetas.321165</w:t>
        </w:r>
      </w:hyperlink>
      <w:r>
        <w:t xml:space="preserve">.</w:t>
      </w:r>
    </w:p>
    <w:bookmarkEnd w:id="281"/>
    <w:bookmarkStart w:id="282" w:name="ref-vanDaal_2020"/>
    <w:p>
      <w:pPr>
        <w:pStyle w:val="Bibliography"/>
      </w:pPr>
      <w:r>
        <w:t xml:space="preserve">van Daal, T. 2020.</w:t>
      </w:r>
      <w:r>
        <w:t xml:space="preserve"> </w:t>
      </w:r>
      <w:r>
        <w:t xml:space="preserve">“Making a Choice Is Not Easy?!: Unravelling the Task Difficulty of Comparative Judgement to Assess Student Work.”</w:t>
      </w:r>
      <w:r>
        <w:t xml:space="preserve"> </w:t>
      </w:r>
      <w:r>
        <w:t xml:space="preserve">PhD thesis, University of Antwerp.</w:t>
      </w:r>
    </w:p>
    <w:bookmarkEnd w:id="282"/>
    <w:bookmarkStart w:id="284" w:name="ref-vanHeuven_2008"/>
    <w:p>
      <w:pPr>
        <w:pStyle w:val="Bibliography"/>
      </w:pPr>
      <w:r>
        <w:t xml:space="preserve">van Heuven, V. 2008.</w:t>
      </w:r>
      <w:r>
        <w:t xml:space="preserve"> </w:t>
      </w:r>
      <w:r>
        <w:t xml:space="preserve">“Making Sense of Strange Sounds: (Mutual) Intelligibility of Related Language Varieties. A Review.”</w:t>
      </w:r>
      <w:r>
        <w:t xml:space="preserve"> </w:t>
      </w:r>
      <w:r>
        <w:rPr>
          <w:i/>
          <w:iCs/>
        </w:rPr>
        <w:t xml:space="preserve">International Journal of Humanities and Arts Computing</w:t>
      </w:r>
      <w:r>
        <w:t xml:space="preserve"> </w:t>
      </w:r>
      <w:r>
        <w:t xml:space="preserve">2 (1-2): 39–62.</w:t>
      </w:r>
      <w:r>
        <w:t xml:space="preserve"> </w:t>
      </w:r>
      <w:hyperlink r:id="rId283">
        <w:r>
          <w:rPr>
            <w:rStyle w:val="Hyperlink"/>
          </w:rPr>
          <w:t xml:space="preserve">https://doi.org/10.3366/E1753854809000305</w:t>
        </w:r>
      </w:hyperlink>
      <w:r>
        <w:t xml:space="preserve">.</w:t>
      </w:r>
    </w:p>
    <w:bookmarkEnd w:id="284"/>
    <w:bookmarkStart w:id="286" w:name="ref-Varonis_et_al_1985"/>
    <w:p>
      <w:pPr>
        <w:pStyle w:val="Bibliography"/>
      </w:pPr>
      <w:r>
        <w:t xml:space="preserve">Varonis, E., and G. Susan. 1985.</w:t>
      </w:r>
      <w:r>
        <w:t xml:space="preserve"> </w:t>
      </w:r>
      <w:r>
        <w:t xml:space="preserve">“Non-Native/Non-Native Conversations: A Model for Negotiation of Meaning.”</w:t>
      </w:r>
      <w:r>
        <w:t xml:space="preserve"> </w:t>
      </w:r>
      <w:r>
        <w:rPr>
          <w:i/>
          <w:iCs/>
        </w:rPr>
        <w:t xml:space="preserve">Applied Linguistics</w:t>
      </w:r>
      <w:r>
        <w:t xml:space="preserve"> </w:t>
      </w:r>
      <w:r>
        <w:t xml:space="preserve">6 (1): 71–90.</w:t>
      </w:r>
      <w:r>
        <w:t xml:space="preserve"> </w:t>
      </w:r>
      <w:hyperlink r:id="rId285">
        <w:r>
          <w:rPr>
            <w:rStyle w:val="Hyperlink"/>
          </w:rPr>
          <w:t xml:space="preserve">https://doi.org/10.1093/applin/6.1.71</w:t>
        </w:r>
      </w:hyperlink>
      <w:r>
        <w:t xml:space="preserve">.</w:t>
      </w:r>
    </w:p>
    <w:bookmarkEnd w:id="286"/>
    <w:bookmarkStart w:id="288" w:name="ref-Vehtari_et_al_2017"/>
    <w:p>
      <w:pPr>
        <w:pStyle w:val="Bibliography"/>
      </w:pPr>
      <w:r>
        <w:t xml:space="preserve">Vehtari, A., A. Gelman, and J. Gabry. 2017.</w:t>
      </w:r>
      <w:r>
        <w:t xml:space="preserve"> </w:t>
      </w:r>
      <w:r>
        <w:t xml:space="preserve">“Practical Bayesian Model Evaluation Using Leave-One-Out Cross-Validation and WAIC.”</w:t>
      </w:r>
      <w:r>
        <w:t xml:space="preserve"> </w:t>
      </w:r>
      <w:r>
        <w:rPr>
          <w:i/>
          <w:iCs/>
        </w:rPr>
        <w:t xml:space="preserve">Statistics and Computing</w:t>
      </w:r>
      <w:r>
        <w:t xml:space="preserve"> </w:t>
      </w:r>
      <w:r>
        <w:t xml:space="preserve">27 (5): 1413–32.</w:t>
      </w:r>
      <w:r>
        <w:t xml:space="preserve"> </w:t>
      </w:r>
      <w:hyperlink r:id="rId287">
        <w:r>
          <w:rPr>
            <w:rStyle w:val="Hyperlink"/>
          </w:rPr>
          <w:t xml:space="preserve">https://doi.org/10.1007/s11222-016-9696-4</w:t>
        </w:r>
      </w:hyperlink>
      <w:r>
        <w:t xml:space="preserve">.</w:t>
      </w:r>
    </w:p>
    <w:bookmarkEnd w:id="288"/>
    <w:bookmarkStart w:id="290" w:name="ref-Vehtari_et_al_2021"/>
    <w:p>
      <w:pPr>
        <w:pStyle w:val="Bibliography"/>
      </w:pPr>
      <w:r>
        <w:t xml:space="preserve">Vehtari, A., A. Gelman, D. Simpson, B Carpenter, and PC. Bürkner. 2021.</w:t>
      </w:r>
      <w:r>
        <w:t xml:space="preserve"> </w:t>
      </w:r>
      <w:r>
        <w:t xml:space="preserve">“</w:t>
      </w:r>
      <w:r>
        <w:t xml:space="preserve">Rank-Normalization, Folding, and Localization: An Improved</w:t>
      </w:r>
      <w:r>
        <w:t xml:space="preserve"> </w:t>
      </w:r>
      <m:oMath>
        <m:acc>
          <m:accPr>
            <m:chr m:val="̂"/>
          </m:accPr>
          <m:e>
            <m:r>
              <m:t>R</m:t>
            </m:r>
          </m:e>
        </m:acc>
      </m:oMath>
      <w:r>
        <w:t xml:space="preserve"> </w:t>
      </w:r>
      <w:r>
        <w:t xml:space="preserve">for Assessing Convergence of MCMC (with Discussion)</w:t>
      </w:r>
      <w:r>
        <w:t xml:space="preserve">.”</w:t>
      </w:r>
      <w:r>
        <w:t xml:space="preserve"> </w:t>
      </w:r>
      <w:r>
        <w:rPr>
          <w:i/>
          <w:iCs/>
        </w:rPr>
        <w:t xml:space="preserve">Bayesian Analysis</w:t>
      </w:r>
      <w:r>
        <w:t xml:space="preserve"> </w:t>
      </w:r>
      <w:r>
        <w:t xml:space="preserve">16 (2): 667–718.</w:t>
      </w:r>
      <w:r>
        <w:t xml:space="preserve"> </w:t>
      </w:r>
      <w:hyperlink r:id="rId289">
        <w:r>
          <w:rPr>
            <w:rStyle w:val="Hyperlink"/>
          </w:rPr>
          <w:t xml:space="preserve">https://doi.org/10.1214/20-BA1221</w:t>
        </w:r>
      </w:hyperlink>
      <w:r>
        <w:t xml:space="preserve">.</w:t>
      </w:r>
    </w:p>
    <w:bookmarkEnd w:id="290"/>
    <w:bookmarkStart w:id="292"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
          <w:iCs/>
        </w:rPr>
        <w:t xml:space="preserve">Assessment in Education: Principles, Policy and Practice</w:t>
      </w:r>
      <w:r>
        <w:t xml:space="preserve"> </w:t>
      </w:r>
      <w:r>
        <w:t xml:space="preserve">26 (5): 541–62.</w:t>
      </w:r>
      <w:r>
        <w:t xml:space="preserve"> </w:t>
      </w:r>
      <w:hyperlink r:id="rId291">
        <w:r>
          <w:rPr>
            <w:rStyle w:val="Hyperlink"/>
          </w:rPr>
          <w:t xml:space="preserve">https://doi.org/10.1080/0969594X.2019.1602027</w:t>
        </w:r>
      </w:hyperlink>
      <w:r>
        <w:t xml:space="preserve">.</w:t>
      </w:r>
    </w:p>
    <w:bookmarkEnd w:id="292"/>
    <w:bookmarkStart w:id="294" w:name="ref-Verkuilen_et_al_2012"/>
    <w:p>
      <w:pPr>
        <w:pStyle w:val="Bibliography"/>
      </w:pPr>
      <w:r>
        <w:t xml:space="preserve">Verkuilen, J., and M. Smithson. 2013.</w:t>
      </w:r>
      <w:r>
        <w:t xml:space="preserve"> </w:t>
      </w:r>
      <w:r>
        <w:t xml:space="preserve">“Mixed and Mixture Regression Models for Continuous Bounded Responses Using the Beta Distribution.”</w:t>
      </w:r>
      <w:r>
        <w:t xml:space="preserve"> </w:t>
      </w:r>
      <w:r>
        <w:rPr>
          <w:i/>
          <w:iCs/>
        </w:rPr>
        <w:t xml:space="preserve">Ournal of Educational and Behavioral Statistics</w:t>
      </w:r>
      <w:r>
        <w:t xml:space="preserve"> </w:t>
      </w:r>
      <w:r>
        <w:t xml:space="preserve">37 (1): 82–113.</w:t>
      </w:r>
      <w:r>
        <w:t xml:space="preserve"> </w:t>
      </w:r>
      <w:hyperlink r:id="rId293">
        <w:r>
          <w:rPr>
            <w:rStyle w:val="Hyperlink"/>
          </w:rPr>
          <w:t xml:space="preserve">https://doi.org/10.3102/1076998610396895</w:t>
        </w:r>
      </w:hyperlink>
      <w:r>
        <w:t xml:space="preserve">.</w:t>
      </w:r>
    </w:p>
    <w:bookmarkEnd w:id="294"/>
    <w:bookmarkStart w:id="296" w:name="ref-Watanabe_2013"/>
    <w:p>
      <w:pPr>
        <w:pStyle w:val="Bibliography"/>
      </w:pPr>
      <w:r>
        <w:t xml:space="preserve">Watanabe, S. 2013.</w:t>
      </w:r>
      <w:r>
        <w:t xml:space="preserve"> </w:t>
      </w:r>
      <w:r>
        <w:t xml:space="preserve">“A Widely Applicable Bayesian Information Criterion.”</w:t>
      </w:r>
      <w:r>
        <w:t xml:space="preserve"> </w:t>
      </w:r>
      <w:r>
        <w:rPr>
          <w:i/>
          <w:iCs/>
        </w:rPr>
        <w:t xml:space="preserve">Journal of Machine Learning Research</w:t>
      </w:r>
      <w:r>
        <w:t xml:space="preserve"> </w:t>
      </w:r>
      <w:r>
        <w:t xml:space="preserve">14: 867–97.</w:t>
      </w:r>
      <w:r>
        <w:t xml:space="preserve"> </w:t>
      </w:r>
      <w:hyperlink r:id="rId295">
        <w:r>
          <w:rPr>
            <w:rStyle w:val="Hyperlink"/>
          </w:rPr>
          <w:t xml:space="preserve">\url{https://www.jmlr.org/papers/volume14/watanabe13a/watanabe13a.pdf}</w:t>
        </w:r>
      </w:hyperlink>
      <w:r>
        <w:t xml:space="preserve">.</w:t>
      </w:r>
    </w:p>
    <w:bookmarkEnd w:id="296"/>
    <w:bookmarkStart w:id="298" w:name="ref-Whitehill_et_al_2004"/>
    <w:p>
      <w:pPr>
        <w:pStyle w:val="Bibliography"/>
      </w:pPr>
      <w:r>
        <w:t xml:space="preserve">Whitehill, T., and C. Chau. 2004.</w:t>
      </w:r>
      <w:r>
        <w:t xml:space="preserve"> </w:t>
      </w:r>
      <w:r>
        <w:t xml:space="preserve">“Single-Word Intelligibility in Speakers with Repaired Cleft Palate.”</w:t>
      </w:r>
      <w:r>
        <w:t xml:space="preserve"> </w:t>
      </w:r>
      <w:r>
        <w:rPr>
          <w:i/>
          <w:iCs/>
        </w:rPr>
        <w:t xml:space="preserve">Clinical Linguistics and Phonetics</w:t>
      </w:r>
      <w:r>
        <w:t xml:space="preserve"> </w:t>
      </w:r>
      <w:r>
        <w:t xml:space="preserve">18: 341–55.</w:t>
      </w:r>
      <w:r>
        <w:t xml:space="preserve"> </w:t>
      </w:r>
      <w:hyperlink r:id="rId297">
        <w:r>
          <w:rPr>
            <w:rStyle w:val="Hyperlink"/>
          </w:rPr>
          <w:t xml:space="preserve">https://doi.org/10.1080/02699200410001663344</w:t>
        </w:r>
      </w:hyperlink>
      <w:r>
        <w:t xml:space="preserve">.</w:t>
      </w:r>
    </w:p>
    <w:bookmarkEnd w:id="298"/>
    <w:bookmarkStart w:id="300" w:name="ref-Zhang_et_al_2023"/>
    <w:p>
      <w:pPr>
        <w:pStyle w:val="Bibliography"/>
      </w:pPr>
      <w:r>
        <w:t xml:space="preserve">Zhang, J., W. Du, and F. and Huang. 2023.</w:t>
      </w:r>
      <w:r>
        <w:t xml:space="preserve"> </w:t>
      </w:r>
      <w:r>
        <w:t xml:space="preserve">“Longitudinal Study of Dietary Patterns and Hypertension in Adults: China Health and Nutrition Survey 1991–2018.”</w:t>
      </w:r>
      <w:r>
        <w:t xml:space="preserve"> </w:t>
      </w:r>
      <w:r>
        <w:rPr>
          <w:i/>
          <w:iCs/>
        </w:rPr>
        <w:t xml:space="preserve">Hypertension Research</w:t>
      </w:r>
      <w:r>
        <w:t xml:space="preserve"> </w:t>
      </w:r>
      <w:r>
        <w:t xml:space="preserve">46: 2264–71.</w:t>
      </w:r>
      <w:r>
        <w:t xml:space="preserve"> </w:t>
      </w:r>
      <w:hyperlink r:id="rId299">
        <w:r>
          <w:rPr>
            <w:rStyle w:val="Hyperlink"/>
          </w:rPr>
          <w:t xml:space="preserve">https://doi.org/10.1038/s41440-023-01322-x</w:t>
        </w:r>
      </w:hyperlink>
      <w:r>
        <w:t xml:space="preserve">.</w:t>
      </w:r>
    </w:p>
    <w:bookmarkEnd w:id="300"/>
    <w:bookmarkEnd w:id="301"/>
    <w:bookmarkEnd w:id="3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7" Target="media/rId117.png" /><Relationship Type="http://schemas.openxmlformats.org/officeDocument/2006/relationships/image" Id="rId54" Target="media/rId54.png" /><Relationship Type="http://schemas.openxmlformats.org/officeDocument/2006/relationships/image" Id="rId107" Target="media/rId107.png" /><Relationship Type="http://schemas.openxmlformats.org/officeDocument/2006/relationships/image" Id="rId112" Target="media/rId112.png" /><Relationship Type="http://schemas.openxmlformats.org/officeDocument/2006/relationships/image" Id="rId49" Target="media/rId49.png" /><Relationship Type="http://schemas.openxmlformats.org/officeDocument/2006/relationships/image" Id="rId61" Target="media/rId61.png" /><Relationship Type="http://schemas.openxmlformats.org/officeDocument/2006/relationships/image" Id="rId78" Target="media/rId78.png" /><Relationship Type="http://schemas.openxmlformats.org/officeDocument/2006/relationships/image" Id="rId84" Target="media/rId84.png" /><Relationship Type="http://schemas.openxmlformats.org/officeDocument/2006/relationships/image" Id="rId90" Target="media/rId90.png" /><Relationship Type="http://schemas.openxmlformats.org/officeDocument/2006/relationships/image" Id="rId137" Target="media/rId137.png" /><Relationship Type="http://schemas.openxmlformats.org/officeDocument/2006/relationships/image" Id="rId122" Target="media/rId122.png" /><Relationship Type="http://schemas.openxmlformats.org/officeDocument/2006/relationships/image" Id="rId127" Target="media/rId127.png" /><Relationship Type="http://schemas.openxmlformats.org/officeDocument/2006/relationships/image" Id="rId132" Target="media/rId132.png" /><Relationship Type="http://schemas.openxmlformats.org/officeDocument/2006/relationships/image" Id="rId72" Target="media/rId72.png" /><Relationship Type="http://schemas.openxmlformats.org/officeDocument/2006/relationships/image" Id="rId66" Target="media/rId66.png" /><Relationship Type="http://schemas.openxmlformats.org/officeDocument/2006/relationships/hyperlink" Id="rId177" Target="" TargetMode="External" /><Relationship Type="http://schemas.openxmlformats.org/officeDocument/2006/relationships/hyperlink" Id="rId255" Target="\url{http://www.R-project.org/}" TargetMode="External" /><Relationship Type="http://schemas.openxmlformats.org/officeDocument/2006/relationships/hyperlink" Id="rId259" Target="\url{http://www.biostat.jhsph.edu/~fdominic/teaching/bio656/software-gllamm.manual.pdf}" TargetMode="External" /><Relationship Type="http://schemas.openxmlformats.org/officeDocument/2006/relationships/hyperlink" Id="rId221" Target="\url{http://www.jstor.org/stable/2236703}" TargetMode="External" /><Relationship Type="http://schemas.openxmlformats.org/officeDocument/2006/relationships/hyperlink" Id="rId155" Target="\url{https://arxiv.org/abs/1212.0870}" TargetMode="External" /><Relationship Type="http://schemas.openxmlformats.org/officeDocument/2006/relationships/hyperlink" Id="rId236" Target="\url{https://books.google.be/books?id=Asi5KQAACAAJ}" TargetMode="External" /><Relationship Type="http://schemas.openxmlformats.org/officeDocument/2006/relationships/hyperlink" Id="rId219" Target="\url{https://eric.ed.gov/?id=ED430012}" TargetMode="External" /><Relationship Type="http://schemas.openxmlformats.org/officeDocument/2006/relationships/hyperlink" Id="rId274" Target="\url{https://mc-stan.org}" TargetMode="External" /><Relationship Type="http://schemas.openxmlformats.org/officeDocument/2006/relationships/hyperlink" Id="rId227" Target="\url{https://www.jirka.org/ra/html/frontmatter-1.html}" TargetMode="External" /><Relationship Type="http://schemas.openxmlformats.org/officeDocument/2006/relationships/hyperlink" Id="rId295" Target="\url{https://www.jmlr.org/papers/volume14/watanabe13a/watanabe13a.pdf}" TargetMode="External" /><Relationship Type="http://schemas.openxmlformats.org/officeDocument/2006/relationships/hyperlink" Id="rId165" Target="http://dx.doi.org/10.2139/ssrn.3689437" TargetMode="External" /><Relationship Type="http://schemas.openxmlformats.org/officeDocument/2006/relationships/hyperlink" Id="rId249" Target="https://doi.org/0.1080/10904018.2015.1056877" TargetMode="External" /><Relationship Type="http://schemas.openxmlformats.org/officeDocument/2006/relationships/hyperlink" Id="rId247" Target="https://doi.org/10.1001/jama.2010.451" TargetMode="External" /><Relationship Type="http://schemas.openxmlformats.org/officeDocument/2006/relationships/hyperlink" Id="rId265" Target="https://doi.org/10.1002/j.1538-7305.1948.tb01338.x" TargetMode="External" /><Relationship Type="http://schemas.openxmlformats.org/officeDocument/2006/relationships/hyperlink" Id="rId225" Target="https://doi.org/10.1002/sim.2112" TargetMode="External" /><Relationship Type="http://schemas.openxmlformats.org/officeDocument/2006/relationships/hyperlink" Id="rId234" Target="https://doi.org/10.1007/BF02291552" TargetMode="External" /><Relationship Type="http://schemas.openxmlformats.org/officeDocument/2006/relationships/hyperlink" Id="rId193" Target="https://doi.org/10.1007/s00362-021-01260-1" TargetMode="External" /><Relationship Type="http://schemas.openxmlformats.org/officeDocument/2006/relationships/hyperlink" Id="rId181" Target="https://doi.org/10.1007/s10198-022-01554-7" TargetMode="External" /><Relationship Type="http://schemas.openxmlformats.org/officeDocument/2006/relationships/hyperlink" Id="rId253" Target="https://doi.org/10.1007/s10798-011-9189-x" TargetMode="External" /><Relationship Type="http://schemas.openxmlformats.org/officeDocument/2006/relationships/hyperlink" Id="rId287" Target="https://doi.org/10.1007/s11222-016-9696-4" TargetMode="External" /><Relationship Type="http://schemas.openxmlformats.org/officeDocument/2006/relationships/hyperlink" Id="rId163" Target="https://doi.org/10.1007/s12564-023-09907-4" TargetMode="External" /><Relationship Type="http://schemas.openxmlformats.org/officeDocument/2006/relationships/hyperlink" Id="rId230" Target="https://doi.org/10.1007/s12671-023-02165-w" TargetMode="External" /><Relationship Type="http://schemas.openxmlformats.org/officeDocument/2006/relationships/hyperlink" Id="rId211" Target="https://doi.org/10.1007/s40615-023-01809-w" TargetMode="External" /><Relationship Type="http://schemas.openxmlformats.org/officeDocument/2006/relationships/hyperlink" Id="rId209" Target="https://doi.org/10.1016/S0147-1767(00)00011-0" TargetMode="External" /><Relationship Type="http://schemas.openxmlformats.org/officeDocument/2006/relationships/hyperlink" Id="rId269" Target="https://doi.org/10.1016/j.csda.2009.08.017" TargetMode="External" /><Relationship Type="http://schemas.openxmlformats.org/officeDocument/2006/relationships/hyperlink" Id="rId191" Target="https://doi.org/10.1016/j.csda.2012.12.002" TargetMode="External" /><Relationship Type="http://schemas.openxmlformats.org/officeDocument/2006/relationships/hyperlink" Id="rId159" Target="https://doi.org/10.1016/j.jcomdis.2012.05.003" TargetMode="External" /><Relationship Type="http://schemas.openxmlformats.org/officeDocument/2006/relationships/hyperlink" Id="rId241" Target="https://doi.org/10.1017/S0272263198002022" TargetMode="External" /><Relationship Type="http://schemas.openxmlformats.org/officeDocument/2006/relationships/hyperlink" Id="rId151" Target="https://doi.org/10.1017/S0305000921000714" TargetMode="External" /><Relationship Type="http://schemas.openxmlformats.org/officeDocument/2006/relationships/hyperlink" Id="rId245" Target="https://doi.org/10.1037/10409-010" TargetMode="External" /><Relationship Type="http://schemas.openxmlformats.org/officeDocument/2006/relationships/hyperlink" Id="rId147" Target="https://doi.org/10.1037/a0030642" TargetMode="External" /><Relationship Type="http://schemas.openxmlformats.org/officeDocument/2006/relationships/hyperlink" Id="rId169" Target="https://doi.org/10.1037/h0040957" TargetMode="External" /><Relationship Type="http://schemas.openxmlformats.org/officeDocument/2006/relationships/hyperlink" Id="rId278" Target="https://doi.org/10.1037/h0070288" TargetMode="External" /><Relationship Type="http://schemas.openxmlformats.org/officeDocument/2006/relationships/hyperlink" Id="rId179" Target="https://doi.org/10.1037/met0000065" TargetMode="External" /><Relationship Type="http://schemas.openxmlformats.org/officeDocument/2006/relationships/hyperlink" Id="rId299" Target="https://doi.org/10.1038/s41440-023-01322-x" TargetMode="External" /><Relationship Type="http://schemas.openxmlformats.org/officeDocument/2006/relationships/hyperlink" Id="rId183" Target="https://doi.org/10.1044/0161-1461(2010/09-0081)" TargetMode="External" /><Relationship Type="http://schemas.openxmlformats.org/officeDocument/2006/relationships/hyperlink" Id="rId213" Target="https://doi.org/10.1044/1058-0360.0302.81" TargetMode="External" /><Relationship Type="http://schemas.openxmlformats.org/officeDocument/2006/relationships/hyperlink" Id="rId239" Target="https://doi.org/10.1044/2014\_JSLHR-H-14-0190" TargetMode="External" /><Relationship Type="http://schemas.openxmlformats.org/officeDocument/2006/relationships/hyperlink" Id="rId215" Target="https://doi.org/10.1044/jshd.5404.482" TargetMode="External" /><Relationship Type="http://schemas.openxmlformats.org/officeDocument/2006/relationships/hyperlink" Id="rId167" Target="https://doi.org/10.1044/jshr.3202.347" TargetMode="External" /><Relationship Type="http://schemas.openxmlformats.org/officeDocument/2006/relationships/hyperlink" Id="rId263" Target="https://doi.org/10.1080/00031305.2012.695938" TargetMode="External" /><Relationship Type="http://schemas.openxmlformats.org/officeDocument/2006/relationships/hyperlink" Id="rId189" Target="https://doi.org/10.1080/0266476042000214501" TargetMode="External" /><Relationship Type="http://schemas.openxmlformats.org/officeDocument/2006/relationships/hyperlink" Id="rId197" Target="https://doi.org/10.1080/02699200400024863" TargetMode="External" /><Relationship Type="http://schemas.openxmlformats.org/officeDocument/2006/relationships/hyperlink" Id="rId297" Target="https://doi.org/10.1080/02699200410001663344" TargetMode="External" /><Relationship Type="http://schemas.openxmlformats.org/officeDocument/2006/relationships/hyperlink" Id="rId291" Target="https://doi.org/10.1080/0969594X.2019.1602027" TargetMode="External" /><Relationship Type="http://schemas.openxmlformats.org/officeDocument/2006/relationships/hyperlink" Id="rId175" Target="https://doi.org/10.1080/10705511.2014.882686" TargetMode="External" /><Relationship Type="http://schemas.openxmlformats.org/officeDocument/2006/relationships/hyperlink" Id="rId285" Target="https://doi.org/10.1093/applin/6.1.71" TargetMode="External" /><Relationship Type="http://schemas.openxmlformats.org/officeDocument/2006/relationships/hyperlink" Id="rId199" Target="https://doi.org/10.1093/deafed/enx001" TargetMode="External" /><Relationship Type="http://schemas.openxmlformats.org/officeDocument/2006/relationships/hyperlink" Id="rId187" Target="https://doi.org/10.1093/oxfordhb/9780190054045.013.3" TargetMode="External" /><Relationship Type="http://schemas.openxmlformats.org/officeDocument/2006/relationships/hyperlink" Id="rId153" Target="https://doi.org/10.1097/AUD.0b013e3182503e47" TargetMode="External" /><Relationship Type="http://schemas.openxmlformats.org/officeDocument/2006/relationships/hyperlink" Id="rId223" Target="https://doi.org/10.1111/1460-6984.12067" TargetMode="External" /><Relationship Type="http://schemas.openxmlformats.org/officeDocument/2006/relationships/hyperlink" Id="rId272" Target="https://doi.org/10.1111/1467-9868.00353" TargetMode="External" /><Relationship Type="http://schemas.openxmlformats.org/officeDocument/2006/relationships/hyperlink" Id="rId243" Target="https://doi.org/10.1111/1467-9922.00038" TargetMode="External" /><Relationship Type="http://schemas.openxmlformats.org/officeDocument/2006/relationships/hyperlink" Id="rId251" Target="https://doi.org/10.1111/rssa.12551" TargetMode="External" /><Relationship Type="http://schemas.openxmlformats.org/officeDocument/2006/relationships/hyperlink" Id="rId145" Target="https://doi.org/10.1177/01466216980222005" TargetMode="External" /><Relationship Type="http://schemas.openxmlformats.org/officeDocument/2006/relationships/hyperlink" Id="rId202" Target="https://doi.org/10.1177/0962280217738142" TargetMode="External" /><Relationship Type="http://schemas.openxmlformats.org/officeDocument/2006/relationships/hyperlink" Id="rId173" Target="https://doi.org/10.1177/25152459221106366" TargetMode="External" /><Relationship Type="http://schemas.openxmlformats.org/officeDocument/2006/relationships/hyperlink" Id="rId157" Target="https://doi.org/10.1179/1754762813Y.0000000043" TargetMode="External" /><Relationship Type="http://schemas.openxmlformats.org/officeDocument/2006/relationships/hyperlink" Id="rId276" Target="https://doi.org/10.1186/s13063-022-06967-6" TargetMode="External" /><Relationship Type="http://schemas.openxmlformats.org/officeDocument/2006/relationships/hyperlink" Id="rId206" Target="https://doi.org/10.1201/9781351062268" TargetMode="External" /><Relationship Type="http://schemas.openxmlformats.org/officeDocument/2006/relationships/hyperlink" Id="rId149" Target="https://doi.org/10.1214/12-ba728" TargetMode="External" /><Relationship Type="http://schemas.openxmlformats.org/officeDocument/2006/relationships/hyperlink" Id="rId195" Target="https://doi.org/10.1214/17-bjps354" TargetMode="External" /><Relationship Type="http://schemas.openxmlformats.org/officeDocument/2006/relationships/hyperlink" Id="rId289" Target="https://doi.org/10.1214/20-BA1221" TargetMode="External" /><Relationship Type="http://schemas.openxmlformats.org/officeDocument/2006/relationships/hyperlink" Id="rId171" Target="https://doi.org/10.1371/journal.pone.0254103" TargetMode="External" /><Relationship Type="http://schemas.openxmlformats.org/officeDocument/2006/relationships/hyperlink" Id="rId204" Target="https://doi.org/10.1515/9781614514909-038" TargetMode="External" /><Relationship Type="http://schemas.openxmlformats.org/officeDocument/2006/relationships/hyperlink" Id="rId232" Target="https://doi.org/10.21415/3mhn-0z89" TargetMode="External" /><Relationship Type="http://schemas.openxmlformats.org/officeDocument/2006/relationships/hyperlink" Id="rId267" Target="https://doi.org/10.2307/23042796" TargetMode="External" /><Relationship Type="http://schemas.openxmlformats.org/officeDocument/2006/relationships/hyperlink" Id="rId280" Target="https://doi.org/10.30931/jetas.321165" TargetMode="External" /><Relationship Type="http://schemas.openxmlformats.org/officeDocument/2006/relationships/hyperlink" Id="rId293" Target="https://doi.org/10.3102/1076998610396895" TargetMode="External" /><Relationship Type="http://schemas.openxmlformats.org/officeDocument/2006/relationships/hyperlink" Id="rId217" Target="https://doi.org/10.3109/02699206.2010.490003" TargetMode="External" /><Relationship Type="http://schemas.openxmlformats.org/officeDocument/2006/relationships/hyperlink" Id="rId161" Target="https://doi.org/10.3109/02699206.2014.926997" TargetMode="External" /><Relationship Type="http://schemas.openxmlformats.org/officeDocument/2006/relationships/hyperlink" Id="rId283" Target="https://doi.org/10.3366/E1753854809000305" TargetMode="External" /><Relationship Type="http://schemas.openxmlformats.org/officeDocument/2006/relationships/hyperlink" Id="rId45" Target="https://jriveraespejo.github.io/paper1_manuscript/" TargetMode="External" /><Relationship Type="http://schemas.openxmlformats.org/officeDocument/2006/relationships/hyperlink" Id="rId257" Target="https://www.doi.org/10.1007/BF02295939" TargetMode="External" /><Relationship Type="http://schemas.openxmlformats.org/officeDocument/2006/relationships/hyperlink" Id="rId261" Target="https://www.doi.org/10.1016/j.jeconom.2004.08.017" TargetMode="External" /></Relationships>
</file>

<file path=word/_rels/footnotes.xml.rels><?xml version="1.0" encoding="UTF-8"?><Relationships xmlns="http://schemas.openxmlformats.org/package/2006/relationships"><Relationship Type="http://schemas.openxmlformats.org/officeDocument/2006/relationships/hyperlink" Id="rId177" Target="" TargetMode="External" /><Relationship Type="http://schemas.openxmlformats.org/officeDocument/2006/relationships/hyperlink" Id="rId255" Target="\url{http://www.R-project.org/}" TargetMode="External" /><Relationship Type="http://schemas.openxmlformats.org/officeDocument/2006/relationships/hyperlink" Id="rId259" Target="\url{http://www.biostat.jhsph.edu/~fdominic/teaching/bio656/software-gllamm.manual.pdf}" TargetMode="External" /><Relationship Type="http://schemas.openxmlformats.org/officeDocument/2006/relationships/hyperlink" Id="rId221" Target="\url{http://www.jstor.org/stable/2236703}" TargetMode="External" /><Relationship Type="http://schemas.openxmlformats.org/officeDocument/2006/relationships/hyperlink" Id="rId155" Target="\url{https://arxiv.org/abs/1212.0870}" TargetMode="External" /><Relationship Type="http://schemas.openxmlformats.org/officeDocument/2006/relationships/hyperlink" Id="rId236" Target="\url{https://books.google.be/books?id=Asi5KQAACAAJ}" TargetMode="External" /><Relationship Type="http://schemas.openxmlformats.org/officeDocument/2006/relationships/hyperlink" Id="rId219" Target="\url{https://eric.ed.gov/?id=ED430012}" TargetMode="External" /><Relationship Type="http://schemas.openxmlformats.org/officeDocument/2006/relationships/hyperlink" Id="rId274" Target="\url{https://mc-stan.org}" TargetMode="External" /><Relationship Type="http://schemas.openxmlformats.org/officeDocument/2006/relationships/hyperlink" Id="rId227" Target="\url{https://www.jirka.org/ra/html/frontmatter-1.html}" TargetMode="External" /><Relationship Type="http://schemas.openxmlformats.org/officeDocument/2006/relationships/hyperlink" Id="rId295" Target="\url{https://www.jmlr.org/papers/volume14/watanabe13a/watanabe13a.pdf}" TargetMode="External" /><Relationship Type="http://schemas.openxmlformats.org/officeDocument/2006/relationships/hyperlink" Id="rId165" Target="http://dx.doi.org/10.2139/ssrn.3689437" TargetMode="External" /><Relationship Type="http://schemas.openxmlformats.org/officeDocument/2006/relationships/hyperlink" Id="rId249" Target="https://doi.org/0.1080/10904018.2015.1056877" TargetMode="External" /><Relationship Type="http://schemas.openxmlformats.org/officeDocument/2006/relationships/hyperlink" Id="rId247" Target="https://doi.org/10.1001/jama.2010.451" TargetMode="External" /><Relationship Type="http://schemas.openxmlformats.org/officeDocument/2006/relationships/hyperlink" Id="rId265" Target="https://doi.org/10.1002/j.1538-7305.1948.tb01338.x" TargetMode="External" /><Relationship Type="http://schemas.openxmlformats.org/officeDocument/2006/relationships/hyperlink" Id="rId225" Target="https://doi.org/10.1002/sim.2112" TargetMode="External" /><Relationship Type="http://schemas.openxmlformats.org/officeDocument/2006/relationships/hyperlink" Id="rId234" Target="https://doi.org/10.1007/BF02291552" TargetMode="External" /><Relationship Type="http://schemas.openxmlformats.org/officeDocument/2006/relationships/hyperlink" Id="rId193" Target="https://doi.org/10.1007/s00362-021-01260-1" TargetMode="External" /><Relationship Type="http://schemas.openxmlformats.org/officeDocument/2006/relationships/hyperlink" Id="rId181" Target="https://doi.org/10.1007/s10198-022-01554-7" TargetMode="External" /><Relationship Type="http://schemas.openxmlformats.org/officeDocument/2006/relationships/hyperlink" Id="rId253" Target="https://doi.org/10.1007/s10798-011-9189-x" TargetMode="External" /><Relationship Type="http://schemas.openxmlformats.org/officeDocument/2006/relationships/hyperlink" Id="rId287" Target="https://doi.org/10.1007/s11222-016-9696-4" TargetMode="External" /><Relationship Type="http://schemas.openxmlformats.org/officeDocument/2006/relationships/hyperlink" Id="rId163" Target="https://doi.org/10.1007/s12564-023-09907-4" TargetMode="External" /><Relationship Type="http://schemas.openxmlformats.org/officeDocument/2006/relationships/hyperlink" Id="rId230" Target="https://doi.org/10.1007/s12671-023-02165-w" TargetMode="External" /><Relationship Type="http://schemas.openxmlformats.org/officeDocument/2006/relationships/hyperlink" Id="rId211" Target="https://doi.org/10.1007/s40615-023-01809-w" TargetMode="External" /><Relationship Type="http://schemas.openxmlformats.org/officeDocument/2006/relationships/hyperlink" Id="rId209" Target="https://doi.org/10.1016/S0147-1767(00)00011-0" TargetMode="External" /><Relationship Type="http://schemas.openxmlformats.org/officeDocument/2006/relationships/hyperlink" Id="rId269" Target="https://doi.org/10.1016/j.csda.2009.08.017" TargetMode="External" /><Relationship Type="http://schemas.openxmlformats.org/officeDocument/2006/relationships/hyperlink" Id="rId191" Target="https://doi.org/10.1016/j.csda.2012.12.002" TargetMode="External" /><Relationship Type="http://schemas.openxmlformats.org/officeDocument/2006/relationships/hyperlink" Id="rId159" Target="https://doi.org/10.1016/j.jcomdis.2012.05.003" TargetMode="External" /><Relationship Type="http://schemas.openxmlformats.org/officeDocument/2006/relationships/hyperlink" Id="rId241" Target="https://doi.org/10.1017/S0272263198002022" TargetMode="External" /><Relationship Type="http://schemas.openxmlformats.org/officeDocument/2006/relationships/hyperlink" Id="rId151" Target="https://doi.org/10.1017/S0305000921000714" TargetMode="External" /><Relationship Type="http://schemas.openxmlformats.org/officeDocument/2006/relationships/hyperlink" Id="rId245" Target="https://doi.org/10.1037/10409-010" TargetMode="External" /><Relationship Type="http://schemas.openxmlformats.org/officeDocument/2006/relationships/hyperlink" Id="rId147" Target="https://doi.org/10.1037/a0030642" TargetMode="External" /><Relationship Type="http://schemas.openxmlformats.org/officeDocument/2006/relationships/hyperlink" Id="rId169" Target="https://doi.org/10.1037/h0040957" TargetMode="External" /><Relationship Type="http://schemas.openxmlformats.org/officeDocument/2006/relationships/hyperlink" Id="rId278" Target="https://doi.org/10.1037/h0070288" TargetMode="External" /><Relationship Type="http://schemas.openxmlformats.org/officeDocument/2006/relationships/hyperlink" Id="rId179" Target="https://doi.org/10.1037/met0000065" TargetMode="External" /><Relationship Type="http://schemas.openxmlformats.org/officeDocument/2006/relationships/hyperlink" Id="rId299" Target="https://doi.org/10.1038/s41440-023-01322-x" TargetMode="External" /><Relationship Type="http://schemas.openxmlformats.org/officeDocument/2006/relationships/hyperlink" Id="rId183" Target="https://doi.org/10.1044/0161-1461(2010/09-0081)" TargetMode="External" /><Relationship Type="http://schemas.openxmlformats.org/officeDocument/2006/relationships/hyperlink" Id="rId213" Target="https://doi.org/10.1044/1058-0360.0302.81" TargetMode="External" /><Relationship Type="http://schemas.openxmlformats.org/officeDocument/2006/relationships/hyperlink" Id="rId239" Target="https://doi.org/10.1044/2014\_JSLHR-H-14-0190" TargetMode="External" /><Relationship Type="http://schemas.openxmlformats.org/officeDocument/2006/relationships/hyperlink" Id="rId215" Target="https://doi.org/10.1044/jshd.5404.482" TargetMode="External" /><Relationship Type="http://schemas.openxmlformats.org/officeDocument/2006/relationships/hyperlink" Id="rId167" Target="https://doi.org/10.1044/jshr.3202.347" TargetMode="External" /><Relationship Type="http://schemas.openxmlformats.org/officeDocument/2006/relationships/hyperlink" Id="rId263" Target="https://doi.org/10.1080/00031305.2012.695938" TargetMode="External" /><Relationship Type="http://schemas.openxmlformats.org/officeDocument/2006/relationships/hyperlink" Id="rId189" Target="https://doi.org/10.1080/0266476042000214501" TargetMode="External" /><Relationship Type="http://schemas.openxmlformats.org/officeDocument/2006/relationships/hyperlink" Id="rId197" Target="https://doi.org/10.1080/02699200400024863" TargetMode="External" /><Relationship Type="http://schemas.openxmlformats.org/officeDocument/2006/relationships/hyperlink" Id="rId297" Target="https://doi.org/10.1080/02699200410001663344" TargetMode="External" /><Relationship Type="http://schemas.openxmlformats.org/officeDocument/2006/relationships/hyperlink" Id="rId291" Target="https://doi.org/10.1080/0969594X.2019.1602027" TargetMode="External" /><Relationship Type="http://schemas.openxmlformats.org/officeDocument/2006/relationships/hyperlink" Id="rId175" Target="https://doi.org/10.1080/10705511.2014.882686" TargetMode="External" /><Relationship Type="http://schemas.openxmlformats.org/officeDocument/2006/relationships/hyperlink" Id="rId285" Target="https://doi.org/10.1093/applin/6.1.71" TargetMode="External" /><Relationship Type="http://schemas.openxmlformats.org/officeDocument/2006/relationships/hyperlink" Id="rId199" Target="https://doi.org/10.1093/deafed/enx001" TargetMode="External" /><Relationship Type="http://schemas.openxmlformats.org/officeDocument/2006/relationships/hyperlink" Id="rId187" Target="https://doi.org/10.1093/oxfordhb/9780190054045.013.3" TargetMode="External" /><Relationship Type="http://schemas.openxmlformats.org/officeDocument/2006/relationships/hyperlink" Id="rId153" Target="https://doi.org/10.1097/AUD.0b013e3182503e47" TargetMode="External" /><Relationship Type="http://schemas.openxmlformats.org/officeDocument/2006/relationships/hyperlink" Id="rId223" Target="https://doi.org/10.1111/1460-6984.12067" TargetMode="External" /><Relationship Type="http://schemas.openxmlformats.org/officeDocument/2006/relationships/hyperlink" Id="rId272" Target="https://doi.org/10.1111/1467-9868.00353" TargetMode="External" /><Relationship Type="http://schemas.openxmlformats.org/officeDocument/2006/relationships/hyperlink" Id="rId243" Target="https://doi.org/10.1111/1467-9922.00038" TargetMode="External" /><Relationship Type="http://schemas.openxmlformats.org/officeDocument/2006/relationships/hyperlink" Id="rId251" Target="https://doi.org/10.1111/rssa.12551" TargetMode="External" /><Relationship Type="http://schemas.openxmlformats.org/officeDocument/2006/relationships/hyperlink" Id="rId145" Target="https://doi.org/10.1177/01466216980222005" TargetMode="External" /><Relationship Type="http://schemas.openxmlformats.org/officeDocument/2006/relationships/hyperlink" Id="rId202" Target="https://doi.org/10.1177/0962280217738142" TargetMode="External" /><Relationship Type="http://schemas.openxmlformats.org/officeDocument/2006/relationships/hyperlink" Id="rId173" Target="https://doi.org/10.1177/25152459221106366" TargetMode="External" /><Relationship Type="http://schemas.openxmlformats.org/officeDocument/2006/relationships/hyperlink" Id="rId157" Target="https://doi.org/10.1179/1754762813Y.0000000043" TargetMode="External" /><Relationship Type="http://schemas.openxmlformats.org/officeDocument/2006/relationships/hyperlink" Id="rId276" Target="https://doi.org/10.1186/s13063-022-06967-6" TargetMode="External" /><Relationship Type="http://schemas.openxmlformats.org/officeDocument/2006/relationships/hyperlink" Id="rId206" Target="https://doi.org/10.1201/9781351062268" TargetMode="External" /><Relationship Type="http://schemas.openxmlformats.org/officeDocument/2006/relationships/hyperlink" Id="rId149" Target="https://doi.org/10.1214/12-ba728" TargetMode="External" /><Relationship Type="http://schemas.openxmlformats.org/officeDocument/2006/relationships/hyperlink" Id="rId195" Target="https://doi.org/10.1214/17-bjps354" TargetMode="External" /><Relationship Type="http://schemas.openxmlformats.org/officeDocument/2006/relationships/hyperlink" Id="rId289" Target="https://doi.org/10.1214/20-BA1221" TargetMode="External" /><Relationship Type="http://schemas.openxmlformats.org/officeDocument/2006/relationships/hyperlink" Id="rId171" Target="https://doi.org/10.1371/journal.pone.0254103" TargetMode="External" /><Relationship Type="http://schemas.openxmlformats.org/officeDocument/2006/relationships/hyperlink" Id="rId204" Target="https://doi.org/10.1515/9781614514909-038" TargetMode="External" /><Relationship Type="http://schemas.openxmlformats.org/officeDocument/2006/relationships/hyperlink" Id="rId232" Target="https://doi.org/10.21415/3mhn-0z89" TargetMode="External" /><Relationship Type="http://schemas.openxmlformats.org/officeDocument/2006/relationships/hyperlink" Id="rId267" Target="https://doi.org/10.2307/23042796" TargetMode="External" /><Relationship Type="http://schemas.openxmlformats.org/officeDocument/2006/relationships/hyperlink" Id="rId280" Target="https://doi.org/10.30931/jetas.321165" TargetMode="External" /><Relationship Type="http://schemas.openxmlformats.org/officeDocument/2006/relationships/hyperlink" Id="rId293" Target="https://doi.org/10.3102/1076998610396895" TargetMode="External" /><Relationship Type="http://schemas.openxmlformats.org/officeDocument/2006/relationships/hyperlink" Id="rId217" Target="https://doi.org/10.3109/02699206.2010.490003" TargetMode="External" /><Relationship Type="http://schemas.openxmlformats.org/officeDocument/2006/relationships/hyperlink" Id="rId161" Target="https://doi.org/10.3109/02699206.2014.926997" TargetMode="External" /><Relationship Type="http://schemas.openxmlformats.org/officeDocument/2006/relationships/hyperlink" Id="rId283" Target="https://doi.org/10.3366/E1753854809000305" TargetMode="External" /><Relationship Type="http://schemas.openxmlformats.org/officeDocument/2006/relationships/hyperlink" Id="rId45" Target="https://jriveraespejo.github.io/paper1_manuscript/" TargetMode="External" /><Relationship Type="http://schemas.openxmlformats.org/officeDocument/2006/relationships/hyperlink" Id="rId257" Target="https://www.doi.org/10.1007/BF02295939" TargetMode="External" /><Relationship Type="http://schemas.openxmlformats.org/officeDocument/2006/relationships/hyperlink" Id="rId261" Target="https://www.doi.org/10.1016/j.jeconom.2004.08.01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Everything, altogether, all at once: Addressing data challenges when measuring speech intelligibility through entropy scores</dc:title>
  <dc:creator>Jose Manuel Rivera Espejo; Sven De Maeyer; Steven Gillis</dc:creator>
  <cp:keywords>Bayesian analysis, speech intelligibility, bounded outcomes, clustering, measurement error, outliers, heteroscedasticity, generalized linear latent and mixed models, robust regression models.</cp:keywords>
  <dcterms:created xsi:type="dcterms:W3CDTF">2024-04-06T07:14:04Z</dcterms:created>
  <dcterms:modified xsi:type="dcterms:W3CDTF">2024-04-06T07:14:04Z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Considering the imperative need to comprehensively address all data features when investigating unobservable and complex traits, this research aims to showcase the effectiveness of the Generalized Linear Latent and Mixed Model (GLLAMM) (Rabe-Hesketh, Skrondal, and Pickles 2004a, 2004c, 2004b; Skrondal and Rabe-Hesketh 2004) in handling entropy scores for investigating speech intelligibility theories. Utilizing transcriptions from spontaneous speech data originally collected by Boonen et al. (2021), the Bayesian Beta-proportion GLLAMM was employed to model the resulting entropy scores. The study compared the model’s prediction accuracy with the Normal Linear Mixed Model (LMM) (Holmes, Bolin, and Kelley 2019) and investigated its capacity to estimate a latent intelligibility from manifest entropy scores. Additionally, it illustrated how the model can explore research theories concerning the impact of speaker-related factors on intelligibility. Results demonstrate the consistent superiority of the Beta-proportion GLLAMM over the Normal LMM in predicting the empirical phenomena. Furthermore, the model effectively quantified the latent potential intelligibility, enabling the ranking and comparison of individuals while accommodating for uncertainties. Lastly, it facilitated exploration of theories related to speaker-related factors and intelligibility. Despite these advantages, the introduction of these innovative statistical tools poses challenges for researchers seeking implementation. Nevertheless, the study suggests interesting future research directions, including power analysis, causal hypothesis formulation, and exploration of novel methods for intelligibility assessment. This study has implications for researchers and data analysts interested in quantitatively measuring and testing theories related to intricate, unobservable constructs, while emphasizing the accurate prediction of empirical phenomena.</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2024-04-06</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