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2024-04-18</w:t>
      </w:r>
    </w:p>
    <w:p>
      <w:pPr>
        <w:pStyle w:val="AbstractTitle"/>
      </w:pPr>
      <w:r>
        <w:t xml:space="preserve">Abstract</w:t>
      </w:r>
    </w:p>
    <w:p>
      <w:pPr>
        <w:pStyle w:val="Abstract"/>
      </w:pPr>
      <w:r>
        <w:t xml:space="preserve">This</w:t>
      </w:r>
      <w:r>
        <w:t xml:space="preserve"> </w:t>
      </w:r>
      <w:r>
        <w:t xml:space="preserve">research</w:t>
      </w:r>
      <w:r>
        <w:t xml:space="preserve"> </w:t>
      </w:r>
      <w:r>
        <w:t xml:space="preserve">aims</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analyzing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hypotheses.</w:t>
      </w:r>
      <w:r>
        <w:t xml:space="preserve"> </w:t>
      </w:r>
      <w:r>
        <w:t xml:space="preserve">Using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study</w:t>
      </w:r>
      <w:r>
        <w:t xml:space="preserve"> </w:t>
      </w:r>
      <w:r>
        <w:t xml:space="preserve">employs</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these</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illustrates</w:t>
      </w:r>
      <w:r>
        <w:t xml:space="preserve"> </w:t>
      </w:r>
      <w:r>
        <w:t xml:space="preserve">how</w:t>
      </w:r>
      <w:r>
        <w:t xml:space="preserve"> </w:t>
      </w:r>
      <w:r>
        <w:t xml:space="preserve">researcher</w:t>
      </w:r>
      <w:r>
        <w:t xml:space="preserve"> </w:t>
      </w:r>
      <w:r>
        <w:t xml:space="preserve">can</w:t>
      </w:r>
      <w:r>
        <w:t xml:space="preserve"> </w:t>
      </w:r>
      <w:r>
        <w:t xml:space="preserve">explore</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show</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model</w:t>
      </w:r>
      <w:r>
        <w:t xml:space="preserve"> </w:t>
      </w:r>
      <w:r>
        <w:t xml:space="preserve">facilitates</w:t>
      </w:r>
      <w:r>
        <w:t xml:space="preserve"> </w:t>
      </w:r>
      <w:r>
        <w:t xml:space="preserve">hypothesis</w:t>
      </w:r>
      <w:r>
        <w:t xml:space="preserve"> </w:t>
      </w:r>
      <w:r>
        <w:t xml:space="preserve">exploration</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However,</w:t>
      </w:r>
      <w:r>
        <w:t xml:space="preserve"> </w:t>
      </w:r>
      <w:r>
        <w:t xml:space="preserve">implementing</w:t>
      </w:r>
      <w:r>
        <w:t xml:space="preserve"> </w:t>
      </w:r>
      <w:r>
        <w:t xml:space="preserve">these</w:t>
      </w:r>
      <w:r>
        <w:t xml:space="preserve"> </w:t>
      </w:r>
      <w:r>
        <w:t xml:space="preserve">statistical</w:t>
      </w:r>
      <w:r>
        <w:t xml:space="preserve"> </w:t>
      </w:r>
      <w:r>
        <w:t xml:space="preserve">tools</w:t>
      </w:r>
      <w:r>
        <w:t xml:space="preserve"> </w:t>
      </w:r>
      <w:r>
        <w:t xml:space="preserve">require</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the</w:t>
      </w:r>
      <w:r>
        <w:t xml:space="preserve"> </w:t>
      </w:r>
      <w:r>
        <w:t xml:space="preserve">core</w:t>
      </w:r>
      <w:r>
        <w:t xml:space="preserve"> </w:t>
      </w:r>
      <w:r>
        <w:t xml:space="preserve">of</w:t>
      </w:r>
      <w:r>
        <w:t xml:space="preserve"> </w:t>
      </w:r>
      <w:r>
        <w:t xml:space="preserve">Bayesian</w:t>
      </w:r>
      <w:r>
        <w:t xml:space="preserve"> </w:t>
      </w:r>
      <w:r>
        <w:t xml:space="preserve">methods.</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and</w:t>
      </w:r>
      <w:r>
        <w:t xml:space="preserve"> </w:t>
      </w:r>
      <w:r>
        <w:t xml:space="preserve">accurately</w:t>
      </w:r>
      <w:r>
        <w:t xml:space="preserve"> </w:t>
      </w:r>
      <w:r>
        <w:t xml:space="preserve">predicting</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2021)</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2021)</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2021)</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2022)</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Cs/>
          <w:i/>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The study employed Bayesian procedures for three main reasons. Firstly, prior research consistently demonstrates the superiority of Bayesian methods over frequentist methods, especially with complex and over-parameterized models</w:t>
      </w:r>
      <w:r>
        <w:t xml:space="preserve"> </w:t>
      </w:r>
      <w:r>
        <w:t xml:space="preserve">(Baker 1998; Kim and Cohen 1999)</w:t>
      </w:r>
      <w:r>
        <w:t xml:space="preserve">. This is particularly relevant for the proposed GLLAMM, given the model’s implementation challenges under frequentist methods</w:t>
      </w:r>
      <w:r>
        <w:t xml:space="preserve"> </w:t>
      </w:r>
      <w:r>
        <w:t xml:space="preserve">(Depaoli 2014)</w:t>
      </w:r>
      <w:r>
        <w:t xml:space="preserve">. Secondly, the Bayesian approach enables the incorporation of prior information, thereby constraining certain parameters within specified bounds. This feature addresses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exhibit proficiency in drawing inferences from small sample sizes</w:t>
      </w:r>
      <w:r>
        <w:t xml:space="preserve"> </w:t>
      </w:r>
      <w:r>
        <w:t xml:space="preserve">(Baldwin and Fellingham 2013; Lambert et al. 2006; Depaoli 2014)</w:t>
      </w:r>
      <w:r>
        <w:t xml:space="preserve">. This property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hypotheses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Cs/>
          <w:i/>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Cs/>
          <w:i/>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hypotheses,</w:t>
      </w:r>
      <w:r>
        <w:t xml:space="preserve"> </w:t>
      </w:r>
      <w:r>
        <w:rPr>
          <w:iCs/>
          <w:i/>
        </w:rPr>
        <w:t xml:space="preserve">Research Question 3 (RQ3)</w:t>
      </w:r>
      <w:r>
        <w:t xml:space="preserve"> </w:t>
      </w:r>
      <w:r>
        <w:t xml:space="preserve">illustrates how these research hypotheses can be examined within the model’s framework. Specifically, RQ3 assesses the influence of speaker-related factors on the newly estimated latent intelligibility.</w:t>
      </w:r>
    </w:p>
    <w:p>
      <w:pPr>
        <w:pStyle w:val="BodyText"/>
      </w:pPr>
      <w:r>
        <w:t xml:space="preserve">Ultimately, this study offers a statistical tool that improves upon current research models for researchers studying speech intelligibility through entropy scores and those in similar or different fields facing analogous data challenges.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(2021)</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w:t>
      </w:r>
      <w:r>
        <w:t xml:space="preserve"> </w:t>
      </w:r>
      <w:r>
        <w:t xml:space="preserve">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within each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Refer to</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2022)</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iCs/>
                <w:i/>
                <w:bCs/>
                <w:b/>
              </w:rPr>
              <w:t xml:space="preserve">Note:</w:t>
            </w:r>
            <w:r>
              <w:t xml:space="preserve"> </w:t>
            </w:r>
            <w:r>
              <w:t xml:space="preserve">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Cs/>
                <w:i/>
              </w:rPr>
              <w:t xml:space="preserve">[B]</w:t>
            </w:r>
            <w:r>
              <w:t xml:space="preserve"> </w:t>
            </w:r>
            <w:r>
              <w:t xml:space="preserve">represent a blank space, and</w:t>
            </w:r>
            <w:r>
              <w:t xml:space="preserve"> </w:t>
            </w:r>
            <w:r>
              <w:rPr>
                <w:iCs/>
                <w:i/>
              </w:rPr>
              <w:t xml:space="preserve">[X]</w:t>
            </w:r>
            <w:r>
              <w:t xml:space="preserve"> </w:t>
            </w:r>
            <w:r>
              <w:t xml:space="preserve">an unidentifiable speech.</w:t>
            </w:r>
          </w:p>
          <w:tbl>
            <w:tblPr>
              <w:tblStyle w:val="Table"/>
              <w:tblW w:type="pct" w:w="4583"/>
              <w:tblLook w:firstRow="1" w:lastRow="0" w:firstColumn="0" w:lastColumn="0" w:noHBand="0" w:noVBand="0" w:val="0020"/>
              <w:jc w:val="start"/>
              <w:tblLayout w:type="fixed"/>
            </w:tblPr>
            <w:tblGrid>
              <w:gridCol w:w="1760"/>
              <w:gridCol w:w="1100"/>
              <w:gridCol w:w="1100"/>
              <w:gridCol w:w="1100"/>
              <w:gridCol w:w="1100"/>
              <w:gridCol w:w="1100"/>
            </w:tblGrid>
            <w:tr>
              <w:trPr>
                <w:tblHeader w:val="true"/>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true"/>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Cs/>
                      <w:b/>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Cs/>
          <w:i/>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speakers’ characteristics. This is commonly known as a direct link function. Moreover, the equation indicates that chronological age is</w:t>
      </w:r>
      <w:r>
        <w:t xml:space="preserve"> </w:t>
      </w:r>
      <w:r>
        <w:rPr>
          <w:iCs/>
          <w:i/>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Cs/>
          <w:i/>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Additionally,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Finally,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this over-parameterized model facilitated: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Cs/>
          <w:i/>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Cs/>
          <w:i/>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Cs/>
          <w:i/>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Additionally, it indicates that chronological age is</w:t>
      </w:r>
      <w:r>
        <w:t xml:space="preserve"> </w:t>
      </w:r>
      <w:r>
        <w:rPr>
          <w:iCs/>
          <w:i/>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w:t>
      </w:r>
      <w:r>
        <w:t xml:space="preserve"> </w:t>
      </w:r>
      <w:r>
        <w:t xml:space="preserve">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Cs/>
          <w:i/>
        </w:rPr>
        <w:t xml:space="preserve">Hyperparameters</w:t>
      </w:r>
      <w:r>
        <w:t xml:space="preserve"> </w:t>
      </w:r>
      <w:r>
        <w:t xml:space="preserve">refer to parameters indexing a family of possible prior distributions for the original parameter, while</w:t>
      </w:r>
      <w:r>
        <w:t xml:space="preserve"> </w:t>
      </w:r>
      <w:r>
        <w:rPr>
          <w:iCs/>
          <w:i/>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Cs/>
          <w:i/>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Cs/>
          <w:i/>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tbl-fitted"/>
          <w:p>
            <w:pPr>
              <w:jc w:val="center"/>
            </w:pPr>
            <w:pPr>
              <w:jc w:val="start"/>
              <w:spacing w:before="200"/>
              <w:pStyle w:val="ImageCaption"/>
            </w:pPr>
            <w:r>
              <w:t xml:space="preserve">Table 2: Fitted models.</w:t>
            </w:r>
            <w:r>
              <w:t xml:space="preserve"> </w:t>
            </w:r>
            <w:r>
              <w:rPr>
                <w:iCs/>
                <w:i/>
                <w:bCs/>
                <w:b/>
              </w:rPr>
              <w:t xml:space="preserve">Note:</w:t>
            </w:r>
            <w:r>
              <w:t xml:space="preserve"> </w:t>
            </w:r>
            <w:r>
              <w:rPr>
                <w:iCs/>
                <w:i/>
              </w:rPr>
              <w:t xml:space="preserve">Yes</w:t>
            </w:r>
            <w:r>
              <w:t xml:space="preserve"> </w:t>
            </w:r>
            <w:r>
              <w:t xml:space="preserve">indicates the feature or parameter is included in the model.</w:t>
            </w:r>
          </w:p>
          <w:tbl>
            <w:tblPr>
              <w:tblStyle w:val="Table"/>
              <w:tblW w:type="pct" w:w="4747"/>
              <w:tblLook w:firstRow="1" w:lastRow="0" w:firstColumn="0" w:lastColumn="0" w:noHBand="0" w:noVBand="0" w:val="0020"/>
              <w:jc w:val="start"/>
              <w:tblLayout w:type="fixed"/>
            </w:tblPr>
            <w:tblGrid>
              <w:gridCol w:w="640"/>
              <w:gridCol w:w="800"/>
              <w:gridCol w:w="1200"/>
              <w:gridCol w:w="800"/>
              <w:gridCol w:w="1360"/>
              <w:gridCol w:w="1120"/>
              <w:gridCol w:w="1600"/>
            </w:tblGrid>
            <w:tr>
              <w:trPr>
                <w:tblHeader w:val="true"/>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true"/>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Cs/>
          <w:i/>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Cs/>
          <w:i/>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Cs/>
          <w:i/>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Cs/>
          <w:i/>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behind this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the study utilizes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Cs/>
          <w:i/>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Cs/>
          <w:i/>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For this purpose, the study also presents the associated uncertainty for both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 the models’ complexity penalization, as well as their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Cs/>
          <w:i/>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deviates the least from</w:t>
      </w:r>
      <w:r>
        <w:t xml:space="preserve"> </w:t>
      </w:r>
      <w:r>
        <w:rPr>
          <w:iCs/>
          <w:i/>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tblLook w:firstRow="0" w:lastRow="0" w:firstColumn="0" w:lastColumn="0" w:noHBand="0" w:noVBand="0" w:val="0000"/>
        <w:jc w:val="start"/>
        <w:tblLayout w:type="fixed"/>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iCs/>
                <w:i/>
                <w:bCs/>
                <w:b/>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fails to adequately capture the data’s underlying patterns, resulting in predictions that are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bear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Cs/>
          <w:i/>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Cs/>
          <w:i/>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tblLook w:firstRow="0" w:lastRow="0" w:firstColumn="0" w:lastColumn="0" w:noHBand="0" w:noVBand="0" w:val="0000"/>
        <w:jc w:val="start"/>
        <w:tblLayout w:type="fixed"/>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iCs/>
                <w:i/>
                <w:bCs/>
                <w:b/>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tblLook w:firstRow="0" w:lastRow="0" w:firstColumn="0" w:lastColumn="0" w:noHBand="0" w:noVBand="0" w:val="0000"/>
        <w:jc w:val="start"/>
        <w:tblLayout w:type="fixed"/>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iCs/>
                <w:i/>
                <w:bCs/>
                <w:b/>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w:t>
      </w:r>
      <w:r>
        <w:t xml:space="preserve"> </w:t>
      </w:r>
      <w:r>
        <w:t xml:space="preserve">The figure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ook w:firstRow="0" w:lastRow="0" w:firstColumn="0" w:lastColumn="0" w:noHBand="0" w:noVBand="0" w:val="0000"/>
        <w:jc w:val="start"/>
        <w:tblLayout w:type="fixed"/>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iCs/>
                <w:i/>
                <w:bCs/>
                <w:b/>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hypotheses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Cs/>
          <w:i/>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ook w:firstRow="0" w:lastRow="0" w:firstColumn="0" w:lastColumn="0" w:noHBand="0" w:noVBand="0" w:val="0000"/>
        <w:jc w:val="start"/>
        <w:tblLayout w:type="fixed"/>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iCs/>
                <w:i/>
                <w:bCs/>
                <w:b/>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ook w:firstRow="0" w:lastRow="0" w:firstColumn="0" w:lastColumn="0" w:noHBand="0" w:noVBand="0" w:val="0000"/>
        <w:jc w:val="start"/>
        <w:tblLayout w:type="fixed"/>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iCs/>
                <w:i/>
                <w:bCs/>
                <w:b/>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ook w:firstRow="0" w:lastRow="0" w:firstColumn="0" w:lastColumn="0" w:noHBand="0" w:noVBand="0" w:val="0000"/>
        <w:jc w:val="start"/>
        <w:tblLayout w:type="fixed"/>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ook w:firstRow="0" w:lastRow="0" w:firstColumn="0" w:lastColumn="0" w:noHBand="0" w:noVBand="0" w:val="0000"/>
        <w:jc w:val="start"/>
        <w:tblLayout w:type="fixed"/>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iCs/>
                <w:i/>
                <w:bCs/>
                <w:b/>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ook w:firstRow="0" w:lastRow="0" w:firstColumn="0" w:lastColumn="0" w:noHBand="0" w:noVBand="0" w:val="0000"/>
        <w:jc w:val="start"/>
        <w:tblLayout w:type="fixed"/>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ook w:firstRow="0" w:lastRow="0" w:firstColumn="0" w:lastColumn="0" w:noHBand="0" w:noVBand="0" w:val="0000"/>
        <w:jc w:val="start"/>
        <w:tblLayout w:type="fixed"/>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iCs/>
                <w:i/>
                <w:bCs/>
                <w:b/>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hypotheses were viable for the data, with some presenting contradictory conclusions about the influence of those factors on intelligibility. However, even when unequivocal support for one hypothesis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hypotheses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w:t>
      </w:r>
      <w:r>
        <w:t xml:space="preserve"> </w:t>
      </w:r>
      <w:r>
        <w:t xml:space="preserve">Boonen et al. (2021)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hypotheses concerning the influence of speaker-related factors on potential intelligibility. The study indicates that integrating and comparing these hypotheses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causal hypothesis formulation, and exploration and integration of novel evaluation methods for assessing intelligibility. The insights derived from this study hold implications for both researchers and data analysts interested in quantitatively measuring intricate, unobservable constructs and accurately predicting empirical phenomena.</w:t>
      </w:r>
    </w:p>
    <w:p>
      <w:r>
        <w:br w:type="page"/>
      </w:r>
    </w:p>
    <w:bookmarkEnd w:id="100"/>
    <w:bookmarkStart w:id="101" w:name="declarations"/>
    <w:p>
      <w:pPr>
        <w:pStyle w:val="Heading1"/>
      </w:pPr>
      <w:r>
        <w:t xml:space="preserve">Declarations</w:t>
      </w:r>
    </w:p>
    <w:p>
      <w:pPr>
        <w:pStyle w:val="FirstParagraph"/>
      </w:pPr>
      <w:r>
        <w:rPr>
          <w:bCs/>
          <w:b/>
        </w:rPr>
        <w:t xml:space="preserve">Funding:</w:t>
      </w:r>
      <w:r>
        <w:t xml:space="preserve"> </w:t>
      </w:r>
      <w:r>
        <w:t xml:space="preserve">The project was founded through the Research Fund of the University of Antwerp (BOF).</w:t>
      </w:r>
    </w:p>
    <w:p>
      <w:pPr>
        <w:pStyle w:val="BodyText"/>
      </w:pPr>
      <w:r>
        <w:rPr>
          <w:bCs/>
          <w:b/>
        </w:rPr>
        <w:t xml:space="preserve">Conflict of interests:</w:t>
      </w:r>
      <w:r>
        <w:t xml:space="preserve"> </w:t>
      </w:r>
      <w:r>
        <w:t xml:space="preserve">The authors declare no conflict of interest.</w:t>
      </w:r>
    </w:p>
    <w:p>
      <w:pPr>
        <w:pStyle w:val="BodyText"/>
      </w:pPr>
      <w:r>
        <w:rPr>
          <w:bCs/>
          <w:b/>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Cs/>
          <w:b/>
        </w:rPr>
        <w:t xml:space="preserve">Consent to participate:</w:t>
      </w:r>
      <w:r>
        <w:t xml:space="preserve"> </w:t>
      </w:r>
      <w:r>
        <w:t xml:space="preserve">Not applicable</w:t>
      </w:r>
    </w:p>
    <w:p>
      <w:pPr>
        <w:pStyle w:val="BodyText"/>
      </w:pPr>
      <w:r>
        <w:rPr>
          <w:bCs/>
          <w:b/>
        </w:rPr>
        <w:t xml:space="preserve">Consent for publication:</w:t>
      </w:r>
      <w:r>
        <w:t xml:space="preserve"> </w:t>
      </w:r>
      <w:r>
        <w:t xml:space="preserve">All authors have read and agreed to the published version of the manuscript.</w:t>
      </w:r>
    </w:p>
    <w:p>
      <w:pPr>
        <w:pStyle w:val="BodyText"/>
      </w:pPr>
      <w:r>
        <w:rPr>
          <w:bCs/>
          <w:b/>
        </w:rPr>
        <w:t xml:space="preserve">Availability of data and materials:</w:t>
      </w:r>
      <w:r>
        <w:t xml:space="preserve"> </w:t>
      </w:r>
      <w:r>
        <w:t xml:space="preserve">The data is delivered upon request.</w:t>
      </w:r>
    </w:p>
    <w:p>
      <w:pPr>
        <w:pStyle w:val="BodyText"/>
      </w:pPr>
      <w:r>
        <w:rPr>
          <w:bCs/>
          <w:b/>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Cs/>
          <w:b/>
        </w:rPr>
        <w:t xml:space="preserve">Authors’ contributions:</w:t>
      </w:r>
      <w:r>
        <w:t xml:space="preserve"> </w:t>
      </w:r>
      <w:r>
        <w:rPr>
          <w:iCs/>
          <w:i/>
        </w:rPr>
        <w:t xml:space="preserve">Conceptualization:</w:t>
      </w:r>
      <w:r>
        <w:t xml:space="preserve"> </w:t>
      </w:r>
      <w:r>
        <w:t xml:space="preserve">S.G., S.dM., and J.M.R.E;</w:t>
      </w:r>
      <w:r>
        <w:t xml:space="preserve"> </w:t>
      </w:r>
      <w:r>
        <w:rPr>
          <w:iCs/>
          <w:i/>
        </w:rPr>
        <w:t xml:space="preserve">Data curation:</w:t>
      </w:r>
      <w:r>
        <w:t xml:space="preserve"> </w:t>
      </w:r>
      <w:r>
        <w:t xml:space="preserve">J.M.R.E.;</w:t>
      </w:r>
      <w:r>
        <w:t xml:space="preserve"> </w:t>
      </w:r>
      <w:r>
        <w:rPr>
          <w:iCs/>
          <w:i/>
        </w:rPr>
        <w:t xml:space="preserve">Formal Analysis:</w:t>
      </w:r>
      <w:r>
        <w:t xml:space="preserve"> </w:t>
      </w:r>
      <w:r>
        <w:t xml:space="preserve">J.M.R.E.;</w:t>
      </w:r>
      <w:r>
        <w:t xml:space="preserve"> </w:t>
      </w:r>
      <w:r>
        <w:rPr>
          <w:iCs/>
          <w:i/>
        </w:rPr>
        <w:t xml:space="preserve">Funding acquisition:</w:t>
      </w:r>
      <w:r>
        <w:t xml:space="preserve"> </w:t>
      </w:r>
      <w:r>
        <w:t xml:space="preserve">S.G. and S.dM;</w:t>
      </w:r>
      <w:r>
        <w:t xml:space="preserve"> </w:t>
      </w:r>
      <w:r>
        <w:rPr>
          <w:iCs/>
          <w:i/>
        </w:rPr>
        <w:t xml:space="preserve">Investigation:</w:t>
      </w:r>
      <w:r>
        <w:t xml:space="preserve"> </w:t>
      </w:r>
      <w:r>
        <w:t xml:space="preserve">S.G.;</w:t>
      </w:r>
      <w:r>
        <w:t xml:space="preserve"> </w:t>
      </w:r>
      <w:r>
        <w:rPr>
          <w:iCs/>
          <w:i/>
        </w:rPr>
        <w:t xml:space="preserve">Methodology:</w:t>
      </w:r>
      <w:r>
        <w:t xml:space="preserve"> </w:t>
      </w:r>
      <w:r>
        <w:t xml:space="preserve">S.G., S.dM., and J.M.R.E;</w:t>
      </w:r>
      <w:r>
        <w:t xml:space="preserve"> </w:t>
      </w:r>
      <w:r>
        <w:rPr>
          <w:iCs/>
          <w:i/>
        </w:rPr>
        <w:t xml:space="preserve">Project administration:</w:t>
      </w:r>
      <w:r>
        <w:t xml:space="preserve"> </w:t>
      </w:r>
      <w:r>
        <w:t xml:space="preserve">S.G. and S.dM.;</w:t>
      </w:r>
      <w:r>
        <w:t xml:space="preserve"> </w:t>
      </w:r>
      <w:r>
        <w:rPr>
          <w:iCs/>
          <w:i/>
        </w:rPr>
        <w:t xml:space="preserve">Resources:</w:t>
      </w:r>
      <w:r>
        <w:t xml:space="preserve"> </w:t>
      </w:r>
      <w:r>
        <w:t xml:space="preserve">S.G. and S.dM.;</w:t>
      </w:r>
      <w:r>
        <w:t xml:space="preserve"> </w:t>
      </w:r>
      <w:r>
        <w:rPr>
          <w:iCs/>
          <w:i/>
        </w:rPr>
        <w:t xml:space="preserve">Software: J.M.R.E.</w:t>
      </w:r>
      <w:r>
        <w:t xml:space="preserve">;</w:t>
      </w:r>
      <w:r>
        <w:t xml:space="preserve"> </w:t>
      </w:r>
      <w:r>
        <w:rPr>
          <w:iCs/>
          <w:i/>
        </w:rPr>
        <w:t xml:space="preserve">Supervision:</w:t>
      </w:r>
      <w:r>
        <w:t xml:space="preserve"> </w:t>
      </w:r>
      <w:r>
        <w:t xml:space="preserve">S.G. and S.dM.;</w:t>
      </w:r>
      <w:r>
        <w:t xml:space="preserve"> </w:t>
      </w:r>
      <w:r>
        <w:rPr>
          <w:iCs/>
          <w:i/>
        </w:rPr>
        <w:t xml:space="preserve">Validation:</w:t>
      </w:r>
      <w:r>
        <w:t xml:space="preserve"> </w:t>
      </w:r>
      <w:r>
        <w:t xml:space="preserve">J.M.R.E.;</w:t>
      </w:r>
      <w:r>
        <w:t xml:space="preserve"> </w:t>
      </w:r>
      <w:r>
        <w:rPr>
          <w:iCs/>
          <w:i/>
        </w:rPr>
        <w:t xml:space="preserve">Visualization:</w:t>
      </w:r>
      <w:r>
        <w:t xml:space="preserve"> </w:t>
      </w:r>
      <w:r>
        <w:t xml:space="preserve">J.M.R.E.;</w:t>
      </w:r>
      <w:r>
        <w:t xml:space="preserve"> </w:t>
      </w:r>
      <w:r>
        <w:rPr>
          <w:iCs/>
          <w:i/>
        </w:rPr>
        <w:t xml:space="preserve">Writing - original draft:</w:t>
      </w:r>
      <w:r>
        <w:t xml:space="preserve"> </w:t>
      </w:r>
      <w:r>
        <w:t xml:space="preserve">J.M.R.E.;</w:t>
      </w:r>
      <w:r>
        <w:t xml:space="preserve"> </w:t>
      </w:r>
      <w:r>
        <w:rPr>
          <w:iCs/>
          <w:i/>
        </w:rPr>
        <w:t xml:space="preserve">Writing - review &amp; editing:</w:t>
      </w:r>
      <w:r>
        <w:t xml:space="preserve"> </w:t>
      </w:r>
      <w:r>
        <w:t xml:space="preserve">S.G. and S.dM.</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Cs/>
          <w:i/>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Cs/>
          <w:i/>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Cs/>
          <w:i/>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Cs/>
          <w:i/>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Cs/>
          <w:i/>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A blank space</w:t>
      </w:r>
      <w:r>
        <w:t xml:space="preserve"> </w:t>
      </w:r>
      <w:r>
        <w:rPr>
          <w:iCs/>
          <w:i/>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does not identify a complete word, or part of it, (s)he is instructed to write</w:t>
      </w:r>
      <w:r>
        <w:t xml:space="preserve"> </w:t>
      </w:r>
      <w:r>
        <w:rPr>
          <w:iCs/>
          <w:i/>
        </w:rPr>
        <w:t xml:space="preserve">[X]</w:t>
      </w:r>
      <w:r>
        <w:t xml:space="preserve"> </w:t>
      </w:r>
      <w:r>
        <w:t xml:space="preserve">in that position. However, for the calculation of the entropy score, if more than one listener marks an unidentifiable word with</w:t>
      </w:r>
      <w:r>
        <w:t xml:space="preserve"> </w:t>
      </w:r>
      <w:r>
        <w:rPr>
          <w:iCs/>
          <w:i/>
        </w:rPr>
        <w:t xml:space="preserve">[X]</w:t>
      </w:r>
      <w:r>
        <w:t xml:space="preserve">, each one of them is considered a different word type. This is done to avoid the artificial reduction of the entropy score, as</w:t>
      </w:r>
      <w:r>
        <w:t xml:space="preserve"> </w:t>
      </w:r>
      <w:r>
        <w:rPr>
          <w:iCs/>
          <w:i/>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Cs/>
          <w:i/>
        </w:rPr>
        <w:t xml:space="preserve">kikker</w:t>
      </w:r>
      <w:r>
        <w:t xml:space="preserve">,</w:t>
      </w:r>
      <w:r>
        <w:t xml:space="preserve"> </w:t>
      </w:r>
      <m:oMath>
        <m:sSub>
          <m:e>
            <m:r>
              <m:t>T</m:t>
            </m:r>
          </m:e>
          <m:sub>
            <m:r>
              <m:t>j</m:t>
            </m:r>
            <m:r>
              <m:t>2</m:t>
            </m:r>
          </m:sub>
        </m:sSub>
        <m:r>
          <m:rPr>
            <m:sty m:val="p"/>
          </m:rPr>
          <m:t>=</m:t>
        </m:r>
      </m:oMath>
      <w:r>
        <w:rPr>
          <w:iCs/>
          <w:i/>
        </w:rPr>
        <w:t xml:space="preserve">[X]</w:t>
      </w:r>
      <w:r>
        <w:t xml:space="preserve">,</w:t>
      </w:r>
      <w:r>
        <w:t xml:space="preserve"> </w:t>
      </w:r>
      <m:oMath>
        <m:sSub>
          <m:e>
            <m:r>
              <m:t>T</m:t>
            </m:r>
          </m:e>
          <m:sub>
            <m:r>
              <m:t>j</m:t>
            </m:r>
            <m:r>
              <m:t>3</m:t>
            </m:r>
          </m:sub>
        </m:sSub>
        <m:r>
          <m:rPr>
            <m:sty m:val="p"/>
          </m:rPr>
          <m:t>=</m:t>
        </m:r>
      </m:oMath>
      <w:r>
        <w:rPr>
          <w:iCs/>
          <w:i/>
        </w:rPr>
        <w:t xml:space="preserve">kokkin</w:t>
      </w:r>
      <w:r>
        <w:t xml:space="preserve">,</w:t>
      </w:r>
      <w:r>
        <w:t xml:space="preserve"> </w:t>
      </w:r>
      <m:oMath>
        <m:sSub>
          <m:e>
            <m:r>
              <m:t>T</m:t>
            </m:r>
          </m:e>
          <m:sub>
            <m:r>
              <m:t>j</m:t>
            </m:r>
            <m:r>
              <m:t>4</m:t>
            </m:r>
          </m:sub>
        </m:sSub>
        <m:r>
          <m:rPr>
            <m:sty m:val="p"/>
          </m:rPr>
          <m:t>=</m:t>
        </m:r>
      </m:oMath>
      <w:r>
        <w:rPr>
          <w:iCs/>
          <w:i/>
        </w:rPr>
        <w:t xml:space="preserve">kikkers</w:t>
      </w:r>
      <w:r>
        <w:t xml:space="preserve">,</w:t>
      </w:r>
      <w:r>
        <w:t xml:space="preserve"> </w:t>
      </w:r>
      <m:oMath>
        <m:sSub>
          <m:e>
            <m:r>
              <m:t>T</m:t>
            </m:r>
          </m:e>
          <m:sub>
            <m:r>
              <m:t>j</m:t>
            </m:r>
            <m:r>
              <m:t>5</m:t>
            </m:r>
          </m:sub>
        </m:sSub>
        <m:r>
          <m:rPr>
            <m:sty m:val="p"/>
          </m:rPr>
          <m:t>=</m:t>
        </m:r>
      </m:oMath>
      <w:r>
        <w:rPr>
          <w:iCs/>
          <w:i/>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Cs/>
          <w:i/>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Cs/>
          <w:i/>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Cs/>
          <w:i/>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2021)</w:t>
      </w:r>
      <w:r>
        <w:t xml:space="preserve">. In contrast, the percentage of (un)intelligible words mostly discards some word type proportions in favor of</w:t>
      </w:r>
      <w:r>
        <w:t xml:space="preserve"> </w:t>
      </w:r>
      <w:r>
        <w:rPr>
          <w:iCs/>
          <w:i/>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iCs/>
                <w:i/>
                <w:bCs/>
                <w:b/>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iCs/>
                <w:i/>
                <w:bCs/>
                <w:b/>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iCs/>
                <w:i/>
                <w:bCs/>
                <w:b/>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iCs/>
                <w:i/>
                <w:bCs/>
                <w:b/>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ook w:firstRow="0" w:lastRow="0" w:firstColumn="0" w:lastColumn="0" w:noHBand="0" w:noVBand="0" w:val="0000"/>
        <w:jc w:val="start"/>
        <w:tblLayout w:type="fixed"/>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iCs/>
                <w:i/>
                <w:bCs/>
                <w:b/>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ook w:firstRow="0" w:lastRow="0" w:firstColumn="0" w:lastColumn="0" w:noHBand="0" w:noVBand="0" w:val="0000"/>
        <w:jc w:val="start"/>
        <w:tblLayout w:type="fixed"/>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iCs/>
                <w:i/>
                <w:bCs/>
                <w:b/>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ook w:firstRow="0" w:lastRow="0" w:firstColumn="0" w:lastColumn="0" w:noHBand="0" w:noVBand="0" w:val="0000"/>
        <w:jc w:val="start"/>
        <w:tblLayout w:type="fixed"/>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iCs/>
                <w:i/>
                <w:bCs/>
                <w:b/>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ook w:firstRow="0" w:lastRow="0" w:firstColumn="0" w:lastColumn="0" w:noHBand="0" w:noVBand="0" w:val="0000"/>
        <w:jc w:val="start"/>
        <w:tblLayout w:type="fixed"/>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iCs/>
                <w:i/>
                <w:bCs/>
                <w:b/>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ook w:firstRow="0" w:lastRow="0" w:firstColumn="0" w:lastColumn="0" w:noHBand="0" w:noVBand="0" w:val="0000"/>
        <w:jc w:val="start"/>
        <w:tblLayout w:type="fixed"/>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iCs/>
                <w:i/>
                <w:bCs/>
                <w:b/>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ook w:firstRow="0" w:lastRow="0" w:firstColumn="0" w:lastColumn="0" w:noHBand="0" w:noVBand="0" w:val="0000"/>
        <w:jc w:val="start"/>
        <w:tblLayout w:type="fixed"/>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iCs/>
                <w:i/>
                <w:bCs/>
                <w:b/>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ook w:firstRow="0" w:lastRow="0" w:firstColumn="0" w:lastColumn="0" w:noHBand="0" w:noVBand="0" w:val="0000"/>
        <w:jc w:val="start"/>
        <w:tblLayout w:type="fixed"/>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iCs/>
                <w:i/>
                <w:bCs/>
                <w:b/>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Cs/>
          <w:i/>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Cs/>
          <w:i/>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Cs/>
          <w:i/>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Cs/>
          <w:i/>
        </w:rPr>
        <w:t xml:space="preserve">Journal of Child Language</w:t>
      </w:r>
      <w:r>
        <w:t xml:space="preserve">, 1–26.</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Cs/>
          <w:i/>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Cs/>
          <w:i/>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Cs/>
          <w:i/>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Cs/>
          <w:i/>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Cs/>
          <w:i/>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Cs/>
          <w:i/>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Cs/>
          <w:i/>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Cs/>
          <w:i/>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Cs/>
          <w:i/>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Cs/>
          <w:i/>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Cs/>
          <w:i/>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Cs/>
            <w:i/>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Cs/>
          <w:i/>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Cs/>
          <w:i/>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Cs/>
          <w:i/>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Cs/>
            <w:i/>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Cs/>
          <w:i/>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Cs/>
          <w:i/>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Cs/>
          <w:i/>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Cs/>
          <w:i/>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Cs/>
          <w:i/>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Cs/>
          <w:i/>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Cs/>
          <w:i/>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Cs/>
          <w:i/>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Cs/>
            <w:i/>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Cs/>
          <w:i/>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Cs/>
          <w:i/>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Cs/>
          <w:i/>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Cs/>
          <w:i/>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Cs/>
            <w:i/>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Cs/>
          <w:i/>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Cs/>
          <w:i/>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Cs/>
          <w:i/>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Cs/>
          <w:i/>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Cs/>
          <w:i/>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Cs/>
          <w:i/>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Cs/>
          <w:i/>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Cs/>
          <w:i/>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Cs/>
          <w:i/>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Cs/>
          <w:i/>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Cs/>
          <w:i/>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Cs/>
          <w:i/>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Cs/>
          <w:i/>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Cs/>
            <w:i/>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Cs/>
          <w:i/>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Cs/>
          <w:i/>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Cs/>
          <w:i/>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Cs/>
          <w:i/>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Cs/>
          <w:i/>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Cs/>
          <w:i/>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Cs/>
          <w:i/>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Cs/>
          <w:i/>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Cs/>
          <w:i/>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Cs/>
          <w:i/>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Cs/>
          <w:i/>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Cs/>
          <w:i/>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Cs/>
          <w:i/>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Cs/>
          <w:i/>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Cs/>
          <w:i/>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Cs/>
          <w:i/>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Cs/>
            <w:i/>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Cs/>
          <w:i/>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Cs/>
          <w:i/>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Cs/>
          <w:i/>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Cs/>
          <w:i/>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Cs/>
          <w:i/>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Cs/>
          <w:i/>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Cs/>
          <w:i/>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Cs/>
          <w:i/>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Cs/>
          <w:i/>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Cs/>
          <w:i/>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Cs/>
          <w:i/>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Cs/>
          <w:i/>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Cs/>
          <w:i/>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Cs/>
          <w:i/>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2024-04-18T15:41:51Z</dcterms:created>
  <dcterms:modified xsi:type="dcterms:W3CDTF">2024-04-18T15:41:51Z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aims to demonstrate the efficacy of the Generalized Linear Latent and Mixed Model (GLLAMM) (Rabe-Hesketh, Skrondal, and Pickles 2004a, 2004c, 2004b; Skrondal and Rabe-Hesketh 2004) in analyzing entropy scores for investigating speech intelligibility hypotheses. Using transcriptions from spontaneous speech data originally collected by Boonen et al. (2021), the study employs the Bayesian Beta-proportion GLLAMM to model the resulting entropy scores. The research compared the model’s prediction accuracy with the Normal Linear Mixed Model (LMM) (Holmes, Bolin, and Kelley 2019) and investigated its capacity to estimate a latent intelligibility from these entropy scores. The study also illustrates how researcher can explore hypotheses concerning the impact of speaker-related factors on intelligibility. Results show the superiority of the Beta-proportion GLLAMM in predicting empirical phenomena over the Normal LMM and its ability to quantify latent potential intelligibility. Additionally, the model facilitates hypothesis exploration concerning speaker-related factors and intelligibility. However, implementing these statistical tools require formulating assumptions about the data-generating process and knowledge of probabilistic programming languages, the core of Bayesian methods. Nevertheless, the study suggests future research directions, including causal hypothesis formulation and novel methods for intelligibility assessment. Ultimately, this research has implications for researchers and data analysts interested in quantitatively measuring intricate, unobservable constructs and accurately predicting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