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w:t>
      </w:r>
      <w:r>
        <w:t xml:space="preserve"> </w:t>
      </w:r>
      <w:r>
        <w:t xml:space="preserve">analysis</w:t>
      </w:r>
      <w:r>
        <w:t xml:space="preserve"> </w:t>
      </w:r>
      <w:r>
        <w:t xml:space="preserve">for</w:t>
      </w:r>
      <w:r>
        <w:t xml:space="preserve"> </w:t>
      </w:r>
      <w:r>
        <w:t xml:space="preserve">Dichotomous</w:t>
      </w:r>
      <w:r>
        <w:t xml:space="preserve"> </w:t>
      </w:r>
      <w:r>
        <w:t xml:space="preserve">Comparative</w:t>
      </w:r>
      <w:r>
        <w:t xml:space="preserve"> </w:t>
      </w:r>
      <w:r>
        <w:t xml:space="preserve">Judgment</w:t>
      </w:r>
      <w:r>
        <w:t xml:space="preserve"> </w:t>
      </w:r>
      <w:r>
        <w:t xml:space="preserve">experiments</w:t>
      </w:r>
      <w:r>
        <w:t xml:space="preserve"> </w:t>
      </w:r>
      <w:r>
        <w:t xml:space="preserve">(DCJ)</w:t>
      </w:r>
    </w:p>
    <w:p>
      <w:pPr>
        <w:pStyle w:val="Subtitle"/>
      </w:pPr>
      <w:r>
        <w:t xml:space="preserve">A</w:t>
      </w:r>
      <w:r>
        <w:t xml:space="preserve"> </w:t>
      </w:r>
      <w:r>
        <w:t xml:space="preserve">Bayesian</w:t>
      </w:r>
      <w:r>
        <w:t xml:space="preserve"> </w:t>
      </w:r>
      <w:r>
        <w:t xml:space="preserve">simulation-based</w:t>
      </w:r>
      <w:r>
        <w:t xml:space="preserve"> </w:t>
      </w:r>
      <w:r>
        <w:t xml:space="preserve">study</w:t>
      </w:r>
      <w:r>
        <w:t xml:space="preserve"> </w:t>
      </w:r>
      <w:r>
        <w:t xml:space="preserve">exploring</w:t>
      </w:r>
      <w:r>
        <w:t xml:space="preserve"> </w:t>
      </w:r>
      <w:r>
        <w:t xml:space="preserve">the</w:t>
      </w:r>
      <w:r>
        <w:t xml:space="preserve"> </w:t>
      </w:r>
      <w:r>
        <w:t xml:space="preserve">factors</w:t>
      </w:r>
      <w:r>
        <w:t xml:space="preserve"> </w:t>
      </w:r>
      <w:r>
        <w:t xml:space="preserve">that</w:t>
      </w:r>
      <w:r>
        <w:t xml:space="preserve"> </w:t>
      </w:r>
      <w:r>
        <w:t xml:space="preserve">impact</w:t>
      </w:r>
      <w:r>
        <w:t xml:space="preserve"> </w:t>
      </w:r>
      <w:r>
        <w:t xml:space="preserve">DCJ</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2024-03-15</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This results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there has been limited investigation into the specific factors contributing to the method’s reliability.</w:t>
      </w:r>
    </w:p>
    <w:p>
      <w:pPr>
        <w:pStyle w:val="BodyText"/>
      </w:pPr>
      <w:r>
        <w:t xml:space="preserve">According to</w:t>
      </w:r>
      <w:r>
        <w:t xml:space="preserve"> </w:t>
      </w:r>
      <w:r>
        <w:t xml:space="preserve">Verhavert et al. (2019)</w:t>
      </w:r>
      <w:r>
        <w:t xml:space="preserve">, several factors contribute to the reliability of the DCJ method. These factors include the number of stimuli, the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of judges, the characteristics of judges, their</w:t>
      </w:r>
      <w:r>
        <w:t xml:space="preserve"> </w:t>
      </w:r>
      <w:r>
        <w:rPr>
          <w:i/>
          <w:iCs/>
        </w:rPr>
        <w:t xml:space="preserve">discrimination</w:t>
      </w:r>
      <w:r>
        <w:t xml:space="preserve"> </w:t>
      </w:r>
      <w:r>
        <w:t xml:space="preserve">abilities, and the number of comparisons per judge also play pivotal roles. Additionally, in cases where the stimuli represent sub-units of higher levels units, in which the research is focused, then the number of units, the characteristics of the units and their</w:t>
      </w:r>
      <w:r>
        <w:t xml:space="preserve"> </w:t>
      </w:r>
      <w:r>
        <w:rPr>
          <w:i/>
          <w:iCs/>
        </w:rPr>
        <w:t xml:space="preserve">proximity</w:t>
      </w:r>
      <w:r>
        <w:t xml:space="preserve"> </w:t>
      </w:r>
      <w:r>
        <w:t xml:space="preserve">in terms of the trait can also significantly influence the assessment outcome. The research of</w:t>
      </w:r>
      <w:r>
        <w:t xml:space="preserve"> </w:t>
      </w:r>
      <w:r>
        <w:t xml:space="preserve">Boonen, Kloots, and Gillis (2020)</w:t>
      </w:r>
      <w:r>
        <w:t xml:space="preserve"> </w:t>
      </w:r>
      <w:r>
        <w:t xml:space="preserve">offers a clear illustration of these factors. In their study, they focused on assessing children’s</w:t>
      </w:r>
      <w:r>
        <w:t xml:space="preserve"> </w:t>
      </w:r>
      <w:r>
        <w:rPr>
          <w:i/>
          <w:iCs/>
        </w:rPr>
        <w:t xml:space="preserve">speech intelligibility</w:t>
      </w:r>
      <w:r>
        <w:t xml:space="preserve">. They evaluated this trait using six utterances (sub-units), each originating from</w:t>
      </w:r>
      <w:r>
        <w:t xml:space="preserve"> </w:t>
      </w:r>
      <m:oMath>
        <m:r>
          <m:t>21</m:t>
        </m:r>
      </m:oMath>
      <w:r>
        <w:t xml:space="preserve"> </w:t>
      </w:r>
      <w:r>
        <w:t xml:space="preserve">children (units). The utterances were derived from an imitation task, while the children were evenly distributed across three groups: those with cochlear implants, those with hearing aids, and normal hearing children. To establish pairwise comparisons for the</w:t>
      </w:r>
      <w:r>
        <w:t xml:space="preserve"> </w:t>
      </w:r>
      <m:oMath>
        <m:r>
          <m:t>126</m:t>
        </m:r>
      </m:oMath>
      <w:r>
        <w:t xml:space="preserve"> </w:t>
      </w:r>
      <w:r>
        <w:t xml:space="preserve">stimuli, a random pairing algorithm was employed, with</w:t>
      </w:r>
      <w:r>
        <w:t xml:space="preserve"> </w:t>
      </w:r>
      <m:oMath>
        <m:r>
          <m:t>20</m:t>
        </m:r>
      </m:oMath>
      <w:r>
        <w:t xml:space="preserve"> </w:t>
      </w:r>
      <w:r>
        <w:t xml:space="preserve">comparisons per stimulus. Lastly, a total of</w:t>
      </w:r>
      <w:r>
        <w:t xml:space="preserve"> </w:t>
      </w:r>
      <m:oMath>
        <m:r>
          <m:t>60</m:t>
        </m:r>
      </m:oMath>
      <w:r>
        <w:t xml:space="preserve"> </w:t>
      </w:r>
      <w:r>
        <w:t xml:space="preserve">listeners (judges) compared each stimulus approximately</w:t>
      </w:r>
      <w:r>
        <w:t xml:space="preserve"> </w:t>
      </w:r>
      <m:oMath>
        <m:r>
          <m:t>65</m:t>
        </m:r>
      </m:oMath>
      <w:r>
        <w:t xml:space="preserve"> </w:t>
      </w:r>
      <w:r>
        <w:t xml:space="preserve">times. The judges were selected from three distinct groups, each possessing varying degrees of experience with the speech of hearing-impaired children: audiologists, primary school teachers and inexperienced listeners.</w:t>
      </w:r>
    </w:p>
    <w:p>
      <w:pPr>
        <w:pStyle w:val="BodyText"/>
      </w:pPr>
      <w:r>
        <w:t xml:space="preserve">Previous research have investigated some of the factors and their impact on the reliability of the method.</w:t>
      </w:r>
      <w:r>
        <w:t xml:space="preserve"> </w:t>
      </w:r>
      <w:r>
        <w:t xml:space="preserve">Bramley (2015)</w:t>
      </w:r>
      <w:r>
        <w:t xml:space="preserve"> </w:t>
      </w:r>
      <w:r>
        <w:t xml:space="preserve">conducted a simulation-based study to explore the impact originated from using random versus adaptive pairing algorithms. On the other hand,</w:t>
      </w:r>
      <w:r>
        <w:t xml:space="preserve"> </w:t>
      </w:r>
      <w:r>
        <w:t xml:space="preserve">Bramley and Vitello (2019)</w:t>
      </w:r>
      <w:r>
        <w:t xml:space="preserve"> </w:t>
      </w:r>
      <w:r>
        <w:t xml:space="preserve">explore the impact of adaptive algorithms on a more realistic setting. The study used autobiographical essays written by candidates as part of their English Language course, where the essay worth half of the total marks for the final exam. In contrast,</w:t>
      </w:r>
      <w:r>
        <w:t xml:space="preserve"> </w:t>
      </w:r>
      <w:r>
        <w:t xml:space="preserve">Verhavert et al. (2019)</w:t>
      </w:r>
      <w:r>
        <w:t xml:space="preserve"> </w:t>
      </w:r>
      <w:r>
        <w:t xml:space="preserve">conducted a meta-analysis exploring the impact of the number of stimuli, the format of the stimuli, the number of comparisons per stimulus, the number of judges, the judges’ expertise, and feedback on reliability. Conversely,</w:t>
      </w:r>
      <w:r>
        <w:t xml:space="preserve"> </w:t>
      </w:r>
      <w:r>
        <w:t xml:space="preserve">Crompvoets, Béguin, and Sijtsma (2022)</w:t>
      </w:r>
      <w:r>
        <w:t xml:space="preserve"> </w:t>
      </w:r>
      <w:r>
        <w:t xml:space="preserve">conducted a simulation-based study investigating the bias and stability of the components of reliability in relation to the number of comparisons per stimulus. In all previous cases, reliability was measured by the scale Separation Reliability</w:t>
      </w:r>
      <w:r>
        <w:t xml:space="preserve"> </w:t>
      </w:r>
      <w:r>
        <w:t xml:space="preserve">(SSR , Pollitt 2012b)</w:t>
      </w:r>
      <w:r>
        <w:t xml:space="preserve"> </w:t>
      </w:r>
      <w:r>
        <w:t xml:space="preserve">either on simulated or estimated data. Lastly,</w:t>
      </w:r>
      <w:r>
        <w:t xml:space="preserve"> </w:t>
      </w:r>
      <w:r>
        <w:t xml:space="preserve">van Daal et al. (2017)</w:t>
      </w:r>
      <w:r>
        <w:t xml:space="preserve"> </w:t>
      </w:r>
      <w:r>
        <w:t xml:space="preserve">explored the role of objective complexity in the comparison of two stimuli and decision accuracy of judges and on the reliability. While,</w:t>
      </w:r>
      <w:r>
        <w:t xml:space="preserve"> </w:t>
      </w:r>
      <w:r>
        <w:t xml:space="preserve">Gijsen et al. (2021)</w:t>
      </w:r>
      <w:r>
        <w:t xml:space="preserve"> </w:t>
      </w:r>
      <w:r>
        <w:t xml:space="preserve">used eye-tracking data to explore similar objectives as the latter study.</w:t>
      </w:r>
    </w:p>
    <w:p>
      <w:pPr>
        <w:pStyle w:val="BodyText"/>
      </w:pPr>
      <w:r>
        <w:t xml:space="preserve">In summary, the studies have …</w:t>
      </w:r>
    </w:p>
    <w:bookmarkEnd w:id="20"/>
    <w:bookmarkStart w:id="21" w:name="sec-ResearchQuestions"/>
    <w:p>
      <w:pPr>
        <w:pStyle w:val="Heading2"/>
      </w:pPr>
      <w:r>
        <w:t xml:space="preserve">2 Research questions</w:t>
      </w:r>
    </w:p>
    <w:bookmarkEnd w:id="21"/>
    <w:bookmarkStart w:id="27" w:name="sec-methods"/>
    <w:p>
      <w:pPr>
        <w:pStyle w:val="Heading2"/>
      </w:pPr>
      <w:r>
        <w:t xml:space="preserve">3 Methods</w:t>
      </w:r>
    </w:p>
    <w:bookmarkStart w:id="22" w:name="sec-TF"/>
    <w:p>
      <w:pPr>
        <w:pStyle w:val="Heading3"/>
      </w:pPr>
      <w:r>
        <w:t xml:space="preserve">3.1 Theoretical framework</w:t>
      </w:r>
    </w:p>
    <w:bookmarkEnd w:id="22"/>
    <w:bookmarkStart w:id="23" w:name="sec-SM"/>
    <w:p>
      <w:pPr>
        <w:pStyle w:val="Heading3"/>
      </w:pPr>
      <w:r>
        <w:t xml:space="preserve">3.2 Statistical model</w:t>
      </w:r>
    </w:p>
    <w:bookmarkEnd w:id="23"/>
    <w:bookmarkStart w:id="26" w:name="power-analysis"/>
    <w:p>
      <w:pPr>
        <w:pStyle w:val="Heading3"/>
      </w:pPr>
      <w:r>
        <w:t xml:space="preserve">3.3 Power analysis</w:t>
      </w:r>
    </w:p>
    <w:bookmarkStart w:id="24" w:name="sec-FI"/>
    <w:p>
      <w:pPr>
        <w:pStyle w:val="Heading4"/>
      </w:pPr>
      <w:r>
        <w:t xml:space="preserve">3.3.1 Factors of interest</w:t>
      </w:r>
    </w:p>
    <w:bookmarkEnd w:id="24"/>
    <w:bookmarkStart w:id="25" w:name="sec-D"/>
    <w:p>
      <w:pPr>
        <w:pStyle w:val="Heading4"/>
      </w:pPr>
      <w:r>
        <w:t xml:space="preserve">3.3.2 Data</w:t>
      </w:r>
    </w:p>
    <w:bookmarkEnd w:id="25"/>
    <w:bookmarkEnd w:id="26"/>
    <w:bookmarkEnd w:id="27"/>
    <w:bookmarkStart w:id="31" w:name="sec-results"/>
    <w:p>
      <w:pPr>
        <w:pStyle w:val="Heading2"/>
      </w:pPr>
      <w:r>
        <w:t xml:space="preserve">4 Results</w:t>
      </w:r>
    </w:p>
    <w:bookmarkStart w:id="28" w:name="sec-RQ1"/>
    <w:p>
      <w:pPr>
        <w:pStyle w:val="Heading3"/>
      </w:pPr>
      <w:r>
        <w:t xml:space="preserve">4.1 Research question 1</w:t>
      </w:r>
    </w:p>
    <w:bookmarkEnd w:id="28"/>
    <w:bookmarkStart w:id="29" w:name="sec-RQ2"/>
    <w:p>
      <w:pPr>
        <w:pStyle w:val="Heading3"/>
      </w:pPr>
      <w:r>
        <w:t xml:space="preserve">4.2 Research question 2</w:t>
      </w:r>
    </w:p>
    <w:bookmarkEnd w:id="29"/>
    <w:bookmarkStart w:id="30" w:name="sec-RQ3"/>
    <w:p>
      <w:pPr>
        <w:pStyle w:val="Heading3"/>
      </w:pPr>
      <w:r>
        <w:t xml:space="preserve">4.3 Research question 3</w:t>
      </w:r>
    </w:p>
    <w:bookmarkEnd w:id="30"/>
    <w:bookmarkEnd w:id="31"/>
    <w:bookmarkStart w:id="33" w:name="sec-discussion"/>
    <w:p>
      <w:pPr>
        <w:pStyle w:val="Heading2"/>
      </w:pPr>
      <w:r>
        <w:t xml:space="preserve">5 Discussion</w:t>
      </w:r>
    </w:p>
    <w:bookmarkStart w:id="32" w:name="sec-LFR"/>
    <w:p>
      <w:pPr>
        <w:pStyle w:val="Heading3"/>
      </w:pPr>
      <w:r>
        <w:t xml:space="preserve">5.1 Limitations and further research</w:t>
      </w:r>
    </w:p>
    <w:bookmarkEnd w:id="32"/>
    <w:bookmarkEnd w:id="33"/>
    <w:bookmarkStart w:id="34" w:name="sec-conclusion"/>
    <w:p>
      <w:pPr>
        <w:pStyle w:val="Heading2"/>
      </w:pPr>
      <w:r>
        <w:t xml:space="preserve">6 Conclusion</w:t>
      </w:r>
    </w:p>
    <w:bookmarkEnd w:id="34"/>
    <w:bookmarkStart w:id="76" w:name="references"/>
    <w:p>
      <w:pPr>
        <w:pStyle w:val="Heading2"/>
      </w:pPr>
      <w:r>
        <w:t xml:space="preserve">References</w:t>
      </w:r>
    </w:p>
    <w:bookmarkStart w:id="75" w:name="refs"/>
    <w:bookmarkStart w:id="36"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5">
        <w:r>
          <w:rPr>
            <w:rStyle w:val="Hyperlink"/>
          </w:rPr>
          <w:t xml:space="preserve">https://doi.org/10.2307/2347562</w:t>
        </w:r>
      </w:hyperlink>
      <w:r>
        <w:t xml:space="preserve">.</w:t>
      </w:r>
    </w:p>
    <w:bookmarkEnd w:id="36"/>
    <w:bookmarkStart w:id="38"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7">
        <w:r>
          <w:rPr>
            <w:rStyle w:val="Hyperlink"/>
          </w:rPr>
          <w:t xml:space="preserve">https://doi.org/10.1080/10627197.2018.1444986</w:t>
        </w:r>
      </w:hyperlink>
      <w:r>
        <w:t xml:space="preserve">.</w:t>
      </w:r>
    </w:p>
    <w:bookmarkEnd w:id="38"/>
    <w:bookmarkStart w:id="40"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9">
        <w:r>
          <w:rPr>
            <w:rStyle w:val="Hyperlink"/>
          </w:rPr>
          <w:t xml:space="preserve">https://doi.org/10.1007/978-3-030-52229-2_18</w:t>
        </w:r>
      </w:hyperlink>
      <w:r>
        <w:t xml:space="preserve">.</w:t>
      </w:r>
    </w:p>
    <w:bookmarkEnd w:id="40"/>
    <w:bookmarkStart w:id="42"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1">
        <w:r>
          <w:rPr>
            <w:rStyle w:val="Hyperlink"/>
          </w:rPr>
          <w:t xml:space="preserve">https://doi.org/10.1016/j.jcomdis.2019.105969</w:t>
        </w:r>
      </w:hyperlink>
      <w:r>
        <w:t xml:space="preserve">.</w:t>
      </w:r>
    </w:p>
    <w:bookmarkEnd w:id="42"/>
    <w:bookmarkStart w:id="44"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3">
        <w:r>
          <w:rPr>
            <w:rStyle w:val="Hyperlink"/>
          </w:rPr>
          <w:t xml:space="preserve">https://doi.org/10.2307/2334029</w:t>
        </w:r>
      </w:hyperlink>
      <w:r>
        <w:t xml:space="preserve">.</w:t>
      </w:r>
    </w:p>
    <w:bookmarkEnd w:id="44"/>
    <w:bookmarkStart w:id="46" w:name="ref-Bramley_2015"/>
    <w:p>
      <w:pPr>
        <w:pStyle w:val="Bibliography"/>
      </w:pPr>
      <w:r>
        <w:t xml:space="preserve">Bramley, T. 2015.</w:t>
      </w:r>
      <w:r>
        <w:t xml:space="preserve"> </w:t>
      </w:r>
      <w:r>
        <w:t xml:space="preserve">“Investigating the Reliability of Adaptive Comparative Judgment.”</w:t>
      </w:r>
      <w:r>
        <w:t xml:space="preserve"> </w:t>
      </w:r>
      <w:hyperlink r:id="rId45">
        <w:r>
          <w:rPr>
            <w:rStyle w:val="Hyperlink"/>
          </w:rPr>
          <w:t xml:space="preserve">http://www.cambridgeassessment.org.uk/Images/232694-investigating-the-reliability-of-adaptive-comparative-judgment.pdf</w:t>
        </w:r>
      </w:hyperlink>
      <w:r>
        <w:t xml:space="preserve">.</w:t>
      </w:r>
    </w:p>
    <w:bookmarkEnd w:id="46"/>
    <w:bookmarkStart w:id="48"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47">
        <w:r>
          <w:rPr>
            <w:rStyle w:val="Hyperlink"/>
          </w:rPr>
          <w:t xml:space="preserve">https://doi.org/10.1080/0969594X.2017.1418734</w:t>
        </w:r>
      </w:hyperlink>
      <w:r>
        <w:t xml:space="preserve">.</w:t>
      </w:r>
    </w:p>
    <w:bookmarkEnd w:id="48"/>
    <w:bookmarkStart w:id="50"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49">
        <w:r>
          <w:rPr>
            <w:rStyle w:val="Hyperlink"/>
          </w:rPr>
          <w:t xml:space="preserve">https://doi.org/10.3389/feduc.2021.788202</w:t>
        </w:r>
      </w:hyperlink>
      <w:r>
        <w:t xml:space="preserve">.</w:t>
      </w:r>
    </w:p>
    <w:bookmarkEnd w:id="50"/>
    <w:bookmarkStart w:id="52"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51">
        <w:r>
          <w:rPr>
            <w:rStyle w:val="Hyperlink"/>
          </w:rPr>
          <w:t xml:space="preserve">https://doi.org/10.3389/feduc.2020.582800</w:t>
        </w:r>
      </w:hyperlink>
      <w:r>
        <w:t xml:space="preserve">.</w:t>
      </w:r>
    </w:p>
    <w:bookmarkEnd w:id="52"/>
    <w:bookmarkStart w:id="53"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53"/>
    <w:bookmarkStart w:id="55"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54">
        <w:r>
          <w:rPr>
            <w:rStyle w:val="Hyperlink"/>
          </w:rPr>
          <w:t xml:space="preserve">https://doi.org/10.1037/h0043178</w:t>
        </w:r>
      </w:hyperlink>
      <w:r>
        <w:t xml:space="preserve">.</w:t>
      </w:r>
    </w:p>
    <w:bookmarkEnd w:id="55"/>
    <w:bookmarkStart w:id="57"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56">
        <w:r>
          <w:rPr>
            <w:rStyle w:val="Hyperlink"/>
          </w:rPr>
          <w:t xml:space="preserve">https://doi.org/10.1007/s40841-020-00163-3</w:t>
        </w:r>
      </w:hyperlink>
      <w:r>
        <w:t xml:space="preserve">.</w:t>
      </w:r>
    </w:p>
    <w:bookmarkEnd w:id="57"/>
    <w:bookmarkStart w:id="59"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58">
        <w:r>
          <w:rPr>
            <w:rStyle w:val="Hyperlink"/>
          </w:rPr>
          <w:t xml:space="preserve">https://doi.org/10.2307/2346567</w:t>
        </w:r>
      </w:hyperlink>
      <w:r>
        <w:t xml:space="preserve">.</w:t>
      </w:r>
    </w:p>
    <w:bookmarkEnd w:id="59"/>
    <w:bookmarkStart w:id="61"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60">
        <w:r>
          <w:rPr>
            <w:rStyle w:val="Hyperlink"/>
          </w:rPr>
          <w:t xml:space="preserve">https://doi.org/10.1007/s10798-011-9189-x</w:t>
        </w:r>
      </w:hyperlink>
      <w:r>
        <w:t xml:space="preserve">.</w:t>
      </w:r>
    </w:p>
    <w:bookmarkEnd w:id="61"/>
    <w:bookmarkStart w:id="63"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62">
        <w:r>
          <w:rPr>
            <w:rStyle w:val="Hyperlink"/>
          </w:rPr>
          <w:t xml:space="preserve">https://doi.org/10.1080/0969594X.2012.665354</w:t>
        </w:r>
      </w:hyperlink>
      <w:r>
        <w:t xml:space="preserve">.</w:t>
      </w:r>
    </w:p>
    <w:bookmarkEnd w:id="63"/>
    <w:bookmarkStart w:id="65"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64">
        <w:r>
          <w:rPr>
            <w:rStyle w:val="Hyperlink"/>
          </w:rPr>
          <w:t xml:space="preserve">https://doi.org/10.1037/h0070288</w:t>
        </w:r>
      </w:hyperlink>
      <w:r>
        <w:t xml:space="preserve">.</w:t>
      </w:r>
    </w:p>
    <w:bookmarkEnd w:id="65"/>
    <w:bookmarkStart w:id="67"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66">
        <w:r>
          <w:rPr>
            <w:rStyle w:val="Hyperlink"/>
          </w:rPr>
          <w:t xml:space="preserve">https://doi.org/10.1016/0022-2496(86)90034-9</w:t>
        </w:r>
      </w:hyperlink>
      <w:r>
        <w:t xml:space="preserve">.</w:t>
      </w:r>
    </w:p>
    <w:bookmarkEnd w:id="67"/>
    <w:bookmarkStart w:id="68"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68"/>
    <w:bookmarkStart w:id="70"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69">
        <w:r>
          <w:rPr>
            <w:rStyle w:val="Hyperlink"/>
          </w:rPr>
          <w:t xml:space="preserve">https://doi.org/10.1080/0969594X.2016.1253542</w:t>
        </w:r>
      </w:hyperlink>
      <w:r>
        <w:t xml:space="preserve">.</w:t>
      </w:r>
    </w:p>
    <w:bookmarkEnd w:id="70"/>
    <w:bookmarkStart w:id="72"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71">
        <w:r>
          <w:rPr>
            <w:rStyle w:val="Hyperlink"/>
          </w:rPr>
          <w:t xml:space="preserve">https://doi.org/10.3389/feduc.2017.00044</w:t>
        </w:r>
      </w:hyperlink>
      <w:r>
        <w:t xml:space="preserve">.</w:t>
      </w:r>
    </w:p>
    <w:bookmarkEnd w:id="72"/>
    <w:bookmarkStart w:id="74"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73">
        <w:r>
          <w:rPr>
            <w:rStyle w:val="Hyperlink"/>
          </w:rPr>
          <w:t xml:space="preserve">https://doi.org/10.1080/0969594X.2019.1602027</w:t>
        </w:r>
      </w:hyperlink>
      <w:r>
        <w:t xml:space="preserve">.</w:t>
      </w:r>
    </w:p>
    <w:bookmarkEnd w:id="74"/>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www.cambridgeassessment.org.uk/Images/232694-investigating-the-reliability-of-adaptive-comparative-judgment.pdf" TargetMode="External" /><Relationship Type="http://schemas.openxmlformats.org/officeDocument/2006/relationships/hyperlink" Id="rId39" Target="https://doi.org/10.1007/978-3-030-52229-2_18" TargetMode="External" /><Relationship Type="http://schemas.openxmlformats.org/officeDocument/2006/relationships/hyperlink" Id="rId60" Target="https://doi.org/10.1007/s10798-011-9189-x" TargetMode="External" /><Relationship Type="http://schemas.openxmlformats.org/officeDocument/2006/relationships/hyperlink" Id="rId56" Target="https://doi.org/10.1007/s40841-020-00163-3" TargetMode="External" /><Relationship Type="http://schemas.openxmlformats.org/officeDocument/2006/relationships/hyperlink" Id="rId66" Target="https://doi.org/10.1016/0022-2496(86)90034-9" TargetMode="External" /><Relationship Type="http://schemas.openxmlformats.org/officeDocument/2006/relationships/hyperlink" Id="rId41" Target="https://doi.org/10.1016/j.jcomdis.2019.105969" TargetMode="External" /><Relationship Type="http://schemas.openxmlformats.org/officeDocument/2006/relationships/hyperlink" Id="rId54" Target="https://doi.org/10.1037/h0043178" TargetMode="External" /><Relationship Type="http://schemas.openxmlformats.org/officeDocument/2006/relationships/hyperlink" Id="rId64" Target="https://doi.org/10.1037/h0070288" TargetMode="External" /><Relationship Type="http://schemas.openxmlformats.org/officeDocument/2006/relationships/hyperlink" Id="rId62" Target="https://doi.org/10.1080/0969594X.2012.665354" TargetMode="External" /><Relationship Type="http://schemas.openxmlformats.org/officeDocument/2006/relationships/hyperlink" Id="rId69" Target="https://doi.org/10.1080/0969594X.2016.1253542" TargetMode="External" /><Relationship Type="http://schemas.openxmlformats.org/officeDocument/2006/relationships/hyperlink" Id="rId47" Target="https://doi.org/10.1080/0969594X.2017.1418734" TargetMode="External" /><Relationship Type="http://schemas.openxmlformats.org/officeDocument/2006/relationships/hyperlink" Id="rId73" Target="https://doi.org/10.1080/0969594X.2019.1602027" TargetMode="External" /><Relationship Type="http://schemas.openxmlformats.org/officeDocument/2006/relationships/hyperlink" Id="rId37" Target="https://doi.org/10.1080/10627197.2018.1444986" TargetMode="External" /><Relationship Type="http://schemas.openxmlformats.org/officeDocument/2006/relationships/hyperlink" Id="rId43" Target="https://doi.org/10.2307/2334029" TargetMode="External" /><Relationship Type="http://schemas.openxmlformats.org/officeDocument/2006/relationships/hyperlink" Id="rId58" Target="https://doi.org/10.2307/2346567" TargetMode="External" /><Relationship Type="http://schemas.openxmlformats.org/officeDocument/2006/relationships/hyperlink" Id="rId35" Target="https://doi.org/10.2307/2347562" TargetMode="External" /><Relationship Type="http://schemas.openxmlformats.org/officeDocument/2006/relationships/hyperlink" Id="rId71" Target="https://doi.org/10.3389/feduc.2017.00044" TargetMode="External" /><Relationship Type="http://schemas.openxmlformats.org/officeDocument/2006/relationships/hyperlink" Id="rId51" Target="https://doi.org/10.3389/feduc.2020.582800" TargetMode="External" /><Relationship Type="http://schemas.openxmlformats.org/officeDocument/2006/relationships/hyperlink" Id="rId49" Target="https://doi.org/10.3389/feduc.2021.788202" TargetMode="External" /></Relationships>
</file>

<file path=word/_rels/footnotes.xml.rels><?xml version="1.0" encoding="UTF-8"?><Relationships xmlns="http://schemas.openxmlformats.org/package/2006/relationships"><Relationship Type="http://schemas.openxmlformats.org/officeDocument/2006/relationships/hyperlink" Id="rId45" Target="http://www.cambridgeassessment.org.uk/Images/232694-investigating-the-reliability-of-adaptive-comparative-judgment.pdf" TargetMode="External" /><Relationship Type="http://schemas.openxmlformats.org/officeDocument/2006/relationships/hyperlink" Id="rId39" Target="https://doi.org/10.1007/978-3-030-52229-2_18" TargetMode="External" /><Relationship Type="http://schemas.openxmlformats.org/officeDocument/2006/relationships/hyperlink" Id="rId60" Target="https://doi.org/10.1007/s10798-011-9189-x" TargetMode="External" /><Relationship Type="http://schemas.openxmlformats.org/officeDocument/2006/relationships/hyperlink" Id="rId56" Target="https://doi.org/10.1007/s40841-020-00163-3" TargetMode="External" /><Relationship Type="http://schemas.openxmlformats.org/officeDocument/2006/relationships/hyperlink" Id="rId66" Target="https://doi.org/10.1016/0022-2496(86)90034-9" TargetMode="External" /><Relationship Type="http://schemas.openxmlformats.org/officeDocument/2006/relationships/hyperlink" Id="rId41" Target="https://doi.org/10.1016/j.jcomdis.2019.105969" TargetMode="External" /><Relationship Type="http://schemas.openxmlformats.org/officeDocument/2006/relationships/hyperlink" Id="rId54" Target="https://doi.org/10.1037/h0043178" TargetMode="External" /><Relationship Type="http://schemas.openxmlformats.org/officeDocument/2006/relationships/hyperlink" Id="rId64" Target="https://doi.org/10.1037/h0070288" TargetMode="External" /><Relationship Type="http://schemas.openxmlformats.org/officeDocument/2006/relationships/hyperlink" Id="rId62" Target="https://doi.org/10.1080/0969594X.2012.665354" TargetMode="External" /><Relationship Type="http://schemas.openxmlformats.org/officeDocument/2006/relationships/hyperlink" Id="rId69" Target="https://doi.org/10.1080/0969594X.2016.1253542" TargetMode="External" /><Relationship Type="http://schemas.openxmlformats.org/officeDocument/2006/relationships/hyperlink" Id="rId47" Target="https://doi.org/10.1080/0969594X.2017.1418734" TargetMode="External" /><Relationship Type="http://schemas.openxmlformats.org/officeDocument/2006/relationships/hyperlink" Id="rId73" Target="https://doi.org/10.1080/0969594X.2019.1602027" TargetMode="External" /><Relationship Type="http://schemas.openxmlformats.org/officeDocument/2006/relationships/hyperlink" Id="rId37" Target="https://doi.org/10.1080/10627197.2018.1444986" TargetMode="External" /><Relationship Type="http://schemas.openxmlformats.org/officeDocument/2006/relationships/hyperlink" Id="rId43" Target="https://doi.org/10.2307/2334029" TargetMode="External" /><Relationship Type="http://schemas.openxmlformats.org/officeDocument/2006/relationships/hyperlink" Id="rId58" Target="https://doi.org/10.2307/2346567" TargetMode="External" /><Relationship Type="http://schemas.openxmlformats.org/officeDocument/2006/relationships/hyperlink" Id="rId35" Target="https://doi.org/10.2307/2347562" TargetMode="External" /><Relationship Type="http://schemas.openxmlformats.org/officeDocument/2006/relationships/hyperlink" Id="rId71" Target="https://doi.org/10.3389/feduc.2017.00044" TargetMode="External" /><Relationship Type="http://schemas.openxmlformats.org/officeDocument/2006/relationships/hyperlink" Id="rId51" Target="https://doi.org/10.3389/feduc.2020.582800" TargetMode="External" /><Relationship Type="http://schemas.openxmlformats.org/officeDocument/2006/relationships/hyperlink" Id="rId49" Target="https://doi.org/10.3389/feduc.2021.7882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Dichotomous Comparative Judgment experiments (DCJ)</dc:title>
  <dc:creator>Jose Manuel Rivera Espejo; Sven de Maeyer; Steven Gillis</dc:creator>
  <cp:keywords>power analysis, comparative judgment, bayesian analysis, simulation</cp:keywords>
  <dcterms:created xsi:type="dcterms:W3CDTF">2024-03-15T15:38:29Z</dcterms:created>
  <dcterms:modified xsi:type="dcterms:W3CDTF">2024-03-15T15:38:29Z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2024-03-15</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study exploring the factors that impact DCJ</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