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interplay</w:t>
      </w:r>
      <w:r>
        <w:t xml:space="preserve"> </w:t>
      </w:r>
      <w:r>
        <w:t xml:space="preserve">of</w:t>
      </w:r>
      <w:r>
        <w:t xml:space="preserve"> </w:t>
      </w:r>
      <w:r>
        <w:t xml:space="preserve">assessment</w:t>
      </w:r>
      <w:r>
        <w:t xml:space="preserve"> </w:t>
      </w:r>
      <w:r>
        <w:t xml:space="preserve">factors</w:t>
      </w:r>
      <w:r>
        <w:t xml:space="preserve"> </w:t>
      </w:r>
      <w:r>
        <w:t xml:space="preserve">in</w:t>
      </w:r>
      <w:r>
        <w:t xml:space="preserve"> </w:t>
      </w:r>
      <w:r>
        <w:t xml:space="preserve">Dichotomous</w:t>
      </w:r>
      <w:r>
        <w:t xml:space="preserve"> </w:t>
      </w:r>
      <w:r>
        <w:t xml:space="preserve">Comparative</w:t>
      </w:r>
      <w:r>
        <w:t xml:space="preserve"> </w:t>
      </w:r>
      <w:r>
        <w:t xml:space="preserve">Judgments</w:t>
      </w:r>
    </w:p>
    <w:p>
      <w:pPr>
        <w:pStyle w:val="Subtitle"/>
      </w:pPr>
      <w:r>
        <w:t xml:space="preserve">A</w:t>
      </w:r>
      <w:r>
        <w:t xml:space="preserve"> </w:t>
      </w:r>
      <w:r>
        <w:t xml:space="preserve">Bayesian</w:t>
      </w:r>
      <w:r>
        <w:t xml:space="preserve"> </w:t>
      </w:r>
      <w:r>
        <w:t xml:space="preserve">simulation-based</w:t>
      </w:r>
      <w:r>
        <w:t xml:space="preserve"> </w:t>
      </w:r>
      <w:r>
        <w:t xml:space="preserve">power</w:t>
      </w:r>
      <w:r>
        <w:t xml:space="preserve"> </w:t>
      </w:r>
      <w:r>
        <w:t xml:space="preserve">analysis</w:t>
      </w:r>
      <w:r>
        <w:t xml:space="preserve"> </w:t>
      </w:r>
      <w:r>
        <w:t xml:space="preserve">exploring</w:t>
      </w:r>
      <w:r>
        <w:t xml:space="preserve"> </w:t>
      </w:r>
      <w:r>
        <w:t xml:space="preserve">their</w:t>
      </w:r>
      <w:r>
        <w:t xml:space="preserve"> </w:t>
      </w:r>
      <w:r>
        <w:t xml:space="preserve">impacts</w:t>
      </w:r>
      <w:r>
        <w:t xml:space="preserve"> </w:t>
      </w:r>
      <w:r>
        <w:t xml:space="preserve">on</w:t>
      </w:r>
      <w:r>
        <w:t xml:space="preserve"> </w:t>
      </w:r>
      <w:r>
        <w:t xml:space="preserve">the</w:t>
      </w:r>
      <w:r>
        <w:t xml:space="preserve"> </w:t>
      </w:r>
      <w:r>
        <w:t xml:space="preserve">method’s</w:t>
      </w:r>
      <w:r>
        <w:t xml:space="preserve"> </w:t>
      </w:r>
      <w:r>
        <w:t xml:space="preserve">reliability</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2024-03-20</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Introduction</w:t>
      </w:r>
    </w:p>
    <w:p>
      <w:pPr>
        <w:pStyle w:val="FirstParagraph"/>
      </w:pPr>
      <w:r>
        <w:t xml:space="preserve">In contemporary contexts, Thurstone’s law of comparative judgment</w:t>
      </w:r>
      <w:r>
        <w:t xml:space="preserve"> </w:t>
      </w:r>
      <w:r>
        <w:t xml:space="preserve">(1927)</w:t>
      </w:r>
      <w:r>
        <w:t xml:space="preserve"> </w:t>
      </w:r>
      <w:r>
        <w:t xml:space="preserve">primarily refers to the method of</w:t>
      </w:r>
      <w:r>
        <w:t xml:space="preserve"> </w:t>
      </w:r>
      <w:r>
        <w:rPr>
          <w:i/>
          <w:iCs/>
        </w:rPr>
        <w:t xml:space="preserve">Dichotomous</w:t>
      </w:r>
      <w:r>
        <w:t xml:space="preserve"> </w:t>
      </w:r>
      <w:r>
        <w:t xml:space="preserve">Comparative Judgment (DCJ). Within DCJ, a judge assesses the relative manifestation of a trait within a pair of stimuli. This results in a dichotomous value indicating which stimulus appears to possess a higher degree of the trait</w:t>
      </w:r>
      <w:r>
        <w:t xml:space="preserve"> </w:t>
      </w:r>
      <w:r>
        <w:t xml:space="preserve">(Pollitt 2012a, 2012b)</w:t>
      </w:r>
      <w:r>
        <w:t xml:space="preserve">. Following multiple rounds of pairwise comparisons made by different judges, an outcome vector is produced. Typically, this vector is modeled using the Bradley-Terry-Luce model</w:t>
      </w:r>
      <w:r>
        <w:t xml:space="preserve"> </w:t>
      </w:r>
      <w:r>
        <w:t xml:space="preserve">(BTL model, Bradley and Terry 1952; Luce 1959; Pollitt 2012a)</w:t>
      </w:r>
      <w:r>
        <w:t xml:space="preserve">. The set of latent variables produced by the model can then be utilized, for example, to rank the stimuli from lowest to highest, or to assess the impact of certain characteristics of the stimuli on their position in the ranking.</w:t>
      </w:r>
    </w:p>
    <w:p>
      <w:pPr>
        <w:pStyle w:val="BodyText"/>
      </w:pPr>
      <w:r>
        <w:t xml:space="preserve">DCJ has proven effective in assessing competences and traits predominantly within the educational realm,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van Daal et al. (2019)</w:t>
      </w:r>
      <w:r>
        <w:t xml:space="preserve"> </w:t>
      </w:r>
      <w:r>
        <w:t xml:space="preserve">Lesterhuis (2018)</w:t>
      </w:r>
      <w:r>
        <w:t xml:space="preserve">, and</w:t>
      </w:r>
      <w:r>
        <w:t xml:space="preserve"> </w:t>
      </w:r>
      <w:r>
        <w:t xml:space="preserve">Bartholomew and Williams (2020)</w:t>
      </w:r>
      <w:r>
        <w:t xml:space="preserve">. However, its application transcends education, as exemplified by the work of</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research suggests that DCJ offers an alternative and efficient approach to measurement and evaluation, characterized by its reliability and validity</w:t>
      </w:r>
      <w:r>
        <w:t xml:space="preserve"> </w:t>
      </w:r>
      <w:r>
        <w:t xml:space="preserve">(Lesterhuis 2018; van Daal 2020; Marshall et al. 2020)</w:t>
      </w:r>
      <w:r>
        <w:t xml:space="preserve">. Nevertheless, considering the method’s sophistication, there has been limited investigation about the interplay of the different assessment factors and their contribution to the method’s reliability.</w:t>
      </w:r>
    </w:p>
    <w:p>
      <w:pPr>
        <w:pStyle w:val="BodyText"/>
      </w:pPr>
      <w:r>
        <w:t xml:space="preserve">According to</w:t>
      </w:r>
      <w:r>
        <w:t xml:space="preserve"> </w:t>
      </w:r>
      <w:r>
        <w:t xml:space="preserve">Verhavert et al. (2019)</w:t>
      </w:r>
      <w:r>
        <w:t xml:space="preserve"> </w:t>
      </w:r>
      <w:r>
        <w:t xml:space="preserve">and</w:t>
      </w:r>
      <w:r>
        <w:t xml:space="preserve"> </w:t>
      </w:r>
      <w:r>
        <w:t xml:space="preserve">van Daal (2020)</w:t>
      </w:r>
      <w:r>
        <w:t xml:space="preserve">, several assessment factors interplay and contribute to the reliability of the DCJ method. These factors include the number of stimuli, the characteristics of the stimuli, their</w:t>
      </w:r>
      <w:r>
        <w:t xml:space="preserve"> </w:t>
      </w:r>
      <w:r>
        <w:rPr>
          <w:i/>
          <w:iCs/>
        </w:rPr>
        <w:t xml:space="preserve">proximity</w:t>
      </w:r>
      <w:r>
        <w:t xml:space="preserve"> </w:t>
      </w:r>
      <w:r>
        <w:t xml:space="preserve">in terms of the assessed trait, the number of comparison per stimulus, and the pairing algorithm used. Furthermore, since the method relies on judges’ assessments, the number of judges, the characteristics of judges, their</w:t>
      </w:r>
      <w:r>
        <w:t xml:space="preserve"> </w:t>
      </w:r>
      <w:r>
        <w:rPr>
          <w:i/>
          <w:iCs/>
        </w:rPr>
        <w:t xml:space="preserve">discrimination</w:t>
      </w:r>
      <w:r>
        <w:t xml:space="preserve"> </w:t>
      </w:r>
      <w:r>
        <w:t xml:space="preserve">abilities, and the number of comparisons per judge also play pivotal roles. Additionally, in cases where the stimuli represent sub-units (e.g., objects) from higher-levels units (e.g., subjects), then the number of units, the characteristics of the units, and their</w:t>
      </w:r>
      <w:r>
        <w:t xml:space="preserve"> </w:t>
      </w:r>
      <w:r>
        <w:rPr>
          <w:i/>
          <w:iCs/>
        </w:rPr>
        <w:t xml:space="preserve">proximity</w:t>
      </w:r>
      <w:r>
        <w:t xml:space="preserve"> </w:t>
      </w:r>
      <w:r>
        <w:t xml:space="preserve">in terms of the trait can also significantly influence the assessment outcome.</w:t>
      </w:r>
    </w:p>
    <w:p>
      <w:pPr>
        <w:pStyle w:val="BodyText"/>
      </w:pPr>
      <w:r>
        <w:t xml:space="preserve">The research of</w:t>
      </w:r>
      <w:r>
        <w:t xml:space="preserve"> </w:t>
      </w:r>
      <w:r>
        <w:t xml:space="preserve">Boonen, Kloots, and Gillis (2020)</w:t>
      </w:r>
      <w:r>
        <w:t xml:space="preserve"> </w:t>
      </w:r>
      <w:r>
        <w:t xml:space="preserve">offers a clear illustration of these factors and their interplay in a DCJ procedure. In their study, the authors evaluated the</w:t>
      </w:r>
      <w:r>
        <w:t xml:space="preserve"> </w:t>
      </w:r>
      <w:r>
        <w:rPr>
          <w:i/>
          <w:iCs/>
        </w:rPr>
        <w:t xml:space="preserve">overall perceived speech quality</w:t>
      </w:r>
      <w:r>
        <w:t xml:space="preserve"> </w:t>
      </w:r>
      <w:r>
        <w:t xml:space="preserve">(i.e., the trait) using six utterances (objects), each originating from</w:t>
      </w:r>
      <w:r>
        <w:t xml:space="preserve"> </w:t>
      </w:r>
      <m:oMath>
        <m:r>
          <m:t>21</m:t>
        </m:r>
      </m:oMath>
      <w:r>
        <w:t xml:space="preserve"> </w:t>
      </w:r>
      <w:r>
        <w:t xml:space="preserve">children (subjects). The utterances were derived from an imitation task, while the children were evenly distributed across three groups: those with cochlear implants, those with hearing aids, and normal hearing children. To establish pairwise comparisons for the</w:t>
      </w:r>
      <w:r>
        <w:t xml:space="preserve"> </w:t>
      </w:r>
      <m:oMath>
        <m:r>
          <m:t>126</m:t>
        </m:r>
      </m:oMath>
      <w:r>
        <w:t xml:space="preserve"> </w:t>
      </w:r>
      <w:r>
        <w:t xml:space="preserve">stimuli, a random pairing algorithm was employed, with</w:t>
      </w:r>
      <w:r>
        <w:t xml:space="preserve"> </w:t>
      </w:r>
      <m:oMath>
        <m:r>
          <m:t>20</m:t>
        </m:r>
      </m:oMath>
      <w:r>
        <w:t xml:space="preserve"> </w:t>
      </w:r>
      <w:r>
        <w:t xml:space="preserve">comparisons per stimulus. Lastly, a total of</w:t>
      </w:r>
      <w:r>
        <w:t xml:space="preserve"> </w:t>
      </w:r>
      <m:oMath>
        <m:r>
          <m:t>60</m:t>
        </m:r>
      </m:oMath>
      <w:r>
        <w:t xml:space="preserve"> </w:t>
      </w:r>
      <w:r>
        <w:t xml:space="preserve">listeners (judges) evaluated</w:t>
      </w:r>
      <w:r>
        <w:t xml:space="preserve"> </w:t>
      </w:r>
      <m:oMath>
        <m:r>
          <m:t>65</m:t>
        </m:r>
      </m:oMath>
      <w:r>
        <w:t xml:space="preserve"> </w:t>
      </w:r>
      <w:r>
        <w:t xml:space="preserve">pairs of stimuli. The judges were equally selected from three distinct groups, each possessing varying degrees of experience with the speech of hearing-impaired children: audiologists, primary school teachers and inexperienced listeners. Ultimately, the authors were interested in assessing if there were differences in the</w:t>
      </w:r>
      <w:r>
        <w:t xml:space="preserve"> </w:t>
      </w:r>
      <w:r>
        <w:rPr>
          <w:i/>
          <w:iCs/>
        </w:rPr>
        <w:t xml:space="preserve">overall perceived speech quality</w:t>
      </w:r>
      <w:r>
        <w:t xml:space="preserve"> </w:t>
      </w:r>
      <w:r>
        <w:t xml:space="preserve">between groups of subjects and judges.</w:t>
      </w:r>
    </w:p>
    <w:p>
      <w:pPr>
        <w:pStyle w:val="BodyText"/>
      </w:pPr>
      <w:r>
        <w:t xml:space="preserve">Previous studies have primarily focused on examining the individual impact of the different assessment factors on the reliability of DCJ. For instance,</w:t>
      </w:r>
      <w:r>
        <w:t xml:space="preserve"> </w:t>
      </w:r>
      <w:r>
        <w:t xml:space="preserve">Bramley (2015)</w:t>
      </w:r>
      <w:r>
        <w:t xml:space="preserve"> </w:t>
      </w:r>
      <w:r>
        <w:t xml:space="preserve">conducted a simulation-based study to investigate the effects of using random versus adaptive pairing algorithms on the Scale Separation Reliability</w:t>
      </w:r>
      <w:r>
        <w:t xml:space="preserve"> </w:t>
      </w:r>
      <w:r>
        <w:t xml:space="preserve">(SSR, Pollitt 2012b)</w:t>
      </w:r>
      <w:r>
        <w:t xml:space="preserve">. In a similar vein,</w:t>
      </w:r>
      <w:r>
        <w:t xml:space="preserve"> </w:t>
      </w:r>
      <w:r>
        <w:t xml:space="preserve">Bramley and Vitello (2019)</w:t>
      </w:r>
      <w:r>
        <w:t xml:space="preserve"> </w:t>
      </w:r>
      <w:r>
        <w:t xml:space="preserve">explored the influence of adaptive algorithms on the SSR using autobiographical essays from candidates in an English Language course, where the essays constituted half of the total marks for the final exam. In contrast,</w:t>
      </w:r>
      <w:r>
        <w:t xml:space="preserve"> </w:t>
      </w:r>
      <w:r>
        <w:t xml:space="preserve">Verhavert et al. (2019)</w:t>
      </w:r>
      <w:r>
        <w:t xml:space="preserve"> </w:t>
      </w:r>
      <w:r>
        <w:t xml:space="preserve">conducted a meta-analysis examining the individual effects of various assessment factors on the SSR, including the number of stimuli, the format of stimuli, the number of comparisons per stimulus, the number of judges, the judges’ expertise, and feedback.</w:t>
      </w:r>
      <w:r>
        <w:t xml:space="preserve"> </w:t>
      </w:r>
      <w:r>
        <w:t xml:space="preserve">Crompvoets, Béguin, and Sijtsma (2022)</w:t>
      </w:r>
      <w:r>
        <w:t xml:space="preserve"> </w:t>
      </w:r>
      <w:r>
        <w:t xml:space="preserve">then examined through a simulation study how variations in the number of comparisons per stimulus affect the bias and stability of SSR components. Additionally,</w:t>
      </w:r>
      <w:r>
        <w:t xml:space="preserve"> </w:t>
      </w:r>
      <w:r>
        <w:t xml:space="preserve">van Daal et al. (2017)</w:t>
      </w:r>
      <w:r>
        <w:t xml:space="preserve"> </w:t>
      </w:r>
      <w:r>
        <w:t xml:space="preserve">and</w:t>
      </w:r>
      <w:r>
        <w:t xml:space="preserve"> </w:t>
      </w:r>
      <w:r>
        <w:t xml:space="preserve">Gijsen et al. (2021)</w:t>
      </w:r>
      <w:r>
        <w:t xml:space="preserve"> </w:t>
      </w:r>
      <w:r>
        <w:t xml:space="preserve">explored the moderating role of judges’ decision accuracy on the perceived complexity when comparing two stimuli. However, to the best of the author’s knowledge, there has been no systematic investigation into how different relevant assessment factors interact and what is their collective effect on the reliability of the DCJ method.</w:t>
      </w:r>
    </w:p>
    <w:p>
      <w:pPr>
        <w:pStyle w:val="BodyText"/>
      </w:pPr>
      <w:r>
        <w:t xml:space="preserve">This study aims to address this gap by conducting a Bayesian simulation-based power analysis, following the Identification-Estimation flowchart outlined by McElreath</w:t>
      </w:r>
      <w:r>
        <w:t xml:space="preserve"> </w:t>
      </w:r>
      <w:r>
        <w:t xml:space="preserve">(2020)</w:t>
      </w:r>
      <w:r>
        <w:t xml:space="preserve"> </w:t>
      </w:r>
      <w:r>
        <w:t xml:space="preserve">and Neal</w:t>
      </w:r>
      <w:r>
        <w:t xml:space="preserve"> </w:t>
      </w:r>
      <w:r>
        <w:t xml:space="preserve">(2020)</w:t>
      </w:r>
      <w:r>
        <w:t xml:space="preserve">. First, it defines the different targets of inference (i.e., the</w:t>
      </w:r>
      <w:r>
        <w:t xml:space="preserve"> </w:t>
      </w:r>
      <w:r>
        <w:rPr>
          <w:i/>
          <w:iCs/>
        </w:rPr>
        <w:t xml:space="preserve">estimands</w:t>
      </w:r>
      <w:r>
        <w:t xml:space="preserve">), which are articulated through three research questions, over which the reliability of the DCJ method is evaluated. Subsequently, a</w:t>
      </w:r>
      <w:r>
        <w:t xml:space="preserve"> </w:t>
      </w:r>
      <w:r>
        <w:rPr>
          <w:i/>
          <w:iCs/>
        </w:rPr>
        <w:t xml:space="preserve">scientific model</w:t>
      </w:r>
      <w:r>
        <w:t xml:space="preserve"> </w:t>
      </w:r>
      <w:r>
        <w:t xml:space="preserve">for the DCJ procedure is constructed. These models describe the causal assumptions and mechanisms underlying the system, and facilitate inferences about causal relationships from data</w:t>
      </w:r>
      <w:r>
        <w:t xml:space="preserve"> </w:t>
      </w:r>
      <w:r>
        <w:t xml:space="preserve">(Hitchcock 2023)</w:t>
      </w:r>
      <w:r>
        <w:t xml:space="preserve">. To aid in the translation and visualization of the assumption underlying the DCJ procedure, Directed Acyclic Graphs (DAG) and Structural Causal Models (SCM)</w:t>
      </w:r>
      <w:r>
        <w:t xml:space="preserve"> </w:t>
      </w:r>
      <w:r>
        <w:t xml:space="preserve">(Pearl 2009; Pearl, Glymour, and Jewell 2016; Cinelli, Forney, and Pearl 2022)</w:t>
      </w:r>
      <w:r>
        <w:t xml:space="preserve"> </w:t>
      </w:r>
      <w:r>
        <w:t xml:space="preserve">are employed. Next, an</w:t>
      </w:r>
      <w:r>
        <w:t xml:space="preserve"> </w:t>
      </w:r>
      <w:r>
        <w:rPr>
          <w:i/>
          <w:iCs/>
        </w:rPr>
        <w:t xml:space="preserve">estimator</w:t>
      </w:r>
      <w:r>
        <w:t xml:space="preserve"> </w:t>
      </w:r>
      <w:r>
        <w:t xml:space="preserve">in the form of a statistical model is utilized to derive an</w:t>
      </w:r>
      <w:r>
        <w:t xml:space="preserve"> </w:t>
      </w:r>
      <w:r>
        <w:rPr>
          <w:i/>
          <w:iCs/>
        </w:rPr>
        <w:t xml:space="preserve">statistical estimand</w:t>
      </w:r>
      <w:r>
        <w:t xml:space="preserve"> </w:t>
      </w:r>
      <w:r>
        <w:t xml:space="preserve">for the various targets of inference. Bayesian statistical method offer an intuitive approach to translate scientific models into probabilistic estimators. Finally, employing multiple simulated datasets for different combinations of the relevant assessment factors, the study generates multiple</w:t>
      </w:r>
      <w:r>
        <w:t xml:space="preserve"> </w:t>
      </w:r>
      <w:r>
        <w:rPr>
          <w:i/>
          <w:iCs/>
        </w:rPr>
        <w:t xml:space="preserve">estimates</w:t>
      </w:r>
      <w:r>
        <w:t xml:space="preserve"> </w:t>
      </w:r>
      <w:r>
        <w:t xml:space="preserve">for the statistical estimands. Notably, the statistical estimands in simulated data are known, consequently, the study can assess the DCJ reliability by evaluating the</w:t>
      </w:r>
      <w:r>
        <w:t xml:space="preserve"> </w:t>
      </w:r>
      <w:r>
        <w:rPr>
          <w:i/>
          <w:iCs/>
        </w:rPr>
        <w:t xml:space="preserve">proximity</w:t>
      </w:r>
      <w:r>
        <w:t xml:space="preserve"> </w:t>
      </w:r>
      <w:r>
        <w:t xml:space="preserve">to these estimands to the generated estimates. This final step resembles a power analysis. Ultimately, the outcomes of this study will inform the planning of DCJ experiments and hold significance for researchers or analysts involved in education and assessment procedures who implement DCJ methodologies.</w:t>
      </w:r>
    </w:p>
    <w:bookmarkEnd w:id="20"/>
    <w:bookmarkStart w:id="29" w:name="sec-TheoreticalFramework"/>
    <w:p>
      <w:pPr>
        <w:pStyle w:val="Heading2"/>
      </w:pPr>
      <w:r>
        <w:t xml:space="preserve">Theoretical framework</w:t>
      </w:r>
    </w:p>
    <w:p>
      <w:pPr>
        <w:pStyle w:val="FirstParagraph"/>
      </w:pPr>
      <w:r>
        <w:t xml:space="preserve">In order to evaluate the reliability of the DCJ method, first the study need to define certain terminology. This study uses the Identification-Estimation flowchart</w:t>
      </w:r>
      <w:r>
        <w:t xml:space="preserve"> </w:t>
      </w:r>
      <w:r>
        <w:t xml:space="preserve">(McElreath 2020; Neal 2020)</w:t>
      </w:r>
      <w:r>
        <w:t xml:space="preserve">. The flowchart illustrates the process of moving from a target (causal)</w:t>
      </w:r>
      <w:r>
        <w:t xml:space="preserve"> </w:t>
      </w:r>
      <w:r>
        <w:rPr>
          <w:i/>
          <w:iCs/>
        </w:rPr>
        <w:t xml:space="preserve">estimand</w:t>
      </w:r>
      <w:r>
        <w:t xml:space="preserve"> </w:t>
      </w:r>
      <w:r>
        <w:t xml:space="preserve">to a corresponding</w:t>
      </w:r>
      <w:r>
        <w:t xml:space="preserve"> </w:t>
      </w:r>
      <w:r>
        <w:rPr>
          <w:i/>
          <w:iCs/>
        </w:rPr>
        <w:t xml:space="preserve">estimate</w:t>
      </w:r>
      <w:r>
        <w:t xml:space="preserve">, through identification and estimation (</w:t>
      </w:r>
      <w:hyperlink w:anchor="fig-IEflowchart">
        <w:r>
          <w:rPr>
            <w:rStyle w:val="Hyperlink"/>
          </w:rPr>
          <w:t xml:space="preserve">Figure 1</w:t>
        </w:r>
      </w:hyperlink>
      <w:r>
        <w:t xml:space="preserve">). An</w:t>
      </w:r>
      <w:r>
        <w:t xml:space="preserve"> </w:t>
      </w:r>
      <w:r>
        <w:rPr>
          <w:i/>
          <w:iCs/>
        </w:rPr>
        <w:t xml:space="preserve">estimand</w:t>
      </w:r>
      <w:r>
        <w:t xml:space="preserve"> </w:t>
      </w:r>
      <w:r>
        <w:t xml:space="preserve">is the target of inference of the quantity that we want to estimate. An</w:t>
      </w:r>
      <w:r>
        <w:t xml:space="preserve"> </w:t>
      </w:r>
      <w:r>
        <w:rPr>
          <w:i/>
          <w:iCs/>
        </w:rPr>
        <w:t xml:space="preserve">estimate</w:t>
      </w:r>
      <w:r>
        <w:t xml:space="preserve"> </w:t>
      </w:r>
      <w:r>
        <w:t xml:space="preserve">is an approximation of the</w:t>
      </w:r>
      <w:r>
        <w:t xml:space="preserve"> </w:t>
      </w:r>
      <w:r>
        <w:rPr>
          <w:i/>
          <w:iCs/>
        </w:rPr>
        <w:t xml:space="preserve">estimand</w:t>
      </w:r>
      <w:r>
        <w:t xml:space="preserve">, which is obtained by using data. Moreover, identification refers to the process of moving from a (causal)</w:t>
      </w:r>
      <w:r>
        <w:t xml:space="preserve"> </w:t>
      </w:r>
      <w:r>
        <w:rPr>
          <w:i/>
          <w:iCs/>
        </w:rPr>
        <w:t xml:space="preserve">estimand</w:t>
      </w:r>
      <w:r>
        <w:t xml:space="preserve"> </w:t>
      </w:r>
      <w:r>
        <w:t xml:space="preserve">to an equivalent</w:t>
      </w:r>
      <w:r>
        <w:t xml:space="preserve"> </w:t>
      </w:r>
      <w:r>
        <w:rPr>
          <w:i/>
          <w:iCs/>
        </w:rPr>
        <w:t xml:space="preserve">statistical estimand</w:t>
      </w:r>
      <w:r>
        <w:t xml:space="preserve">, and estimation refers to the process of moving from a</w:t>
      </w:r>
      <w:r>
        <w:t xml:space="preserve"> </w:t>
      </w:r>
      <w:r>
        <w:rPr>
          <w:i/>
          <w:iCs/>
        </w:rPr>
        <w:t xml:space="preserve">statistical estimand</w:t>
      </w:r>
      <w:r>
        <w:t xml:space="preserve"> </w:t>
      </w:r>
      <w:r>
        <w:t xml:space="preserve">to an</w:t>
      </w:r>
      <w:r>
        <w:t xml:space="preserve"> </w:t>
      </w:r>
      <w:r>
        <w:rPr>
          <w:i/>
          <w:iCs/>
        </w:rPr>
        <w:t xml:space="preserve">estimate</w:t>
      </w:r>
      <w:r>
        <w:t xml:space="preserve">.</w:t>
      </w:r>
    </w:p>
    <w:tbl>
      <w:tblPr>
        <w:tblStyle w:val="Table"/>
        <w:tblW w:type="pct" w:w="5000"/>
        <w:jc w:val="left"/>
        <w:tblLayout w:type="fixed"/>
        <w:tblLook w:firstRow="0" w:lastRow="0" w:firstColumn="0" w:lastColumn="0" w:noHBand="0" w:noVBand="0" w:val="0000"/>
      </w:tblPr>
      <w:tblGrid>
        <w:gridCol w:w="7920"/>
      </w:tblGrid>
      <w:tr>
        <w:tc>
          <w:tcPr/>
          <w:bookmarkStart w:id="24" w:name="fig-IEflowchart"/>
          <w:p>
            <w:pPr>
              <w:jc w:val="center"/>
            </w:pPr>
            <w:r>
              <w:drawing>
                <wp:inline>
                  <wp:extent cx="3657600" cy="3657600"/>
                  <wp:effectExtent b="0" l="0" r="0" t="0"/>
                  <wp:docPr descr="" title="" id="22" name="Picture"/>
                  <a:graphic>
                    <a:graphicData uri="http://schemas.openxmlformats.org/drawingml/2006/picture">
                      <pic:pic>
                        <pic:nvPicPr>
                          <pic:cNvPr descr="index_files/figure-docx/dot-figure-1.png" id="23" name="Picture"/>
                          <pic:cNvPicPr>
                            <a:picLocks noChangeArrowheads="1" noChangeAspect="1"/>
                          </pic:cNvPicPr>
                        </pic:nvPicPr>
                        <pic:blipFill>
                          <a:blip r:embed="rId21"/>
                          <a:stretch>
                            <a:fillRect/>
                          </a:stretch>
                        </pic:blipFill>
                        <pic:spPr bwMode="auto">
                          <a:xfrm>
                            <a:off x="0" y="0"/>
                            <a:ext cx="36576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Identification-Estimation flowchart. Extracted from</w:t>
            </w:r>
            <w:r>
              <w:t xml:space="preserve"> </w:t>
            </w:r>
            <w:r>
              <w:t xml:space="preserve">Neal (2020)</w:t>
            </w:r>
          </w:p>
          <w:bookmarkEnd w:id="24"/>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Article Notebook</w:t>
        </w:r>
      </w:hyperlink>
    </w:p>
    <w:bookmarkStart w:id="26" w:name="sec-ResearchQuestions"/>
    <w:p>
      <w:pPr>
        <w:pStyle w:val="Heading3"/>
      </w:pPr>
      <w:r>
        <w:t xml:space="preserve">Research questions and their estimands</w:t>
      </w:r>
    </w:p>
    <w:bookmarkEnd w:id="26"/>
    <w:bookmarkStart w:id="27" w:name="sec-SciMod"/>
    <w:p>
      <w:pPr>
        <w:pStyle w:val="Heading3"/>
      </w:pPr>
      <w:r>
        <w:t xml:space="preserve">A scientific model for the DCJ procedure</w:t>
      </w:r>
    </w:p>
    <w:p>
      <w:pPr>
        <w:pStyle w:val="FirstParagraph"/>
      </w:pPr>
      <w:r>
        <w:t xml:space="preserve">A</w:t>
      </w:r>
      <w:r>
        <w:t xml:space="preserve"> </w:t>
      </w:r>
      <w:r>
        <w:rPr>
          <w:i/>
          <w:iCs/>
        </w:rPr>
        <w:t xml:space="preserve">scientific (causal) model</w:t>
      </w:r>
      <w:r>
        <w:t xml:space="preserve"> </w:t>
      </w:r>
      <w:r>
        <w:t xml:space="preserve">describe the causal assumptions and mechanisms underlying a system, and facilitate inferences about causal relationships from data</w:t>
      </w:r>
      <w:r>
        <w:t xml:space="preserve"> </w:t>
      </w:r>
      <w:r>
        <w:t xml:space="preserve">(Hitchcock 2023)</w:t>
      </w:r>
      <w:r>
        <w:t xml:space="preserve">.</w:t>
      </w:r>
    </w:p>
    <w:bookmarkEnd w:id="27"/>
    <w:bookmarkStart w:id="28" w:name="sec-Sci2StatMod"/>
    <w:p>
      <w:pPr>
        <w:pStyle w:val="Heading3"/>
      </w:pPr>
      <w:r>
        <w:t xml:space="preserve">From the scientific to the statistical DCJ model</w:t>
      </w:r>
    </w:p>
    <w:bookmarkEnd w:id="28"/>
    <w:bookmarkEnd w:id="29"/>
    <w:bookmarkStart w:id="31" w:name="sec-methods"/>
    <w:p>
      <w:pPr>
        <w:pStyle w:val="Heading2"/>
      </w:pPr>
      <w:r>
        <w:t xml:space="preserve">Methods</w:t>
      </w:r>
    </w:p>
    <w:bookmarkStart w:id="30" w:name="bayesian-simulation-and-power-analysis"/>
    <w:p>
      <w:pPr>
        <w:pStyle w:val="Heading3"/>
      </w:pPr>
      <w:r>
        <w:t xml:space="preserve">Bayesian simulation and power analysis</w:t>
      </w:r>
    </w:p>
    <w:bookmarkEnd w:id="30"/>
    <w:bookmarkEnd w:id="31"/>
    <w:bookmarkStart w:id="35" w:name="sec-results"/>
    <w:p>
      <w:pPr>
        <w:pStyle w:val="Heading2"/>
      </w:pPr>
      <w:r>
        <w:t xml:space="preserve">Results</w:t>
      </w:r>
    </w:p>
    <w:bookmarkStart w:id="32" w:name="sec-RQ1"/>
    <w:p>
      <w:pPr>
        <w:pStyle w:val="Heading3"/>
      </w:pPr>
      <w:r>
        <w:t xml:space="preserve">Research question 1</w:t>
      </w:r>
    </w:p>
    <w:bookmarkEnd w:id="32"/>
    <w:bookmarkStart w:id="33" w:name="sec-RQ2"/>
    <w:p>
      <w:pPr>
        <w:pStyle w:val="Heading3"/>
      </w:pPr>
      <w:r>
        <w:t xml:space="preserve">Research question 2</w:t>
      </w:r>
    </w:p>
    <w:bookmarkEnd w:id="33"/>
    <w:bookmarkStart w:id="34" w:name="sec-RQ3"/>
    <w:p>
      <w:pPr>
        <w:pStyle w:val="Heading3"/>
      </w:pPr>
      <w:r>
        <w:t xml:space="preserve">Research question 3</w:t>
      </w:r>
    </w:p>
    <w:bookmarkEnd w:id="34"/>
    <w:bookmarkEnd w:id="35"/>
    <w:bookmarkStart w:id="37" w:name="sec-discussion"/>
    <w:p>
      <w:pPr>
        <w:pStyle w:val="Heading2"/>
      </w:pPr>
      <w:r>
        <w:t xml:space="preserve">Discussion</w:t>
      </w:r>
    </w:p>
    <w:bookmarkStart w:id="36" w:name="sec-LFR"/>
    <w:p>
      <w:pPr>
        <w:pStyle w:val="Heading3"/>
      </w:pPr>
      <w:r>
        <w:t xml:space="preserve">Limitations and further research</w:t>
      </w:r>
    </w:p>
    <w:bookmarkEnd w:id="36"/>
    <w:bookmarkEnd w:id="37"/>
    <w:bookmarkStart w:id="38" w:name="sec-conclusion"/>
    <w:p>
      <w:pPr>
        <w:pStyle w:val="Heading2"/>
      </w:pPr>
      <w:r>
        <w:t xml:space="preserve">Conclusion</w:t>
      </w:r>
    </w:p>
    <w:bookmarkEnd w:id="38"/>
    <w:bookmarkStart w:id="90" w:name="references"/>
    <w:p>
      <w:pPr>
        <w:pStyle w:val="Heading2"/>
      </w:pPr>
      <w:r>
        <w:t xml:space="preserve">References</w:t>
      </w:r>
    </w:p>
    <w:bookmarkStart w:id="89" w:name="refs"/>
    <w:bookmarkStart w:id="40"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39">
        <w:r>
          <w:rPr>
            <w:rStyle w:val="Hyperlink"/>
          </w:rPr>
          <w:t xml:space="preserve">https://doi.org/10.2307/2347562</w:t>
        </w:r>
      </w:hyperlink>
      <w:r>
        <w:t xml:space="preserve">.</w:t>
      </w:r>
    </w:p>
    <w:bookmarkEnd w:id="40"/>
    <w:bookmarkStart w:id="42"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41">
        <w:r>
          <w:rPr>
            <w:rStyle w:val="Hyperlink"/>
          </w:rPr>
          <w:t xml:space="preserve">https://doi.org/10.1080/10627197.2018.1444986</w:t>
        </w:r>
      </w:hyperlink>
      <w:r>
        <w:t xml:space="preserve">.</w:t>
      </w:r>
    </w:p>
    <w:bookmarkEnd w:id="42"/>
    <w:bookmarkStart w:id="44"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43">
        <w:r>
          <w:rPr>
            <w:rStyle w:val="Hyperlink"/>
          </w:rPr>
          <w:t xml:space="preserve">https://doi.org/10.1007/978-3-030-52229-2_18</w:t>
        </w:r>
      </w:hyperlink>
      <w:r>
        <w:t xml:space="preserve">.</w:t>
      </w:r>
    </w:p>
    <w:bookmarkEnd w:id="44"/>
    <w:bookmarkStart w:id="46"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5">
        <w:r>
          <w:rPr>
            <w:rStyle w:val="Hyperlink"/>
          </w:rPr>
          <w:t xml:space="preserve">https://doi.org/10.1016/j.jcomdis.2019.105969</w:t>
        </w:r>
      </w:hyperlink>
      <w:r>
        <w:t xml:space="preserve">.</w:t>
      </w:r>
    </w:p>
    <w:bookmarkEnd w:id="46"/>
    <w:bookmarkStart w:id="48"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47">
        <w:r>
          <w:rPr>
            <w:rStyle w:val="Hyperlink"/>
          </w:rPr>
          <w:t xml:space="preserve">https://doi.org/10.2307/2334029</w:t>
        </w:r>
      </w:hyperlink>
      <w:r>
        <w:t xml:space="preserve">.</w:t>
      </w:r>
    </w:p>
    <w:bookmarkEnd w:id="48"/>
    <w:bookmarkStart w:id="50" w:name="ref-Bramley_2015"/>
    <w:p>
      <w:pPr>
        <w:pStyle w:val="Bibliography"/>
      </w:pPr>
      <w:r>
        <w:t xml:space="preserve">Bramley, T. 2015.</w:t>
      </w:r>
      <w:r>
        <w:t xml:space="preserve"> </w:t>
      </w:r>
      <w:r>
        <w:t xml:space="preserve">“Investigating the Reliability of Adaptive Comparative Judgment.”</w:t>
      </w:r>
      <w:r>
        <w:t xml:space="preserve"> </w:t>
      </w:r>
      <w:hyperlink r:id="rId49">
        <w:r>
          <w:rPr>
            <w:rStyle w:val="Hyperlink"/>
          </w:rPr>
          <w:t xml:space="preserve">http://www.cambridgeassessment.org.uk/Images/232694-investigating-the-reliability-of-adaptive-comparative-judgment.pdf</w:t>
        </w:r>
      </w:hyperlink>
      <w:r>
        <w:t xml:space="preserve">.</w:t>
      </w:r>
    </w:p>
    <w:bookmarkEnd w:id="50"/>
    <w:bookmarkStart w:id="52" w:name="ref-Bramley_et_al_2019"/>
    <w:p>
      <w:pPr>
        <w:pStyle w:val="Bibliography"/>
      </w:pPr>
      <w:r>
        <w:t xml:space="preserve">Bramley, T., and S. Vitello. 2019.</w:t>
      </w:r>
      <w:r>
        <w:t xml:space="preserve"> </w:t>
      </w:r>
      <w:r>
        <w:t xml:space="preserve">“The Effect of Adaptivity on the Reliability Coefficient in Adaptive Comparative Judgement.”</w:t>
      </w:r>
      <w:r>
        <w:t xml:space="preserve"> </w:t>
      </w:r>
      <w:r>
        <w:rPr>
          <w:i/>
          <w:iCs/>
        </w:rPr>
        <w:t xml:space="preserve">Assessment in Education: Principles, Policy and Practice</w:t>
      </w:r>
      <w:r>
        <w:t xml:space="preserve"> </w:t>
      </w:r>
      <w:r>
        <w:t xml:space="preserve">71 (9): 1–25.</w:t>
      </w:r>
      <w:r>
        <w:t xml:space="preserve"> </w:t>
      </w:r>
      <w:hyperlink r:id="rId51">
        <w:r>
          <w:rPr>
            <w:rStyle w:val="Hyperlink"/>
          </w:rPr>
          <w:t xml:space="preserve">https://doi.org/10.1080/0969594X.2017.1418734</w:t>
        </w:r>
      </w:hyperlink>
      <w:r>
        <w:t xml:space="preserve">.</w:t>
      </w:r>
    </w:p>
    <w:bookmarkEnd w:id="52"/>
    <w:bookmarkStart w:id="54" w:name="ref-Cinelli_et_al_2021"/>
    <w:p>
      <w:pPr>
        <w:pStyle w:val="Bibliography"/>
      </w:pPr>
      <w:r>
        <w:t xml:space="preserve">Cinelli, C., A. Forney, and J. Pearl. 2022.</w:t>
      </w:r>
      <w:r>
        <w:t xml:space="preserve"> </w:t>
      </w:r>
      <w:r>
        <w:t xml:space="preserve">“A Crash Course in Good and Bad Controls.”</w:t>
      </w:r>
      <w:r>
        <w:t xml:space="preserve"> </w:t>
      </w:r>
      <w:r>
        <w:rPr>
          <w:i/>
          <w:iCs/>
        </w:rPr>
        <w:t xml:space="preserve">SSRN</w:t>
      </w:r>
      <w:r>
        <w:t xml:space="preserve">, September. https://doi.org/</w:t>
      </w:r>
      <w:hyperlink r:id="rId53">
        <w:r>
          <w:rPr>
            <w:rStyle w:val="Hyperlink"/>
          </w:rPr>
          <w:t xml:space="preserve">http://dx.doi.org/10.2139/ssrn.3689437</w:t>
        </w:r>
      </w:hyperlink>
      <w:r>
        <w:t xml:space="preserve">.</w:t>
      </w:r>
    </w:p>
    <w:bookmarkEnd w:id="54"/>
    <w:bookmarkStart w:id="56" w:name="ref-Crompvoets_et_al_2022"/>
    <w:p>
      <w:pPr>
        <w:pStyle w:val="Bibliography"/>
      </w:pPr>
      <w:r>
        <w:t xml:space="preserve">Crompvoets, Elise A. V., Anton A. Béguin, and Klaas Sijtsma. 2022.</w:t>
      </w:r>
      <w:r>
        <w:t xml:space="preserve"> </w:t>
      </w:r>
      <w:r>
        <w:t xml:space="preserve">“On the Bias and Stability of the Results of Comparative Judgment.”</w:t>
      </w:r>
      <w:r>
        <w:t xml:space="preserve"> </w:t>
      </w:r>
      <w:r>
        <w:rPr>
          <w:i/>
          <w:iCs/>
        </w:rPr>
        <w:t xml:space="preserve">Frontiers in Education</w:t>
      </w:r>
      <w:r>
        <w:t xml:space="preserve"> </w:t>
      </w:r>
      <w:r>
        <w:t xml:space="preserve">6.</w:t>
      </w:r>
      <w:r>
        <w:t xml:space="preserve"> </w:t>
      </w:r>
      <w:hyperlink r:id="rId55">
        <w:r>
          <w:rPr>
            <w:rStyle w:val="Hyperlink"/>
          </w:rPr>
          <w:t xml:space="preserve">https://doi.org/10.3389/feduc.2021.788202</w:t>
        </w:r>
      </w:hyperlink>
      <w:r>
        <w:t xml:space="preserve">.</w:t>
      </w:r>
    </w:p>
    <w:bookmarkEnd w:id="56"/>
    <w:bookmarkStart w:id="58" w:name="ref-Gijsen_et_al_2021"/>
    <w:p>
      <w:pPr>
        <w:pStyle w:val="Bibliography"/>
      </w:pPr>
      <w:r>
        <w:t xml:space="preserve">Gijsen, M., T. van Daal, Marije Lesterhuis, David Gijbels, and Sven de Maeyer. 2021.</w:t>
      </w:r>
      <w:r>
        <w:t xml:space="preserve"> </w:t>
      </w:r>
      <w:r>
        <w:t xml:space="preserve">“The Complexity of Comparative Judgments in Assessing Argumentative Writing: An Eye Tracking Study.”</w:t>
      </w:r>
      <w:r>
        <w:t xml:space="preserve"> </w:t>
      </w:r>
      <w:r>
        <w:rPr>
          <w:i/>
          <w:iCs/>
        </w:rPr>
        <w:t xml:space="preserve">Frontiers in Education</w:t>
      </w:r>
      <w:r>
        <w:t xml:space="preserve"> </w:t>
      </w:r>
      <w:r>
        <w:t xml:space="preserve">5.</w:t>
      </w:r>
      <w:r>
        <w:t xml:space="preserve"> </w:t>
      </w:r>
      <w:hyperlink r:id="rId57">
        <w:r>
          <w:rPr>
            <w:rStyle w:val="Hyperlink"/>
          </w:rPr>
          <w:t xml:space="preserve">https://doi.org/10.3389/feduc.2020.582800</w:t>
        </w:r>
      </w:hyperlink>
      <w:r>
        <w:t xml:space="preserve">.</w:t>
      </w:r>
    </w:p>
    <w:bookmarkEnd w:id="58"/>
    <w:bookmarkStart w:id="60" w:name="ref-Hitchcock_2023"/>
    <w:p>
      <w:pPr>
        <w:pStyle w:val="Bibliography"/>
      </w:pPr>
      <w:r>
        <w:t xml:space="preserve">Hitchcock, C. 2023.</w:t>
      </w:r>
      <w:r>
        <w:t xml:space="preserve"> </w:t>
      </w:r>
      <w:r>
        <w:t xml:space="preserve">“</w:t>
      </w:r>
      <w:r>
        <w:t xml:space="preserve">Causal Models</w:t>
      </w:r>
      <w:r>
        <w:t xml:space="preserve">.”</w:t>
      </w:r>
      <w:r>
        <w:t xml:space="preserve"> </w:t>
      </w:r>
      <w:r>
        <w:t xml:space="preserve">In</w:t>
      </w:r>
      <w:r>
        <w:t xml:space="preserve"> </w:t>
      </w:r>
      <w:r>
        <w:rPr>
          <w:i/>
          <w:iCs/>
        </w:rPr>
        <w:t xml:space="preserve">The</w:t>
      </w:r>
      <w:r>
        <w:rPr>
          <w:i/>
          <w:iCs/>
        </w:rPr>
        <w:t xml:space="preserve"> </w:t>
      </w:r>
      <w:r>
        <w:rPr>
          <w:i/>
          <w:iCs/>
        </w:rPr>
        <w:t xml:space="preserve">Stanford</w:t>
      </w:r>
      <w:r>
        <w:rPr>
          <w:i/>
          <w:iCs/>
        </w:rPr>
        <w:t xml:space="preserve"> </w:t>
      </w:r>
      <w:r>
        <w:rPr>
          <w:i/>
          <w:iCs/>
        </w:rPr>
        <w:t xml:space="preserve">Encyclopedia of Philosophy</w:t>
      </w:r>
      <w:r>
        <w:t xml:space="preserve">, edited by Edward N. Zalta and Uri Nodelman,</w:t>
      </w:r>
      <w:r>
        <w:t xml:space="preserve"> </w:t>
      </w:r>
      <w:r>
        <w:t xml:space="preserve">S</w:t>
      </w:r>
      <w:r>
        <w:t xml:space="preserve">pring 2023. Metaphysics Research Lab, Stanford University.</w:t>
      </w:r>
      <w:r>
        <w:t xml:space="preserve"> </w:t>
      </w:r>
      <w:hyperlink r:id="rId59">
        <w:r>
          <w:rPr>
            <w:rStyle w:val="Hyperlink"/>
          </w:rPr>
          <w:t xml:space="preserve">https://plato.stanford.edu/archives/spr2023/entries/causal-models/</w:t>
        </w:r>
      </w:hyperlink>
      <w:r>
        <w:t xml:space="preserve">.</w:t>
      </w:r>
    </w:p>
    <w:bookmarkEnd w:id="60"/>
    <w:bookmarkStart w:id="61"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61"/>
    <w:bookmarkStart w:id="63"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62">
        <w:r>
          <w:rPr>
            <w:rStyle w:val="Hyperlink"/>
          </w:rPr>
          <w:t xml:space="preserve">https://doi.org/10.1037/h0043178</w:t>
        </w:r>
      </w:hyperlink>
      <w:r>
        <w:t xml:space="preserve">.</w:t>
      </w:r>
    </w:p>
    <w:bookmarkEnd w:id="63"/>
    <w:bookmarkStart w:id="65"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64">
        <w:r>
          <w:rPr>
            <w:rStyle w:val="Hyperlink"/>
          </w:rPr>
          <w:t xml:space="preserve">https://doi.org/10.1007/s40841-020-00163-3</w:t>
        </w:r>
      </w:hyperlink>
      <w:r>
        <w:t xml:space="preserve">.</w:t>
      </w:r>
    </w:p>
    <w:bookmarkEnd w:id="65"/>
    <w:bookmarkStart w:id="67" w:name="ref-McElreath_2020"/>
    <w:p>
      <w:pPr>
        <w:pStyle w:val="Bibliography"/>
      </w:pPr>
      <w:r>
        <w:t xml:space="preserve">McElreath, R. 2020.</w:t>
      </w:r>
      <w:r>
        <w:t xml:space="preserve"> </w:t>
      </w:r>
      <w:hyperlink r:id="rId66">
        <w:r>
          <w:rPr>
            <w:rStyle w:val="Hyperlink"/>
            <w:i/>
            <w:iCs/>
          </w:rPr>
          <w:t xml:space="preserve">Statistical Rethinking: A Bayesian Course with Examples in r and STAN</w:t>
        </w:r>
      </w:hyperlink>
      <w:r>
        <w:t xml:space="preserve">. Chapman; Hall/CRC.</w:t>
      </w:r>
    </w:p>
    <w:bookmarkEnd w:id="67"/>
    <w:bookmarkStart w:id="69" w:name="ref-Neal_2020"/>
    <w:p>
      <w:pPr>
        <w:pStyle w:val="Bibliography"/>
      </w:pPr>
      <w:r>
        <w:t xml:space="preserve">Neal, B. 2020.</w:t>
      </w:r>
      <w:r>
        <w:t xml:space="preserve"> </w:t>
      </w:r>
      <w:r>
        <w:t xml:space="preserve">“Introduction to Causal Inference from a Machine Learning Perspective.”</w:t>
      </w:r>
      <w:r>
        <w:t xml:space="preserve"> </w:t>
      </w:r>
      <w:hyperlink r:id="rId68">
        <w:r>
          <w:rPr>
            <w:rStyle w:val="Hyperlink"/>
          </w:rPr>
          <w:t xml:space="preserve">\url{https://www.bradyneal.com/Introduction_to_Causal_Inference-Dec17_2020-Neal.pdf}</w:t>
        </w:r>
      </w:hyperlink>
      <w:r>
        <w:t xml:space="preserve">.</w:t>
      </w:r>
    </w:p>
    <w:bookmarkEnd w:id="69"/>
    <w:bookmarkStart w:id="70" w:name="ref-Pearl_2009"/>
    <w:p>
      <w:pPr>
        <w:pStyle w:val="Bibliography"/>
      </w:pPr>
      <w:r>
        <w:t xml:space="preserve">Pearl, J. 2009.</w:t>
      </w:r>
      <w:r>
        <w:t xml:space="preserve"> </w:t>
      </w:r>
      <w:hyperlink r:id="rId66">
        <w:r>
          <w:rPr>
            <w:rStyle w:val="Hyperlink"/>
            <w:i/>
            <w:iCs/>
          </w:rPr>
          <w:t xml:space="preserve">Causality: Models, Reasoning and Inference</w:t>
        </w:r>
      </w:hyperlink>
      <w:r>
        <w:t xml:space="preserve">. Cambrige University Press.</w:t>
      </w:r>
    </w:p>
    <w:bookmarkEnd w:id="70"/>
    <w:bookmarkStart w:id="71" w:name="ref-Pearl_et_al_2016"/>
    <w:p>
      <w:pPr>
        <w:pStyle w:val="Bibliography"/>
      </w:pPr>
      <w:r>
        <w:t xml:space="preserve">Pearl, J., M. Glymour, and N. Jewell. 2016.</w:t>
      </w:r>
      <w:r>
        <w:t xml:space="preserve"> </w:t>
      </w:r>
      <w:hyperlink r:id="rId66">
        <w:r>
          <w:rPr>
            <w:rStyle w:val="Hyperlink"/>
            <w:i/>
            <w:iCs/>
          </w:rPr>
          <w:t xml:space="preserve">Causal Inference in Statistics: A Primer</w:t>
        </w:r>
      </w:hyperlink>
      <w:r>
        <w:t xml:space="preserve">. John Wiley &amp; Sons, Inc.</w:t>
      </w:r>
    </w:p>
    <w:bookmarkEnd w:id="71"/>
    <w:bookmarkStart w:id="73"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72">
        <w:r>
          <w:rPr>
            <w:rStyle w:val="Hyperlink"/>
          </w:rPr>
          <w:t xml:space="preserve">https://doi.org/10.2307/2346567</w:t>
        </w:r>
      </w:hyperlink>
      <w:r>
        <w:t xml:space="preserve">.</w:t>
      </w:r>
    </w:p>
    <w:bookmarkEnd w:id="73"/>
    <w:bookmarkStart w:id="75"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74">
        <w:r>
          <w:rPr>
            <w:rStyle w:val="Hyperlink"/>
          </w:rPr>
          <w:t xml:space="preserve">https://doi.org/10.1007/s10798-011-9189-x</w:t>
        </w:r>
      </w:hyperlink>
      <w:r>
        <w:t xml:space="preserve">.</w:t>
      </w:r>
    </w:p>
    <w:bookmarkEnd w:id="75"/>
    <w:bookmarkStart w:id="77"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76">
        <w:r>
          <w:rPr>
            <w:rStyle w:val="Hyperlink"/>
          </w:rPr>
          <w:t xml:space="preserve">https://doi.org/10.1080/0969594X.2012.665354</w:t>
        </w:r>
      </w:hyperlink>
      <w:r>
        <w:t xml:space="preserve">.</w:t>
      </w:r>
    </w:p>
    <w:bookmarkEnd w:id="77"/>
    <w:bookmarkStart w:id="79"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78">
        <w:r>
          <w:rPr>
            <w:rStyle w:val="Hyperlink"/>
          </w:rPr>
          <w:t xml:space="preserve">https://doi.org/10.1037/h0070288</w:t>
        </w:r>
      </w:hyperlink>
      <w:r>
        <w:t xml:space="preserve">.</w:t>
      </w:r>
    </w:p>
    <w:bookmarkEnd w:id="79"/>
    <w:bookmarkStart w:id="81"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80">
        <w:r>
          <w:rPr>
            <w:rStyle w:val="Hyperlink"/>
          </w:rPr>
          <w:t xml:space="preserve">https://doi.org/10.1016/0022-2496(86)90034-9</w:t>
        </w:r>
      </w:hyperlink>
      <w:r>
        <w:t xml:space="preserve">.</w:t>
      </w:r>
    </w:p>
    <w:bookmarkEnd w:id="81"/>
    <w:bookmarkStart w:id="82"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82"/>
    <w:bookmarkStart w:id="84" w:name="ref-vanDaal_et_al_2016"/>
    <w:p>
      <w:pPr>
        <w:pStyle w:val="Bibliography"/>
      </w:pPr>
      <w:r>
        <w:t xml:space="preserve">van Daal, T.,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83">
        <w:r>
          <w:rPr>
            <w:rStyle w:val="Hyperlink"/>
          </w:rPr>
          <w:t xml:space="preserve">https://doi.org/10.1080/0969594X.2016.1253542</w:t>
        </w:r>
      </w:hyperlink>
      <w:r>
        <w:t xml:space="preserve">.</w:t>
      </w:r>
    </w:p>
    <w:bookmarkEnd w:id="84"/>
    <w:bookmarkStart w:id="86" w:name="ref-vanDaal_et_al_2017"/>
    <w:p>
      <w:pPr>
        <w:pStyle w:val="Bibliography"/>
      </w:pPr>
      <w:r>
        <w:t xml:space="preserve">van Daal, T., M. Lesterhuis, L. Coertjens, MT. van de Kamp, V. Donche, and Sven de Maeyer. 2017.</w:t>
      </w:r>
      <w:r>
        <w:t xml:space="preserve"> </w:t>
      </w:r>
      <w:r>
        <w:t xml:space="preserve">“The Complexity of Assessing Student Work Using Comparative Judgment: The Moderating Role of Decision Accuracy.”</w:t>
      </w:r>
      <w:r>
        <w:t xml:space="preserve"> </w:t>
      </w:r>
      <w:r>
        <w:rPr>
          <w:i/>
          <w:iCs/>
        </w:rPr>
        <w:t xml:space="preserve">Frontiers in Education</w:t>
      </w:r>
      <w:r>
        <w:t xml:space="preserve"> </w:t>
      </w:r>
      <w:r>
        <w:t xml:space="preserve">2.</w:t>
      </w:r>
      <w:r>
        <w:t xml:space="preserve"> </w:t>
      </w:r>
      <w:hyperlink r:id="rId85">
        <w:r>
          <w:rPr>
            <w:rStyle w:val="Hyperlink"/>
          </w:rPr>
          <w:t xml:space="preserve">https://doi.org/10.3389/feduc.2017.00044</w:t>
        </w:r>
      </w:hyperlink>
      <w:r>
        <w:t xml:space="preserve">.</w:t>
      </w:r>
    </w:p>
    <w:bookmarkEnd w:id="86"/>
    <w:bookmarkStart w:id="88" w:name="ref-Verhavert_et_al_2019"/>
    <w:p>
      <w:pPr>
        <w:pStyle w:val="Bibliography"/>
      </w:pPr>
      <w:r>
        <w:t xml:space="preserve">Verhavert, S., R. Bouwer, V Donche, and S. De Maeyer. 2019.</w:t>
      </w:r>
      <w:r>
        <w:t xml:space="preserve"> </w:t>
      </w:r>
      <w:r>
        <w:t xml:space="preserve">“A Meta-Analysis on the Reliability of Comparative Judgement.”</w:t>
      </w:r>
      <w:r>
        <w:t xml:space="preserve"> </w:t>
      </w:r>
      <w:r>
        <w:rPr>
          <w:i/>
          <w:iCs/>
        </w:rPr>
        <w:t xml:space="preserve">Assessment in Education: Principles, Policy and Practice</w:t>
      </w:r>
      <w:r>
        <w:t xml:space="preserve"> </w:t>
      </w:r>
      <w:r>
        <w:t xml:space="preserve">26 (5): 541–62.</w:t>
      </w:r>
      <w:r>
        <w:t xml:space="preserve"> </w:t>
      </w:r>
      <w:hyperlink r:id="rId87">
        <w:r>
          <w:rPr>
            <w:rStyle w:val="Hyperlink"/>
          </w:rPr>
          <w:t xml:space="preserve">https://doi.org/10.1080/0969594X.2019.1602027</w:t>
        </w:r>
      </w:hyperlink>
      <w:r>
        <w:t xml:space="preserve">.</w:t>
      </w:r>
    </w:p>
    <w:bookmarkEnd w:id="88"/>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6" Target="" TargetMode="External" /><Relationship Type="http://schemas.openxmlformats.org/officeDocument/2006/relationships/hyperlink" Id="rId68" Target="\url{https://www.bradyneal.com/Introduction_to_Causal_Inference-Dec17_2020-Neal.pdf}" TargetMode="External" /><Relationship Type="http://schemas.openxmlformats.org/officeDocument/2006/relationships/hyperlink" Id="rId53" Target="http://dx.doi.org/10.2139/ssrn.3689437" TargetMode="External" /><Relationship Type="http://schemas.openxmlformats.org/officeDocument/2006/relationships/hyperlink" Id="rId49" Target="http://www.cambridgeassessment.org.uk/Images/232694-investigating-the-reliability-of-adaptive-comparative-judgment.pdf" TargetMode="External" /><Relationship Type="http://schemas.openxmlformats.org/officeDocument/2006/relationships/hyperlink" Id="rId43" Target="https://doi.org/10.1007/978-3-030-52229-2_18" TargetMode="External" /><Relationship Type="http://schemas.openxmlformats.org/officeDocument/2006/relationships/hyperlink" Id="rId74" Target="https://doi.org/10.1007/s10798-011-9189-x" TargetMode="External" /><Relationship Type="http://schemas.openxmlformats.org/officeDocument/2006/relationships/hyperlink" Id="rId64" Target="https://doi.org/10.1007/s40841-020-00163-3" TargetMode="External" /><Relationship Type="http://schemas.openxmlformats.org/officeDocument/2006/relationships/hyperlink" Id="rId80" Target="https://doi.org/10.1016/0022-2496(86)90034-9" TargetMode="External" /><Relationship Type="http://schemas.openxmlformats.org/officeDocument/2006/relationships/hyperlink" Id="rId45" Target="https://doi.org/10.1016/j.jcomdis.2019.105969" TargetMode="External" /><Relationship Type="http://schemas.openxmlformats.org/officeDocument/2006/relationships/hyperlink" Id="rId62" Target="https://doi.org/10.1037/h0043178" TargetMode="External" /><Relationship Type="http://schemas.openxmlformats.org/officeDocument/2006/relationships/hyperlink" Id="rId78" Target="https://doi.org/10.1037/h0070288" TargetMode="External" /><Relationship Type="http://schemas.openxmlformats.org/officeDocument/2006/relationships/hyperlink" Id="rId76" Target="https://doi.org/10.1080/0969594X.2012.665354" TargetMode="External" /><Relationship Type="http://schemas.openxmlformats.org/officeDocument/2006/relationships/hyperlink" Id="rId83" Target="https://doi.org/10.1080/0969594X.2016.1253542" TargetMode="External" /><Relationship Type="http://schemas.openxmlformats.org/officeDocument/2006/relationships/hyperlink" Id="rId51" Target="https://doi.org/10.1080/0969594X.2017.1418734" TargetMode="External" /><Relationship Type="http://schemas.openxmlformats.org/officeDocument/2006/relationships/hyperlink" Id="rId87" Target="https://doi.org/10.1080/0969594X.2019.1602027" TargetMode="External" /><Relationship Type="http://schemas.openxmlformats.org/officeDocument/2006/relationships/hyperlink" Id="rId41" Target="https://doi.org/10.1080/10627197.2018.1444986" TargetMode="External" /><Relationship Type="http://schemas.openxmlformats.org/officeDocument/2006/relationships/hyperlink" Id="rId47" Target="https://doi.org/10.2307/2334029" TargetMode="External" /><Relationship Type="http://schemas.openxmlformats.org/officeDocument/2006/relationships/hyperlink" Id="rId72" Target="https://doi.org/10.2307/2346567" TargetMode="External" /><Relationship Type="http://schemas.openxmlformats.org/officeDocument/2006/relationships/hyperlink" Id="rId39" Target="https://doi.org/10.2307/2347562" TargetMode="External" /><Relationship Type="http://schemas.openxmlformats.org/officeDocument/2006/relationships/hyperlink" Id="rId85" Target="https://doi.org/10.3389/feduc.2017.00044" TargetMode="External" /><Relationship Type="http://schemas.openxmlformats.org/officeDocument/2006/relationships/hyperlink" Id="rId57" Target="https://doi.org/10.3389/feduc.2020.582800" TargetMode="External" /><Relationship Type="http://schemas.openxmlformats.org/officeDocument/2006/relationships/hyperlink" Id="rId55" Target="https://doi.org/10.3389/feduc.2021.788202" TargetMode="External" /><Relationship Type="http://schemas.openxmlformats.org/officeDocument/2006/relationships/hyperlink" Id="rId25" Target="https://jriveraespejo.github.io/paper2_manuscript/index.qmd.html" TargetMode="External" /><Relationship Type="http://schemas.openxmlformats.org/officeDocument/2006/relationships/hyperlink" Id="rId59" Target="https://plato.stanford.edu/archives/spr2023/entries/causal-models/" TargetMode="External" /></Relationships>
</file>

<file path=word/_rels/footnotes.xml.rels><?xml version="1.0" encoding="UTF-8"?><Relationships xmlns="http://schemas.openxmlformats.org/package/2006/relationships"><Relationship Type="http://schemas.openxmlformats.org/officeDocument/2006/relationships/hyperlink" Id="rId66" Target="" TargetMode="External" /><Relationship Type="http://schemas.openxmlformats.org/officeDocument/2006/relationships/hyperlink" Id="rId68" Target="\url{https://www.bradyneal.com/Introduction_to_Causal_Inference-Dec17_2020-Neal.pdf}" TargetMode="External" /><Relationship Type="http://schemas.openxmlformats.org/officeDocument/2006/relationships/hyperlink" Id="rId53" Target="http://dx.doi.org/10.2139/ssrn.3689437" TargetMode="External" /><Relationship Type="http://schemas.openxmlformats.org/officeDocument/2006/relationships/hyperlink" Id="rId49" Target="http://www.cambridgeassessment.org.uk/Images/232694-investigating-the-reliability-of-adaptive-comparative-judgment.pdf" TargetMode="External" /><Relationship Type="http://schemas.openxmlformats.org/officeDocument/2006/relationships/hyperlink" Id="rId43" Target="https://doi.org/10.1007/978-3-030-52229-2_18" TargetMode="External" /><Relationship Type="http://schemas.openxmlformats.org/officeDocument/2006/relationships/hyperlink" Id="rId74" Target="https://doi.org/10.1007/s10798-011-9189-x" TargetMode="External" /><Relationship Type="http://schemas.openxmlformats.org/officeDocument/2006/relationships/hyperlink" Id="rId64" Target="https://doi.org/10.1007/s40841-020-00163-3" TargetMode="External" /><Relationship Type="http://schemas.openxmlformats.org/officeDocument/2006/relationships/hyperlink" Id="rId80" Target="https://doi.org/10.1016/0022-2496(86)90034-9" TargetMode="External" /><Relationship Type="http://schemas.openxmlformats.org/officeDocument/2006/relationships/hyperlink" Id="rId45" Target="https://doi.org/10.1016/j.jcomdis.2019.105969" TargetMode="External" /><Relationship Type="http://schemas.openxmlformats.org/officeDocument/2006/relationships/hyperlink" Id="rId62" Target="https://doi.org/10.1037/h0043178" TargetMode="External" /><Relationship Type="http://schemas.openxmlformats.org/officeDocument/2006/relationships/hyperlink" Id="rId78" Target="https://doi.org/10.1037/h0070288" TargetMode="External" /><Relationship Type="http://schemas.openxmlformats.org/officeDocument/2006/relationships/hyperlink" Id="rId76" Target="https://doi.org/10.1080/0969594X.2012.665354" TargetMode="External" /><Relationship Type="http://schemas.openxmlformats.org/officeDocument/2006/relationships/hyperlink" Id="rId83" Target="https://doi.org/10.1080/0969594X.2016.1253542" TargetMode="External" /><Relationship Type="http://schemas.openxmlformats.org/officeDocument/2006/relationships/hyperlink" Id="rId51" Target="https://doi.org/10.1080/0969594X.2017.1418734" TargetMode="External" /><Relationship Type="http://schemas.openxmlformats.org/officeDocument/2006/relationships/hyperlink" Id="rId87" Target="https://doi.org/10.1080/0969594X.2019.1602027" TargetMode="External" /><Relationship Type="http://schemas.openxmlformats.org/officeDocument/2006/relationships/hyperlink" Id="rId41" Target="https://doi.org/10.1080/10627197.2018.1444986" TargetMode="External" /><Relationship Type="http://schemas.openxmlformats.org/officeDocument/2006/relationships/hyperlink" Id="rId47" Target="https://doi.org/10.2307/2334029" TargetMode="External" /><Relationship Type="http://schemas.openxmlformats.org/officeDocument/2006/relationships/hyperlink" Id="rId72" Target="https://doi.org/10.2307/2346567" TargetMode="External" /><Relationship Type="http://schemas.openxmlformats.org/officeDocument/2006/relationships/hyperlink" Id="rId39" Target="https://doi.org/10.2307/2347562" TargetMode="External" /><Relationship Type="http://schemas.openxmlformats.org/officeDocument/2006/relationships/hyperlink" Id="rId85" Target="https://doi.org/10.3389/feduc.2017.00044" TargetMode="External" /><Relationship Type="http://schemas.openxmlformats.org/officeDocument/2006/relationships/hyperlink" Id="rId57" Target="https://doi.org/10.3389/feduc.2020.582800" TargetMode="External" /><Relationship Type="http://schemas.openxmlformats.org/officeDocument/2006/relationships/hyperlink" Id="rId55" Target="https://doi.org/10.3389/feduc.2021.788202" TargetMode="External" /><Relationship Type="http://schemas.openxmlformats.org/officeDocument/2006/relationships/hyperlink" Id="rId25" Target="https://jriveraespejo.github.io/paper2_manuscript/index.qmd.html" TargetMode="External" /><Relationship Type="http://schemas.openxmlformats.org/officeDocument/2006/relationships/hyperlink" Id="rId59" Target="https://plato.stanford.edu/archives/spr2023/entries/caus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interplay of assessment factors in Dichotomous Comparative Judgments</dc:title>
  <dc:creator>Jose Manuel Rivera Espejo; Sven de Maeyer; Steven Gillis</dc:creator>
  <cp:keywords>power analysis, comparative judgment, bayesian analysis, simulation</cp:keywords>
  <dcterms:created xsi:type="dcterms:W3CDTF">2024-03-20T18:00:16Z</dcterms:created>
  <dcterms:modified xsi:type="dcterms:W3CDTF">2024-03-20T18:00:16Z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2024-03-20</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quarto installage-summary">
    <vt:lpwstr>(to do)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A Bayesian simulation-based power analysis exploring their impacts on the method’s reliability</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