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2024-03-14</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(Thurstone 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resulting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have been successfully employed to assess competences and traits primarily within education,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Daal et al. (2019)</w:t>
      </w:r>
      <w:r>
        <w:t xml:space="preserve"> </w:t>
      </w:r>
      <w:r>
        <w:t xml:space="preserve">Lesterhuis (2018)</w:t>
      </w:r>
      <w:r>
        <w:t xml:space="preserve">, and</w:t>
      </w:r>
      <w:r>
        <w:t xml:space="preserve"> </w:t>
      </w:r>
      <w:r>
        <w:t xml:space="preserve">Bartholomew and Williams (2020)</w:t>
      </w:r>
      <w:r>
        <w:t xml:space="preserve">; however, applications to other fields can be also be found</w:t>
      </w:r>
      <w:r>
        <w:t xml:space="preserve"> </w:t>
      </w:r>
      <w:r>
        <w:t xml:space="preserve">(Boonen, Kloots, and Gillis 2020)</w:t>
      </w:r>
      <w:r>
        <w:t xml:space="preserve">. Moreover, the methodology has been extended to contemplate multiple, as opposed to pairwise comparisons</w:t>
      </w:r>
      <w:r>
        <w:t xml:space="preserve"> </w:t>
      </w:r>
      <w:r>
        <w:t xml:space="preserve">(Luce 1959; Plackett 1975)</w:t>
      </w:r>
      <w:r>
        <w:t xml:space="preserve"> </w:t>
      </w:r>
      <w:r>
        <w:t xml:space="preserve">and comparisons with ordinal outcomes</w:t>
      </w:r>
      <w:r>
        <w:t xml:space="preserve"> </w:t>
      </w:r>
      <w:r>
        <w:t xml:space="preserve">(Tutz 1986; Agresti 1992)</w:t>
      </w:r>
      <w:r>
        <w:t xml:space="preserve">. In summary, the body of research suggests that DCJ offers an alternative and efficient approach to measurement and evaluation that is reliable and valid</w:t>
      </w:r>
      <w:r>
        <w:t xml:space="preserve"> </w:t>
      </w:r>
      <w:r>
        <w:t xml:space="preserve">(Lesterhuis 2018; van Daal 2020)</w:t>
      </w:r>
      <w:r>
        <w:t xml:space="preserve">; however, only a few set of investigations have been devoted to explore which assessment characteristics are behind its resounding success.</w:t>
      </w:r>
    </w:p>
    <w:bookmarkEnd w:id="20"/>
    <w:bookmarkStart w:id="21" w:name="sec-ResearchQuestions"/>
    <w:p>
      <w:pPr>
        <w:pStyle w:val="Heading2"/>
      </w:pPr>
      <w:r>
        <w:t xml:space="preserve">2 Research questions</w:t>
      </w:r>
    </w:p>
    <w:bookmarkEnd w:id="21"/>
    <w:bookmarkStart w:id="27" w:name="sec-methods"/>
    <w:p>
      <w:pPr>
        <w:pStyle w:val="Heading2"/>
      </w:pPr>
      <w:r>
        <w:t xml:space="preserve">3 Methods</w:t>
      </w:r>
    </w:p>
    <w:bookmarkStart w:id="22" w:name="sec-TF"/>
    <w:p>
      <w:pPr>
        <w:pStyle w:val="Heading3"/>
      </w:pPr>
      <w:r>
        <w:t xml:space="preserve">3.1 Theoretical framework</w:t>
      </w:r>
    </w:p>
    <w:bookmarkEnd w:id="22"/>
    <w:bookmarkStart w:id="23" w:name="sec-SM"/>
    <w:p>
      <w:pPr>
        <w:pStyle w:val="Heading3"/>
      </w:pPr>
      <w:r>
        <w:t xml:space="preserve">3.2 Statistical model</w:t>
      </w:r>
    </w:p>
    <w:bookmarkEnd w:id="23"/>
    <w:bookmarkStart w:id="26" w:name="power-analysis"/>
    <w:p>
      <w:pPr>
        <w:pStyle w:val="Heading3"/>
      </w:pPr>
      <w:r>
        <w:t xml:space="preserve">3.3 Power analysis</w:t>
      </w:r>
    </w:p>
    <w:bookmarkStart w:id="24" w:name="sec-FI"/>
    <w:p>
      <w:pPr>
        <w:pStyle w:val="Heading4"/>
      </w:pPr>
      <w:r>
        <w:t xml:space="preserve">3.3.1 Factors of interest</w:t>
      </w:r>
    </w:p>
    <w:bookmarkEnd w:id="24"/>
    <w:bookmarkStart w:id="25" w:name="sec-D"/>
    <w:p>
      <w:pPr>
        <w:pStyle w:val="Heading4"/>
      </w:pPr>
      <w:r>
        <w:t xml:space="preserve">3.3.2 Data</w:t>
      </w:r>
    </w:p>
    <w:bookmarkEnd w:id="25"/>
    <w:bookmarkEnd w:id="26"/>
    <w:bookmarkEnd w:id="27"/>
    <w:bookmarkStart w:id="31" w:name="sec-results"/>
    <w:p>
      <w:pPr>
        <w:pStyle w:val="Heading2"/>
      </w:pPr>
      <w:r>
        <w:t xml:space="preserve">4 Results</w:t>
      </w:r>
    </w:p>
    <w:bookmarkStart w:id="28" w:name="sec-RQ1"/>
    <w:p>
      <w:pPr>
        <w:pStyle w:val="Heading3"/>
      </w:pPr>
      <w:r>
        <w:t xml:space="preserve">4.1 Research question 1</w:t>
      </w:r>
    </w:p>
    <w:bookmarkEnd w:id="28"/>
    <w:bookmarkStart w:id="29" w:name="sec-RQ2"/>
    <w:p>
      <w:pPr>
        <w:pStyle w:val="Heading3"/>
      </w:pPr>
      <w:r>
        <w:t xml:space="preserve">4.2 Research question 2</w:t>
      </w:r>
    </w:p>
    <w:bookmarkEnd w:id="29"/>
    <w:bookmarkStart w:id="30" w:name="sec-RQ3"/>
    <w:p>
      <w:pPr>
        <w:pStyle w:val="Heading3"/>
      </w:pPr>
      <w:r>
        <w:t xml:space="preserve">4.3 Research question 3</w:t>
      </w:r>
    </w:p>
    <w:bookmarkEnd w:id="30"/>
    <w:bookmarkEnd w:id="31"/>
    <w:bookmarkStart w:id="33" w:name="sec-discussion"/>
    <w:p>
      <w:pPr>
        <w:pStyle w:val="Heading2"/>
      </w:pPr>
      <w:r>
        <w:t xml:space="preserve">5 Discussion</w:t>
      </w:r>
    </w:p>
    <w:bookmarkStart w:id="32" w:name="sec-LFR"/>
    <w:p>
      <w:pPr>
        <w:pStyle w:val="Heading3"/>
      </w:pPr>
      <w:r>
        <w:t xml:space="preserve">5.1 Limitations and further research</w:t>
      </w:r>
    </w:p>
    <w:bookmarkEnd w:id="32"/>
    <w:bookmarkEnd w:id="33"/>
    <w:bookmarkStart w:id="34" w:name="sec-conclusion"/>
    <w:p>
      <w:pPr>
        <w:pStyle w:val="Heading2"/>
      </w:pPr>
      <w:r>
        <w:t xml:space="preserve">6 Conclusion</w:t>
      </w:r>
    </w:p>
    <w:bookmarkEnd w:id="34"/>
    <w:bookmarkStart w:id="62" w:name="references"/>
    <w:p>
      <w:pPr>
        <w:pStyle w:val="Heading2"/>
      </w:pPr>
      <w:r>
        <w:t xml:space="preserve">References</w:t>
      </w:r>
    </w:p>
    <w:bookmarkStart w:id="61" w:name="refs"/>
    <w:bookmarkStart w:id="36"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5">
        <w:r>
          <w:rPr>
            <w:rStyle w:val="Hyperlink"/>
          </w:rPr>
          <w:t xml:space="preserve">https://doi.org/10.2307/2347562</w:t>
        </w:r>
      </w:hyperlink>
      <w:r>
        <w:t xml:space="preserve">.</w:t>
      </w:r>
    </w:p>
    <w:bookmarkEnd w:id="36"/>
    <w:bookmarkStart w:id="38"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7">
        <w:r>
          <w:rPr>
            <w:rStyle w:val="Hyperlink"/>
          </w:rPr>
          <w:t xml:space="preserve">https://doi.org/10.1080/10627197.2018.1444986</w:t>
        </w:r>
      </w:hyperlink>
      <w:r>
        <w:t xml:space="preserve">.</w:t>
      </w:r>
    </w:p>
    <w:bookmarkEnd w:id="38"/>
    <w:bookmarkStart w:id="40"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9">
        <w:r>
          <w:rPr>
            <w:rStyle w:val="Hyperlink"/>
          </w:rPr>
          <w:t xml:space="preserve">https://doi.org/10.1007/978-3-030-52229-2_18</w:t>
        </w:r>
      </w:hyperlink>
      <w:r>
        <w:t xml:space="preserve">.</w:t>
      </w:r>
    </w:p>
    <w:bookmarkEnd w:id="40"/>
    <w:bookmarkStart w:id="42"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1">
        <w:r>
          <w:rPr>
            <w:rStyle w:val="Hyperlink"/>
          </w:rPr>
          <w:t xml:space="preserve">https://doi.org/10.1016/j.jcomdis.2019.105969</w:t>
        </w:r>
      </w:hyperlink>
      <w:r>
        <w:t xml:space="preserve">.</w:t>
      </w:r>
    </w:p>
    <w:bookmarkEnd w:id="42"/>
    <w:bookmarkStart w:id="44"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3">
        <w:r>
          <w:rPr>
            <w:rStyle w:val="Hyperlink"/>
          </w:rPr>
          <w:t xml:space="preserve">https://doi.org/10.2307/2334029</w:t>
        </w:r>
      </w:hyperlink>
      <w:r>
        <w:t xml:space="preserve">.</w:t>
      </w:r>
    </w:p>
    <w:bookmarkEnd w:id="44"/>
    <w:bookmarkStart w:id="46" w:name="ref-van_Daal_et_al_2016"/>
    <w:p>
      <w:pPr>
        <w:pStyle w:val="Bibliography"/>
      </w:pPr>
      <w:r>
        <w:t xml:space="preserve">Daal, T. van,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45">
        <w:r>
          <w:rPr>
            <w:rStyle w:val="Hyperlink"/>
          </w:rPr>
          <w:t xml:space="preserve">https://doi.org/10.1080/0969594X.2016.1253542</w:t>
        </w:r>
      </w:hyperlink>
      <w:r>
        <w:t xml:space="preserve">.</w:t>
      </w:r>
    </w:p>
    <w:bookmarkEnd w:id="46"/>
    <w:bookmarkStart w:id="47"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47"/>
    <w:bookmarkStart w:id="49"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48">
        <w:r>
          <w:rPr>
            <w:rStyle w:val="Hyperlink"/>
          </w:rPr>
          <w:t xml:space="preserve">https://doi.org/10.1037/h0043178</w:t>
        </w:r>
      </w:hyperlink>
      <w:r>
        <w:t xml:space="preserve">.</w:t>
      </w:r>
    </w:p>
    <w:bookmarkEnd w:id="49"/>
    <w:bookmarkStart w:id="51"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50">
        <w:r>
          <w:rPr>
            <w:rStyle w:val="Hyperlink"/>
          </w:rPr>
          <w:t xml:space="preserve">https://doi.org/10.2307/2346567</w:t>
        </w:r>
      </w:hyperlink>
      <w:r>
        <w:t xml:space="preserve">.</w:t>
      </w:r>
    </w:p>
    <w:bookmarkEnd w:id="51"/>
    <w:bookmarkStart w:id="53"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52">
        <w:r>
          <w:rPr>
            <w:rStyle w:val="Hyperlink"/>
          </w:rPr>
          <w:t xml:space="preserve">https://doi.org/10.1007/s10798-011-9189-x</w:t>
        </w:r>
      </w:hyperlink>
      <w:r>
        <w:t xml:space="preserve">.</w:t>
      </w:r>
    </w:p>
    <w:bookmarkEnd w:id="53"/>
    <w:bookmarkStart w:id="55"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54">
        <w:r>
          <w:rPr>
            <w:rStyle w:val="Hyperlink"/>
          </w:rPr>
          <w:t xml:space="preserve">https://doi.org/10.1080/0969594X.2012.665354</w:t>
        </w:r>
      </w:hyperlink>
      <w:r>
        <w:t xml:space="preserve">.</w:t>
      </w:r>
    </w:p>
    <w:bookmarkEnd w:id="55"/>
    <w:bookmarkStart w:id="57"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56">
        <w:r>
          <w:rPr>
            <w:rStyle w:val="Hyperlink"/>
          </w:rPr>
          <w:t xml:space="preserve">https://doi.org/10.1037/h0070288</w:t>
        </w:r>
      </w:hyperlink>
      <w:r>
        <w:t xml:space="preserve">.</w:t>
      </w:r>
    </w:p>
    <w:bookmarkEnd w:id="57"/>
    <w:bookmarkStart w:id="59"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58">
        <w:r>
          <w:rPr>
            <w:rStyle w:val="Hyperlink"/>
          </w:rPr>
          <w:t xml:space="preserve">https://doi.org/10.1016/0022-2496(86)90034-9</w:t>
        </w:r>
      </w:hyperlink>
      <w:r>
        <w:t xml:space="preserve">.</w:t>
      </w:r>
    </w:p>
    <w:bookmarkEnd w:id="59"/>
    <w:bookmarkStart w:id="60"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doi.org/10.1007/978-3-030-52229-2_18" TargetMode="External" /><Relationship Type="http://schemas.openxmlformats.org/officeDocument/2006/relationships/hyperlink" Id="rId52" Target="https://doi.org/10.1007/s10798-011-9189-x" TargetMode="External" /><Relationship Type="http://schemas.openxmlformats.org/officeDocument/2006/relationships/hyperlink" Id="rId58"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6" Target="https://doi.org/10.1037/h0070288" TargetMode="External" /><Relationship Type="http://schemas.openxmlformats.org/officeDocument/2006/relationships/hyperlink" Id="rId54"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0" Target="https://doi.org/10.2307/2346567" TargetMode="External" /><Relationship Type="http://schemas.openxmlformats.org/officeDocument/2006/relationships/hyperlink" Id="rId35" Target="https://doi.org/10.2307/234756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978-3-030-52229-2_18" TargetMode="External" /><Relationship Type="http://schemas.openxmlformats.org/officeDocument/2006/relationships/hyperlink" Id="rId52" Target="https://doi.org/10.1007/s10798-011-9189-x" TargetMode="External" /><Relationship Type="http://schemas.openxmlformats.org/officeDocument/2006/relationships/hyperlink" Id="rId58"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6" Target="https://doi.org/10.1037/h0070288" TargetMode="External" /><Relationship Type="http://schemas.openxmlformats.org/officeDocument/2006/relationships/hyperlink" Id="rId54"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0" Target="https://doi.org/10.2307/2346567" TargetMode="External" /><Relationship Type="http://schemas.openxmlformats.org/officeDocument/2006/relationships/hyperlink" Id="rId35" Target="https://doi.org/10.2307/23475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2024-03-14T14:25:14Z</dcterms:created>
  <dcterms:modified xsi:type="dcterms:W3CDTF">2024-03-14T14:25:14Z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