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w:t>
      </w:r>
      <w:r>
        <w:t xml:space="preserve"> </w:t>
      </w:r>
      <w:r>
        <w:t xml:space="preserve">analysis</w:t>
      </w:r>
      <w:r>
        <w:t xml:space="preserve"> </w:t>
      </w:r>
      <w:r>
        <w:t xml:space="preserve">for</w:t>
      </w:r>
      <w:r>
        <w:t xml:space="preserve"> </w:t>
      </w:r>
      <w:r>
        <w:t xml:space="preserve">Dichotomous</w:t>
      </w:r>
      <w:r>
        <w:t xml:space="preserve"> </w:t>
      </w:r>
      <w:r>
        <w:t xml:space="preserve">Comparative</w:t>
      </w:r>
      <w:r>
        <w:t xml:space="preserve"> </w:t>
      </w:r>
      <w:r>
        <w:t xml:space="preserve">Judgment</w:t>
      </w:r>
      <w:r>
        <w:t xml:space="preserve"> </w:t>
      </w:r>
      <w:r>
        <w:t xml:space="preserve">experiments</w:t>
      </w:r>
      <w:r>
        <w:t xml:space="preserve"> </w:t>
      </w:r>
      <w:r>
        <w:t xml:space="preserve">(DCJ)</w:t>
      </w:r>
    </w:p>
    <w:p>
      <w:pPr>
        <w:pStyle w:val="Subtitle"/>
      </w:pPr>
      <w:r>
        <w:t xml:space="preserve">A</w:t>
      </w:r>
      <w:r>
        <w:t xml:space="preserve"> </w:t>
      </w:r>
      <w:r>
        <w:t xml:space="preserve">Bayesian</w:t>
      </w:r>
      <w:r>
        <w:t xml:space="preserve"> </w:t>
      </w:r>
      <w:r>
        <w:t xml:space="preserve">simulation-based</w:t>
      </w:r>
      <w:r>
        <w:t xml:space="preserve"> </w:t>
      </w:r>
      <w:r>
        <w:t xml:space="preserve">study</w:t>
      </w:r>
      <w:r>
        <w:t xml:space="preserve"> </w:t>
      </w:r>
      <w:r>
        <w:t xml:space="preserve">exploring</w:t>
      </w:r>
      <w:r>
        <w:t xml:space="preserve"> </w:t>
      </w:r>
      <w:r>
        <w:t xml:space="preserve">the</w:t>
      </w:r>
      <w:r>
        <w:t xml:space="preserve"> </w:t>
      </w:r>
      <w:r>
        <w:t xml:space="preserve">factors</w:t>
      </w:r>
      <w:r>
        <w:t xml:space="preserve"> </w:t>
      </w:r>
      <w:r>
        <w:t xml:space="preserve">that</w:t>
      </w:r>
      <w:r>
        <w:t xml:space="preserve"> </w:t>
      </w:r>
      <w:r>
        <w:t xml:space="preserve">impact</w:t>
      </w:r>
      <w:r>
        <w:t xml:space="preserve"> </w:t>
      </w:r>
      <w:r>
        <w:t xml:space="preserve">DCJ</w:t>
      </w:r>
    </w:p>
    <w:p>
      <w:pPr>
        <w:pStyle w:val="Author"/>
      </w:pPr>
      <w:r>
        <w:t xml:space="preserve">Jose</w:t>
      </w:r>
      <w:r>
        <w:t xml:space="preserve"> </w:t>
      </w:r>
      <w:r>
        <w:t xml:space="preserve">Manuel</w:t>
      </w:r>
      <w:r>
        <w:t xml:space="preserve"> </w:t>
      </w:r>
      <w:r>
        <w:t xml:space="preserve">Rivera</w:t>
      </w:r>
      <w:r>
        <w:t xml:space="preserve"> </w:t>
      </w:r>
      <w:r>
        <w:t xml:space="preserve">Espejo</w:t>
      </w:r>
    </w:p>
    <w:p>
      <w:pPr>
        <w:pStyle w:val="Author"/>
      </w:pPr>
      <w:r>
        <w:t xml:space="preserve">Sven</w:t>
      </w:r>
      <w:r>
        <w:t xml:space="preserve"> </w:t>
      </w:r>
      <w:r>
        <w:t xml:space="preserve">de</w:t>
      </w:r>
      <w:r>
        <w:t xml:space="preserve"> </w:t>
      </w:r>
      <w:r>
        <w:t xml:space="preserve">Maeyer</w:t>
      </w:r>
    </w:p>
    <w:p>
      <w:pPr>
        <w:pStyle w:val="Author"/>
      </w:pPr>
      <w:r>
        <w:t xml:space="preserve">Steven</w:t>
      </w:r>
      <w:r>
        <w:t xml:space="preserve"> </w:t>
      </w:r>
      <w:r>
        <w:t xml:space="preserve">Gillis</w:t>
      </w:r>
    </w:p>
    <w:p>
      <w:pPr>
        <w:pStyle w:val="Date"/>
      </w:pPr>
      <w:r>
        <w:t xml:space="preserve">2024-03-14</w:t>
      </w:r>
    </w:p>
    <w:p>
      <w:pPr>
        <w:pStyle w:val="AbstractTitle"/>
      </w:pPr>
      <w:r>
        <w:t xml:space="preserve">Abstract</w:t>
      </w:r>
    </w:p>
    <w:p>
      <w:pPr>
        <w:pStyle w:val="Abstract"/>
      </w:pPr>
      <w:r>
        <w:t xml:space="preserve">(to</w:t>
      </w:r>
      <w:r>
        <w:t xml:space="preserve"> </w:t>
      </w:r>
      <w:r>
        <w:t xml:space="preserve">do)</w:t>
      </w:r>
      <w:r>
        <w:t xml:space="preserve"> </w:t>
      </w:r>
      <w:r>
        <w:t xml:space="preserve">…</w:t>
      </w:r>
    </w:p>
    <w:bookmarkStart w:id="20" w:name="sec-introduction"/>
    <w:p>
      <w:pPr>
        <w:pStyle w:val="Heading2"/>
      </w:pPr>
      <w:r>
        <w:t xml:space="preserve">1 Introduction</w:t>
      </w:r>
    </w:p>
    <w:p>
      <w:pPr>
        <w:pStyle w:val="FirstParagraph"/>
      </w:pPr>
      <w:r>
        <w:t xml:space="preserve">In contemporary contexts, Thurstone’s law of comparative judgment</w:t>
      </w:r>
      <w:r>
        <w:t xml:space="preserve"> </w:t>
      </w:r>
      <w:r>
        <w:t xml:space="preserve">(Thurstone 1927)</w:t>
      </w:r>
      <w:r>
        <w:t xml:space="preserve"> </w:t>
      </w:r>
      <w:r>
        <w:t xml:space="preserve">primarily refers to the method of</w:t>
      </w:r>
      <w:r>
        <w:t xml:space="preserve"> </w:t>
      </w:r>
      <w:r>
        <w:rPr>
          <w:i/>
          <w:iCs/>
        </w:rPr>
        <w:t xml:space="preserve">Dichotomous</w:t>
      </w:r>
      <w:r>
        <w:t xml:space="preserve"> </w:t>
      </w:r>
      <w:r>
        <w:t xml:space="preserve">Comparative Judgment (DCJ). Within DCJ, a judge assesses the relative manifestation of a trait within a pair of stimuli, resulting in a dichotomous value indicating which stimulus appears to possess a higher degree of the trait</w:t>
      </w:r>
      <w:r>
        <w:t xml:space="preserve"> </w:t>
      </w:r>
      <w:r>
        <w:t xml:space="preserve">(Pollitt 2012a, 2012b)</w:t>
      </w:r>
      <w:r>
        <w:t xml:space="preserve">. Following multiple rounds of pairwise comparisons made by different judges, an outcome vector is produced. Typically, this vector is modeled using the Bradley-Terry-Luce model</w:t>
      </w:r>
      <w:r>
        <w:t xml:space="preserve"> </w:t>
      </w:r>
      <w:r>
        <w:t xml:space="preserve">(BTL, Bradley and Terry 1952; Luce 1959; Pollitt 2012a)</w:t>
      </w:r>
      <w:r>
        <w:t xml:space="preserve">. The set of latent variables produced by the model can then be utilized, for example, to rank the stimuli from lowest to highest, or to assess the impact of certain characteristics of the stimuli on their position in the ranking.</w:t>
      </w:r>
    </w:p>
    <w:p>
      <w:pPr>
        <w:pStyle w:val="BodyText"/>
      </w:pPr>
      <w:r>
        <w:t xml:space="preserve">DCJ have been successfully employed to assess competences and traits primarily within education, as demonstrated by the works of</w:t>
      </w:r>
      <w:r>
        <w:t xml:space="preserve"> </w:t>
      </w:r>
      <w:r>
        <w:t xml:space="preserve">Pollitt (2012b)</w:t>
      </w:r>
      <w:r>
        <w:t xml:space="preserve">,</w:t>
      </w:r>
      <w:r>
        <w:t xml:space="preserve"> </w:t>
      </w:r>
      <w:r>
        <w:t xml:space="preserve">Bartholomew et al. (2018)</w:t>
      </w:r>
      <w:r>
        <w:t xml:space="preserve">,</w:t>
      </w:r>
      <w:r>
        <w:t xml:space="preserve"> </w:t>
      </w:r>
      <w:r>
        <w:t xml:space="preserve">Daal et al. (2019)</w:t>
      </w:r>
      <w:r>
        <w:t xml:space="preserve"> </w:t>
      </w:r>
      <w:r>
        <w:t xml:space="preserve">Lesterhuis (2018)</w:t>
      </w:r>
      <w:r>
        <w:t xml:space="preserve">, and</w:t>
      </w:r>
      <w:r>
        <w:t xml:space="preserve"> </w:t>
      </w:r>
      <w:r>
        <w:t xml:space="preserve">Bartholomew and Williams (2020)</w:t>
      </w:r>
      <w:r>
        <w:t xml:space="preserve">; however, applications to other fields can be also be found</w:t>
      </w:r>
      <w:r>
        <w:t xml:space="preserve"> </w:t>
      </w:r>
      <w:r>
        <w:t xml:space="preserve">(Boonen, Kloots, and Gillis 2020)</w:t>
      </w:r>
      <w:r>
        <w:t xml:space="preserve">. Moreover, the methodology has been extended to contemplate multiple, as opposed to pairwise comparisons</w:t>
      </w:r>
      <w:r>
        <w:t xml:space="preserve"> </w:t>
      </w:r>
      <w:r>
        <w:t xml:space="preserve">(Luce 1959; Plackett 1975)</w:t>
      </w:r>
      <w:r>
        <w:t xml:space="preserve"> </w:t>
      </w:r>
      <w:r>
        <w:t xml:space="preserve">and comparisons with ordinal outcomes</w:t>
      </w:r>
      <w:r>
        <w:t xml:space="preserve"> </w:t>
      </w:r>
      <w:r>
        <w:t xml:space="preserve">(Tutz 1986; Agresti 1992)</w:t>
      </w:r>
      <w:r>
        <w:t xml:space="preserve">. In summary, the body of research suggests that DCJ offers an alternative and efficient approach to measurement and evaluation that is reliable and valid</w:t>
      </w:r>
      <w:r>
        <w:t xml:space="preserve"> </w:t>
      </w:r>
      <w:r>
        <w:t xml:space="preserve">(Lesterhuis 2018; van Daal 2020)</w:t>
      </w:r>
      <w:r>
        <w:t xml:space="preserve">; however, only few lines have been devoted to explore which assessment characteristics are behind its resounding success.</w:t>
      </w:r>
    </w:p>
    <w:bookmarkEnd w:id="20"/>
    <w:bookmarkStart w:id="21" w:name="sec-ResearchQuestions"/>
    <w:p>
      <w:pPr>
        <w:pStyle w:val="Heading2"/>
      </w:pPr>
      <w:r>
        <w:t xml:space="preserve">2 Research questions</w:t>
      </w:r>
    </w:p>
    <w:bookmarkEnd w:id="21"/>
    <w:bookmarkStart w:id="27" w:name="sec-methods"/>
    <w:p>
      <w:pPr>
        <w:pStyle w:val="Heading2"/>
      </w:pPr>
      <w:r>
        <w:t xml:space="preserve">3 Methods</w:t>
      </w:r>
    </w:p>
    <w:bookmarkStart w:id="22" w:name="sec-TF"/>
    <w:p>
      <w:pPr>
        <w:pStyle w:val="Heading3"/>
      </w:pPr>
      <w:r>
        <w:t xml:space="preserve">3.1 Theoretical framework</w:t>
      </w:r>
    </w:p>
    <w:bookmarkEnd w:id="22"/>
    <w:bookmarkStart w:id="23" w:name="sec-SM"/>
    <w:p>
      <w:pPr>
        <w:pStyle w:val="Heading3"/>
      </w:pPr>
      <w:r>
        <w:t xml:space="preserve">3.2 Statistical model</w:t>
      </w:r>
    </w:p>
    <w:bookmarkEnd w:id="23"/>
    <w:bookmarkStart w:id="26" w:name="power-analysis"/>
    <w:p>
      <w:pPr>
        <w:pStyle w:val="Heading3"/>
      </w:pPr>
      <w:r>
        <w:t xml:space="preserve">3.3 Power analysis</w:t>
      </w:r>
    </w:p>
    <w:bookmarkStart w:id="24" w:name="sec-FI"/>
    <w:p>
      <w:pPr>
        <w:pStyle w:val="Heading4"/>
      </w:pPr>
      <w:r>
        <w:t xml:space="preserve">3.3.1 Factors of interest</w:t>
      </w:r>
    </w:p>
    <w:bookmarkEnd w:id="24"/>
    <w:bookmarkStart w:id="25" w:name="sec-D"/>
    <w:p>
      <w:pPr>
        <w:pStyle w:val="Heading4"/>
      </w:pPr>
      <w:r>
        <w:t xml:space="preserve">3.3.2 Data</w:t>
      </w:r>
    </w:p>
    <w:bookmarkEnd w:id="25"/>
    <w:bookmarkEnd w:id="26"/>
    <w:bookmarkEnd w:id="27"/>
    <w:bookmarkStart w:id="31" w:name="sec-results"/>
    <w:p>
      <w:pPr>
        <w:pStyle w:val="Heading2"/>
      </w:pPr>
      <w:r>
        <w:t xml:space="preserve">4 Results</w:t>
      </w:r>
    </w:p>
    <w:bookmarkStart w:id="28" w:name="sec-RQ1"/>
    <w:p>
      <w:pPr>
        <w:pStyle w:val="Heading3"/>
      </w:pPr>
      <w:r>
        <w:t xml:space="preserve">4.1 Research question 1</w:t>
      </w:r>
    </w:p>
    <w:bookmarkEnd w:id="28"/>
    <w:bookmarkStart w:id="29" w:name="sec-RQ2"/>
    <w:p>
      <w:pPr>
        <w:pStyle w:val="Heading3"/>
      </w:pPr>
      <w:r>
        <w:t xml:space="preserve">4.2 Research question 2</w:t>
      </w:r>
    </w:p>
    <w:bookmarkEnd w:id="29"/>
    <w:bookmarkStart w:id="30" w:name="sec-RQ3"/>
    <w:p>
      <w:pPr>
        <w:pStyle w:val="Heading3"/>
      </w:pPr>
      <w:r>
        <w:t xml:space="preserve">4.3 Research question 3</w:t>
      </w:r>
    </w:p>
    <w:bookmarkEnd w:id="30"/>
    <w:bookmarkEnd w:id="31"/>
    <w:bookmarkStart w:id="33" w:name="sec-discussion"/>
    <w:p>
      <w:pPr>
        <w:pStyle w:val="Heading2"/>
      </w:pPr>
      <w:r>
        <w:t xml:space="preserve">5 Discussion</w:t>
      </w:r>
    </w:p>
    <w:bookmarkStart w:id="32" w:name="sec-LFR"/>
    <w:p>
      <w:pPr>
        <w:pStyle w:val="Heading3"/>
      </w:pPr>
      <w:r>
        <w:t xml:space="preserve">5.1 Limitations and further research</w:t>
      </w:r>
    </w:p>
    <w:bookmarkEnd w:id="32"/>
    <w:bookmarkEnd w:id="33"/>
    <w:bookmarkStart w:id="34" w:name="sec-conclusion"/>
    <w:p>
      <w:pPr>
        <w:pStyle w:val="Heading2"/>
      </w:pPr>
      <w:r>
        <w:t xml:space="preserve">6 Conclusion</w:t>
      </w:r>
    </w:p>
    <w:bookmarkEnd w:id="34"/>
    <w:bookmarkStart w:id="62" w:name="references"/>
    <w:p>
      <w:pPr>
        <w:pStyle w:val="Heading2"/>
      </w:pPr>
      <w:r>
        <w:t xml:space="preserve">References</w:t>
      </w:r>
    </w:p>
    <w:bookmarkStart w:id="61" w:name="refs"/>
    <w:bookmarkStart w:id="36" w:name="ref-Agresti_1992"/>
    <w:p>
      <w:pPr>
        <w:pStyle w:val="Bibliography"/>
      </w:pPr>
      <w:r>
        <w:t xml:space="preserve">Agresti, A. 1992.</w:t>
      </w:r>
      <w:r>
        <w:t xml:space="preserve"> </w:t>
      </w:r>
      <w:r>
        <w:t xml:space="preserve">“Analysis of Ordinal Paired Comparison Data.”</w:t>
      </w:r>
      <w:r>
        <w:t xml:space="preserve"> </w:t>
      </w:r>
      <w:r>
        <w:rPr>
          <w:i/>
          <w:iCs/>
        </w:rPr>
        <w:t xml:space="preserve">Journal of the Royal Statistical Society</w:t>
      </w:r>
      <w:r>
        <w:t xml:space="preserve"> </w:t>
      </w:r>
      <w:r>
        <w:t xml:space="preserve">41 (2): 287–97.</w:t>
      </w:r>
      <w:r>
        <w:t xml:space="preserve"> </w:t>
      </w:r>
      <w:hyperlink r:id="rId35">
        <w:r>
          <w:rPr>
            <w:rStyle w:val="Hyperlink"/>
          </w:rPr>
          <w:t xml:space="preserve">https://doi.org/10.2307/2347562</w:t>
        </w:r>
      </w:hyperlink>
      <w:r>
        <w:t xml:space="preserve">.</w:t>
      </w:r>
    </w:p>
    <w:bookmarkEnd w:id="36"/>
    <w:bookmarkStart w:id="38" w:name="ref-Bartholomew_et_al_2018"/>
    <w:p>
      <w:pPr>
        <w:pStyle w:val="Bibliography"/>
      </w:pPr>
      <w:r>
        <w:t xml:space="preserve">Bartholomew, S., L. Nadelson, W. Goodridge, and E. Reeve. 2018.</w:t>
      </w:r>
      <w:r>
        <w:t xml:space="preserve"> </w:t>
      </w:r>
      <w:r>
        <w:t xml:space="preserve">“Adaptive Comparative Judgment as a Tool for Assessing Open-Ended Design Problems and Model Eliciting Activities.”</w:t>
      </w:r>
      <w:r>
        <w:t xml:space="preserve"> </w:t>
      </w:r>
      <w:r>
        <w:rPr>
          <w:i/>
          <w:iCs/>
        </w:rPr>
        <w:t xml:space="preserve">Educational Assessment</w:t>
      </w:r>
      <w:r>
        <w:t xml:space="preserve"> </w:t>
      </w:r>
      <w:r>
        <w:t xml:space="preserve">23 (2): 85–101.</w:t>
      </w:r>
      <w:r>
        <w:t xml:space="preserve"> </w:t>
      </w:r>
      <w:hyperlink r:id="rId37">
        <w:r>
          <w:rPr>
            <w:rStyle w:val="Hyperlink"/>
          </w:rPr>
          <w:t xml:space="preserve">https://doi.org/10.1080/10627197.2018.1444986</w:t>
        </w:r>
      </w:hyperlink>
      <w:r>
        <w:t xml:space="preserve">.</w:t>
      </w:r>
    </w:p>
    <w:bookmarkEnd w:id="38"/>
    <w:bookmarkStart w:id="40" w:name="ref-Bartholomew_et_al_2020"/>
    <w:p>
      <w:pPr>
        <w:pStyle w:val="Bibliography"/>
      </w:pPr>
      <w:r>
        <w:t xml:space="preserve">Bartholomew, S., and P. Williams. 2020.</w:t>
      </w:r>
      <w:r>
        <w:t xml:space="preserve"> </w:t>
      </w:r>
      <w:r>
        <w:t xml:space="preserve">“STEM Skill Assessment: An Application of Adaptive Comparative Judgment.”</w:t>
      </w:r>
      <w:r>
        <w:t xml:space="preserve"> </w:t>
      </w:r>
      <w:r>
        <w:t xml:space="preserve">In</w:t>
      </w:r>
      <w:r>
        <w:t xml:space="preserve"> </w:t>
      </w:r>
      <w:r>
        <w:rPr>
          <w:i/>
          <w:iCs/>
        </w:rPr>
        <w:t xml:space="preserve">Integrated Approaches to STEM Education. Advances in STEM Education</w:t>
      </w:r>
      <w:r>
        <w:t xml:space="preserve">, edited by J. Anderson and Y. Li. Springer.</w:t>
      </w:r>
      <w:r>
        <w:t xml:space="preserve"> </w:t>
      </w:r>
      <w:hyperlink r:id="rId39">
        <w:r>
          <w:rPr>
            <w:rStyle w:val="Hyperlink"/>
          </w:rPr>
          <w:t xml:space="preserve">https://doi.org/10.1007/978-3-030-52229-2_18</w:t>
        </w:r>
      </w:hyperlink>
      <w:r>
        <w:t xml:space="preserve">.</w:t>
      </w:r>
    </w:p>
    <w:bookmarkEnd w:id="40"/>
    <w:bookmarkStart w:id="42" w:name="ref-Boonen_et_al_2020"/>
    <w:p>
      <w:pPr>
        <w:pStyle w:val="Bibliography"/>
      </w:pPr>
      <w:r>
        <w:t xml:space="preserve">Boonen, N., H. Kloots, and S. Gillis. 2020.</w:t>
      </w:r>
      <w:r>
        <w:t xml:space="preserve"> </w:t>
      </w:r>
      <w:r>
        <w:t xml:space="preserve">“Rating the Overall Speech Quality of Hearing-Impaired Children by Means of Comparative Judgements.”</w:t>
      </w:r>
      <w:r>
        <w:t xml:space="preserve"> </w:t>
      </w:r>
      <w:r>
        <w:rPr>
          <w:i/>
          <w:iCs/>
        </w:rPr>
        <w:t xml:space="preserve">Journal of Communication Disorders</w:t>
      </w:r>
      <w:r>
        <w:t xml:space="preserve"> </w:t>
      </w:r>
      <w:r>
        <w:t xml:space="preserve">83: 1675–87.</w:t>
      </w:r>
      <w:r>
        <w:t xml:space="preserve"> </w:t>
      </w:r>
      <w:hyperlink r:id="rId41">
        <w:r>
          <w:rPr>
            <w:rStyle w:val="Hyperlink"/>
          </w:rPr>
          <w:t xml:space="preserve">https://doi.org/10.1016/j.jcomdis.2019.105969</w:t>
        </w:r>
      </w:hyperlink>
      <w:r>
        <w:t xml:space="preserve">.</w:t>
      </w:r>
    </w:p>
    <w:bookmarkEnd w:id="42"/>
    <w:bookmarkStart w:id="44" w:name="ref-Bradley_et_al_1952"/>
    <w:p>
      <w:pPr>
        <w:pStyle w:val="Bibliography"/>
      </w:pPr>
      <w:r>
        <w:t xml:space="preserve">Bradley, R., and M. Terry. 1952.</w:t>
      </w:r>
      <w:r>
        <w:t xml:space="preserve"> </w:t>
      </w:r>
      <w:r>
        <w:t xml:space="preserve">“Rank Analysis of Incomplete Block Designs: I. The Method of Paired Comparisons.”</w:t>
      </w:r>
      <w:r>
        <w:t xml:space="preserve"> </w:t>
      </w:r>
      <w:r>
        <w:rPr>
          <w:i/>
          <w:iCs/>
        </w:rPr>
        <w:t xml:space="preserve">Biometrika</w:t>
      </w:r>
      <w:r>
        <w:t xml:space="preserve"> </w:t>
      </w:r>
      <w:r>
        <w:t xml:space="preserve">39 (3-4): 324–45.</w:t>
      </w:r>
      <w:r>
        <w:t xml:space="preserve"> </w:t>
      </w:r>
      <w:hyperlink r:id="rId43">
        <w:r>
          <w:rPr>
            <w:rStyle w:val="Hyperlink"/>
          </w:rPr>
          <w:t xml:space="preserve">https://doi.org/10.2307/2334029</w:t>
        </w:r>
      </w:hyperlink>
      <w:r>
        <w:t xml:space="preserve">.</w:t>
      </w:r>
    </w:p>
    <w:bookmarkEnd w:id="44"/>
    <w:bookmarkStart w:id="46" w:name="ref-van_Daal_et_al_2016"/>
    <w:p>
      <w:pPr>
        <w:pStyle w:val="Bibliography"/>
      </w:pPr>
      <w:r>
        <w:t xml:space="preserve">Daal, T. van, M. Lesterhuis, L. Coertjens, V. Donche, and S. De Maeyer. 2019.</w:t>
      </w:r>
      <w:r>
        <w:t xml:space="preserve"> </w:t>
      </w:r>
      <w:r>
        <w:t xml:space="preserve">“Validity of Comparative Judgement to Assess Academic Writing: Examining Implications of Its Holistic Character and Building on a Shared Consensus.”</w:t>
      </w:r>
      <w:r>
        <w:t xml:space="preserve"> </w:t>
      </w:r>
      <w:r>
        <w:rPr>
          <w:i/>
          <w:iCs/>
        </w:rPr>
        <w:t xml:space="preserve">Assessment in Education: Principles, Policy &amp; Practice</w:t>
      </w:r>
      <w:r>
        <w:t xml:space="preserve"> </w:t>
      </w:r>
      <w:r>
        <w:t xml:space="preserve">26 (1): 59–74.</w:t>
      </w:r>
      <w:r>
        <w:t xml:space="preserve"> </w:t>
      </w:r>
      <w:hyperlink r:id="rId45">
        <w:r>
          <w:rPr>
            <w:rStyle w:val="Hyperlink"/>
          </w:rPr>
          <w:t xml:space="preserve">https://doi.org/10.1080/0969594X.2016.1253542</w:t>
        </w:r>
      </w:hyperlink>
      <w:r>
        <w:t xml:space="preserve">.</w:t>
      </w:r>
    </w:p>
    <w:bookmarkEnd w:id="46"/>
    <w:bookmarkStart w:id="47" w:name="ref-Lesterhuis_2018"/>
    <w:p>
      <w:pPr>
        <w:pStyle w:val="Bibliography"/>
      </w:pPr>
      <w:r>
        <w:t xml:space="preserve">Lesterhuis, M. 2018.</w:t>
      </w:r>
      <w:r>
        <w:t xml:space="preserve"> </w:t>
      </w:r>
      <w:r>
        <w:t xml:space="preserve">“The Validity of Comparative Judgement for Assessing Text Quality: An Assessor’s Perspective.”</w:t>
      </w:r>
      <w:r>
        <w:t xml:space="preserve"> </w:t>
      </w:r>
      <w:r>
        <w:t xml:space="preserve">PhD thesis, University of Antwerp.</w:t>
      </w:r>
    </w:p>
    <w:bookmarkEnd w:id="47"/>
    <w:bookmarkStart w:id="49" w:name="ref-Luce_1959"/>
    <w:p>
      <w:pPr>
        <w:pStyle w:val="Bibliography"/>
      </w:pPr>
      <w:r>
        <w:t xml:space="preserve">Luce, R. 1959.</w:t>
      </w:r>
      <w:r>
        <w:t xml:space="preserve"> </w:t>
      </w:r>
      <w:r>
        <w:t xml:space="preserve">“On the Possible Psychophysical Laws.”</w:t>
      </w:r>
      <w:r>
        <w:t xml:space="preserve"> </w:t>
      </w:r>
      <w:r>
        <w:rPr>
          <w:i/>
          <w:iCs/>
        </w:rPr>
        <w:t xml:space="preserve">The Psychologcal Review</w:t>
      </w:r>
      <w:r>
        <w:t xml:space="preserve"> </w:t>
      </w:r>
      <w:r>
        <w:t xml:space="preserve">66 (2): 482–99.</w:t>
      </w:r>
      <w:r>
        <w:t xml:space="preserve"> </w:t>
      </w:r>
      <w:hyperlink r:id="rId48">
        <w:r>
          <w:rPr>
            <w:rStyle w:val="Hyperlink"/>
          </w:rPr>
          <w:t xml:space="preserve">https://doi.org/10.1037/h0043178</w:t>
        </w:r>
      </w:hyperlink>
      <w:r>
        <w:t xml:space="preserve">.</w:t>
      </w:r>
    </w:p>
    <w:bookmarkEnd w:id="49"/>
    <w:bookmarkStart w:id="51" w:name="ref-Placket_1975"/>
    <w:p>
      <w:pPr>
        <w:pStyle w:val="Bibliography"/>
      </w:pPr>
      <w:r>
        <w:t xml:space="preserve">Plackett, R. 1975.</w:t>
      </w:r>
      <w:r>
        <w:t xml:space="preserve"> </w:t>
      </w:r>
      <w:r>
        <w:t xml:space="preserve">“The Analysis of Permutations.”</w:t>
      </w:r>
      <w:r>
        <w:t xml:space="preserve"> </w:t>
      </w:r>
      <w:r>
        <w:rPr>
          <w:i/>
          <w:iCs/>
        </w:rPr>
        <w:t xml:space="preserve">Journal of the Royal Statistical Society</w:t>
      </w:r>
      <w:r>
        <w:t xml:space="preserve"> </w:t>
      </w:r>
      <w:r>
        <w:t xml:space="preserve">24 (2): 193–202.</w:t>
      </w:r>
      <w:r>
        <w:t xml:space="preserve"> </w:t>
      </w:r>
      <w:hyperlink r:id="rId50">
        <w:r>
          <w:rPr>
            <w:rStyle w:val="Hyperlink"/>
          </w:rPr>
          <w:t xml:space="preserve">https://doi.org/10.2307/2346567</w:t>
        </w:r>
      </w:hyperlink>
      <w:r>
        <w:t xml:space="preserve">.</w:t>
      </w:r>
    </w:p>
    <w:bookmarkEnd w:id="51"/>
    <w:bookmarkStart w:id="53" w:name="ref-Pollitt_2012a"/>
    <w:p>
      <w:pPr>
        <w:pStyle w:val="Bibliography"/>
      </w:pPr>
      <w:r>
        <w:t xml:space="preserve">Pollitt, A. 2012a.</w:t>
      </w:r>
      <w:r>
        <w:t xml:space="preserve"> </w:t>
      </w:r>
      <w:r>
        <w:t xml:space="preserve">“Comparative Judgement for Assessment.”</w:t>
      </w:r>
      <w:r>
        <w:t xml:space="preserve"> </w:t>
      </w:r>
      <w:r>
        <w:rPr>
          <w:i/>
          <w:iCs/>
        </w:rPr>
        <w:t xml:space="preserve">International Journal of Technology and Design Education</w:t>
      </w:r>
      <w:r>
        <w:t xml:space="preserve"> </w:t>
      </w:r>
      <w:r>
        <w:t xml:space="preserve">22 (2): 157--170.</w:t>
      </w:r>
      <w:r>
        <w:t xml:space="preserve"> </w:t>
      </w:r>
      <w:hyperlink r:id="rId52">
        <w:r>
          <w:rPr>
            <w:rStyle w:val="Hyperlink"/>
          </w:rPr>
          <w:t xml:space="preserve">https://doi.org/10.1007/s10798-011-9189-x</w:t>
        </w:r>
      </w:hyperlink>
      <w:r>
        <w:t xml:space="preserve">.</w:t>
      </w:r>
    </w:p>
    <w:bookmarkEnd w:id="53"/>
    <w:bookmarkStart w:id="55" w:name="ref-Pollitt_2012b"/>
    <w:p>
      <w:pPr>
        <w:pStyle w:val="Bibliography"/>
      </w:pPr>
      <w:r>
        <w:t xml:space="preserve">———. 2012b.</w:t>
      </w:r>
      <w:r>
        <w:t xml:space="preserve"> </w:t>
      </w:r>
      <w:r>
        <w:t xml:space="preserve">“The Method of Adaptive Comparative Judgement.”</w:t>
      </w:r>
      <w:r>
        <w:t xml:space="preserve"> </w:t>
      </w:r>
      <w:r>
        <w:rPr>
          <w:i/>
          <w:iCs/>
        </w:rPr>
        <w:t xml:space="preserve">Assessment in Education: Principles, Policy and Practice</w:t>
      </w:r>
      <w:r>
        <w:t xml:space="preserve"> </w:t>
      </w:r>
      <w:r>
        <w:t xml:space="preserve">19 (3): 281--300.</w:t>
      </w:r>
      <w:r>
        <w:t xml:space="preserve"> </w:t>
      </w:r>
      <w:hyperlink r:id="rId54">
        <w:r>
          <w:rPr>
            <w:rStyle w:val="Hyperlink"/>
          </w:rPr>
          <w:t xml:space="preserve">https://doi.org/10.1080/0969594X.2012.665354</w:t>
        </w:r>
      </w:hyperlink>
      <w:r>
        <w:t xml:space="preserve">.</w:t>
      </w:r>
    </w:p>
    <w:bookmarkEnd w:id="55"/>
    <w:bookmarkStart w:id="57" w:name="ref-Thurstone_1927"/>
    <w:p>
      <w:pPr>
        <w:pStyle w:val="Bibliography"/>
      </w:pPr>
      <w:r>
        <w:t xml:space="preserve">Thurstone, L. 1927.</w:t>
      </w:r>
      <w:r>
        <w:t xml:space="preserve"> </w:t>
      </w:r>
      <w:r>
        <w:t xml:space="preserve">“A Law of Comparative Judgment.”</w:t>
      </w:r>
      <w:r>
        <w:t xml:space="preserve"> </w:t>
      </w:r>
      <w:r>
        <w:rPr>
          <w:i/>
          <w:iCs/>
        </w:rPr>
        <w:t xml:space="preserve">Psychological Review</w:t>
      </w:r>
      <w:r>
        <w:t xml:space="preserve"> </w:t>
      </w:r>
      <w:r>
        <w:t xml:space="preserve">34 (4): 482–99.</w:t>
      </w:r>
      <w:r>
        <w:t xml:space="preserve"> </w:t>
      </w:r>
      <w:hyperlink r:id="rId56">
        <w:r>
          <w:rPr>
            <w:rStyle w:val="Hyperlink"/>
          </w:rPr>
          <w:t xml:space="preserve">https://doi.org/10.1037/h0070288</w:t>
        </w:r>
      </w:hyperlink>
      <w:r>
        <w:t xml:space="preserve">.</w:t>
      </w:r>
    </w:p>
    <w:bookmarkEnd w:id="57"/>
    <w:bookmarkStart w:id="59" w:name="ref-Tutz_1986"/>
    <w:p>
      <w:pPr>
        <w:pStyle w:val="Bibliography"/>
      </w:pPr>
      <w:r>
        <w:t xml:space="preserve">Tutz, G. 1986.</w:t>
      </w:r>
      <w:r>
        <w:t xml:space="preserve"> </w:t>
      </w:r>
      <w:r>
        <w:t xml:space="preserve">“Bradley-Terry-Luce Model with an Ordered Response.”</w:t>
      </w:r>
      <w:r>
        <w:t xml:space="preserve"> </w:t>
      </w:r>
      <w:r>
        <w:rPr>
          <w:i/>
          <w:iCs/>
        </w:rPr>
        <w:t xml:space="preserve">Journal of Mathemathical Psychology</w:t>
      </w:r>
      <w:r>
        <w:t xml:space="preserve"> </w:t>
      </w:r>
      <w:r>
        <w:t xml:space="preserve">30 (3): 306–16.</w:t>
      </w:r>
      <w:r>
        <w:t xml:space="preserve"> </w:t>
      </w:r>
      <w:hyperlink r:id="rId58">
        <w:r>
          <w:rPr>
            <w:rStyle w:val="Hyperlink"/>
          </w:rPr>
          <w:t xml:space="preserve">https://doi.org/10.1016/0022-2496(86)90034-9</w:t>
        </w:r>
      </w:hyperlink>
      <w:r>
        <w:t xml:space="preserve">.</w:t>
      </w:r>
    </w:p>
    <w:bookmarkEnd w:id="59"/>
    <w:bookmarkStart w:id="60" w:name="ref-vanDaal_2020"/>
    <w:p>
      <w:pPr>
        <w:pStyle w:val="Bibliography"/>
      </w:pPr>
      <w:r>
        <w:t xml:space="preserve">van Daal, T. 2020.</w:t>
      </w:r>
      <w:r>
        <w:t xml:space="preserve"> </w:t>
      </w:r>
      <w:r>
        <w:t xml:space="preserve">“Making a Choice Is Not Easy?!: Unravelling the Task Difficulty of Comparative Judgement to Assess Student Work.”</w:t>
      </w:r>
      <w:r>
        <w:t xml:space="preserve"> </w:t>
      </w:r>
      <w:r>
        <w:t xml:space="preserve">PhD thesis, University of Antwerp.</w:t>
      </w:r>
    </w:p>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doi.org/10.1007/978-3-030-52229-2_18" TargetMode="External" /><Relationship Type="http://schemas.openxmlformats.org/officeDocument/2006/relationships/hyperlink" Id="rId52" Target="https://doi.org/10.1007/s10798-011-9189-x" TargetMode="External" /><Relationship Type="http://schemas.openxmlformats.org/officeDocument/2006/relationships/hyperlink" Id="rId58" Target="https://doi.org/10.1016/0022-2496(86)90034-9" TargetMode="External" /><Relationship Type="http://schemas.openxmlformats.org/officeDocument/2006/relationships/hyperlink" Id="rId41" Target="https://doi.org/10.1016/j.jcomdis.2019.105969" TargetMode="External" /><Relationship Type="http://schemas.openxmlformats.org/officeDocument/2006/relationships/hyperlink" Id="rId48" Target="https://doi.org/10.1037/h0043178" TargetMode="External" /><Relationship Type="http://schemas.openxmlformats.org/officeDocument/2006/relationships/hyperlink" Id="rId56" Target="https://doi.org/10.1037/h0070288" TargetMode="External" /><Relationship Type="http://schemas.openxmlformats.org/officeDocument/2006/relationships/hyperlink" Id="rId54" Target="https://doi.org/10.1080/0969594X.2012.665354" TargetMode="External" /><Relationship Type="http://schemas.openxmlformats.org/officeDocument/2006/relationships/hyperlink" Id="rId45" Target="https://doi.org/10.1080/0969594X.2016.1253542" TargetMode="External" /><Relationship Type="http://schemas.openxmlformats.org/officeDocument/2006/relationships/hyperlink" Id="rId37" Target="https://doi.org/10.1080/10627197.2018.1444986" TargetMode="External" /><Relationship Type="http://schemas.openxmlformats.org/officeDocument/2006/relationships/hyperlink" Id="rId43" Target="https://doi.org/10.2307/2334029" TargetMode="External" /><Relationship Type="http://schemas.openxmlformats.org/officeDocument/2006/relationships/hyperlink" Id="rId50" Target="https://doi.org/10.2307/2346567" TargetMode="External" /><Relationship Type="http://schemas.openxmlformats.org/officeDocument/2006/relationships/hyperlink" Id="rId35" Target="https://doi.org/10.2307/234756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978-3-030-52229-2_18" TargetMode="External" /><Relationship Type="http://schemas.openxmlformats.org/officeDocument/2006/relationships/hyperlink" Id="rId52" Target="https://doi.org/10.1007/s10798-011-9189-x" TargetMode="External" /><Relationship Type="http://schemas.openxmlformats.org/officeDocument/2006/relationships/hyperlink" Id="rId58" Target="https://doi.org/10.1016/0022-2496(86)90034-9" TargetMode="External" /><Relationship Type="http://schemas.openxmlformats.org/officeDocument/2006/relationships/hyperlink" Id="rId41" Target="https://doi.org/10.1016/j.jcomdis.2019.105969" TargetMode="External" /><Relationship Type="http://schemas.openxmlformats.org/officeDocument/2006/relationships/hyperlink" Id="rId48" Target="https://doi.org/10.1037/h0043178" TargetMode="External" /><Relationship Type="http://schemas.openxmlformats.org/officeDocument/2006/relationships/hyperlink" Id="rId56" Target="https://doi.org/10.1037/h0070288" TargetMode="External" /><Relationship Type="http://schemas.openxmlformats.org/officeDocument/2006/relationships/hyperlink" Id="rId54" Target="https://doi.org/10.1080/0969594X.2012.665354" TargetMode="External" /><Relationship Type="http://schemas.openxmlformats.org/officeDocument/2006/relationships/hyperlink" Id="rId45" Target="https://doi.org/10.1080/0969594X.2016.1253542" TargetMode="External" /><Relationship Type="http://schemas.openxmlformats.org/officeDocument/2006/relationships/hyperlink" Id="rId37" Target="https://doi.org/10.1080/10627197.2018.1444986" TargetMode="External" /><Relationship Type="http://schemas.openxmlformats.org/officeDocument/2006/relationships/hyperlink" Id="rId43" Target="https://doi.org/10.2307/2334029" TargetMode="External" /><Relationship Type="http://schemas.openxmlformats.org/officeDocument/2006/relationships/hyperlink" Id="rId50" Target="https://doi.org/10.2307/2346567" TargetMode="External" /><Relationship Type="http://schemas.openxmlformats.org/officeDocument/2006/relationships/hyperlink" Id="rId35" Target="https://doi.org/10.2307/23475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analysis for Dichotomous Comparative Judgment experiments (DCJ)</dc:title>
  <dc:creator>Jose Manuel Rivera Espejo; Sven de Maeyer; Steven Gillis</dc:creator>
  <cp:keywords>power analysis, comparative judgment, bayesian analysis, simulation</cp:keywords>
  <dcterms:created xsi:type="dcterms:W3CDTF">2024-03-14T14:20:31Z</dcterms:created>
  <dcterms:modified xsi:type="dcterms:W3CDTF">2024-03-14T14:20:31Z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do)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2024-03-14</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cence">
    <vt:lpwstr>CC BY-SA</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quarto installage-summary">
    <vt:lpwstr>(to do)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A Bayesian simulation-based study exploring the factors that impact DCJ</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