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2024-03-15</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(Thurstone 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resulting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been effectively employed to assess competences and traits predominantly in the educational field, as evidenced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Daal et al. (2019)</w:t>
      </w:r>
      <w:r>
        <w:t xml:space="preserve"> </w:t>
      </w:r>
      <w:r>
        <w:t xml:space="preserve">Lesterhuis (2018)</w:t>
      </w:r>
      <w:r>
        <w:t xml:space="preserve">, and</w:t>
      </w:r>
      <w:r>
        <w:t xml:space="preserve"> </w:t>
      </w:r>
      <w:r>
        <w:t xml:space="preserve">Bartholomew and Williams (2020)</w:t>
      </w:r>
      <w:r>
        <w:t xml:space="preserve">. However, its application extends beyond education, with a notable example in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the research indicates that DCJ offers an alternative and efficient approach to measurement and evaluation, characterized by its reliability and validity</w:t>
      </w:r>
      <w:r>
        <w:t xml:space="preserve"> </w:t>
      </w:r>
      <w:r>
        <w:t xml:space="preserve">(Lesterhuis 2018; van Daal 2020; Marshall et al. 2020)</w:t>
      </w:r>
      <w:r>
        <w:t xml:space="preserve">. Nonetheless, there has been limited investigation into the specific factors that contribute to the method’s effectiveness.</w:t>
      </w:r>
    </w:p>
    <w:p>
      <w:pPr>
        <w:pStyle w:val="BodyText"/>
      </w:pPr>
      <w:r>
        <w:t xml:space="preserve">According to recent research</w:t>
      </w:r>
      <w:r>
        <w:t xml:space="preserve"> </w:t>
      </w:r>
      <w:r>
        <w:t xml:space="preserve">(citation needed)</w:t>
      </w:r>
      <w:r>
        <w:t xml:space="preserve">, several factors influence the effectiveness of the DCJ method. These factors include the number of stimuli, the characteristics of the stimuli, the number of comparison per stimulus, their</w:t>
      </w:r>
      <w:r>
        <w:t xml:space="preserve"> </w:t>
      </w:r>
      <w:r>
        <w:rPr>
          <w:i/>
          <w:iCs/>
        </w:rPr>
        <w:t xml:space="preserve">proximity</w:t>
      </w:r>
      <w:r>
        <w:t xml:space="preserve"> </w:t>
      </w:r>
      <w:r>
        <w:t xml:space="preserve">to each other in terms of the trait being assessed, and the pairing algorithm used. Furthermore, since the method relies on judges’ assessments, the number of judges, their characteristics, their</w:t>
      </w:r>
      <w:r>
        <w:t xml:space="preserve"> </w:t>
      </w:r>
      <w:r>
        <w:rPr>
          <w:i/>
          <w:iCs/>
        </w:rPr>
        <w:t xml:space="preserve">discrimination</w:t>
      </w:r>
      <w:r>
        <w:t xml:space="preserve"> </w:t>
      </w:r>
      <w:r>
        <w:t xml:space="preserve">abilities, and the number of comparisons per judge also play pivotal roles. Additionally, in cases where the stimuli represent objects nested within subjects, the number of subjects, their characteristics and their</w:t>
      </w:r>
      <w:r>
        <w:t xml:space="preserve"> </w:t>
      </w:r>
      <w:r>
        <w:rPr>
          <w:i/>
          <w:iCs/>
        </w:rPr>
        <w:t xml:space="preserve">proximity</w:t>
      </w:r>
      <w:r>
        <w:t xml:space="preserve"> </w:t>
      </w:r>
      <w:r>
        <w:t xml:space="preserve">to each other in terms of the trait can also significantly influence the assessment outcome. An illustrative example of these factors can be made with the research of</w:t>
      </w:r>
      <w:r>
        <w:t xml:space="preserve"> </w:t>
      </w:r>
      <w:r>
        <w:t xml:space="preserve">Boonen, Kloots, and Gillis (2020)</w:t>
      </w:r>
      <w:r>
        <w:t xml:space="preserve">. In their study, the trait under assessment was children’s</w:t>
      </w:r>
      <w:r>
        <w:t xml:space="preserve"> </w:t>
      </w:r>
      <w:r>
        <w:rPr>
          <w:i/>
          <w:iCs/>
        </w:rPr>
        <w:t xml:space="preserve">speech intelligibility</w:t>
      </w:r>
      <w:r>
        <w:t xml:space="preserve">. The trait was evaluated using six utterances (objects) obtained from</w:t>
      </w:r>
      <w:r>
        <w:t xml:space="preserve"> </w:t>
      </w:r>
      <m:oMath>
        <m:r>
          <m:t>21</m:t>
        </m:r>
      </m:oMath>
      <w:r>
        <w:t xml:space="preserve"> </w:t>
      </w:r>
      <w:r>
        <w:t xml:space="preserve">children (subjects). The objects were derived from an imitation task, while the subjects were selected in equal numbers from three groups of children: those with cochlear implants (CI), those with hearing aids (HA), and normal hearing children (NH). Pairwise comparisons for the</w:t>
      </w:r>
      <w:r>
        <w:t xml:space="preserve"> </w:t>
      </w:r>
      <m:oMath>
        <m:r>
          <m:t>126</m:t>
        </m:r>
      </m:oMath>
      <w:r>
        <w:t xml:space="preserve"> </w:t>
      </w:r>
      <w:r>
        <w:t xml:space="preserve">stimuli were established using a random pairing algorithm, with</w:t>
      </w:r>
      <w:r>
        <w:t xml:space="preserve"> </w:t>
      </w:r>
      <m:oMath>
        <m:r>
          <m:t>20</m:t>
        </m:r>
      </m:oMath>
      <w:r>
        <w:t xml:space="preserve"> </w:t>
      </w:r>
      <w:r>
        <w:t xml:space="preserve">comparisons per stimulus. A total of</w:t>
      </w:r>
      <w:r>
        <w:t xml:space="preserve"> </w:t>
      </w:r>
      <m:oMath>
        <m:r>
          <m:t>60</m:t>
        </m:r>
      </m:oMath>
      <w:r>
        <w:t xml:space="preserve"> </w:t>
      </w:r>
      <w:r>
        <w:t xml:space="preserve">listeners (judges) compared each stimulus approximately</w:t>
      </w:r>
      <w:r>
        <w:t xml:space="preserve"> </w:t>
      </w:r>
      <m:oMath>
        <m:r>
          <m:t>65</m:t>
        </m:r>
      </m:oMath>
      <w:r>
        <w:t xml:space="preserve"> </w:t>
      </w:r>
      <w:r>
        <w:t xml:space="preserve">times. The judges were selected from three groups with varying degrees of experience with the speech of hearing-impaired children: audiologists, primary school teachers and inexperienced listeners.</w:t>
      </w:r>
    </w:p>
    <w:bookmarkEnd w:id="20"/>
    <w:bookmarkStart w:id="21" w:name="sec-ResearchQuestions"/>
    <w:p>
      <w:pPr>
        <w:pStyle w:val="Heading2"/>
      </w:pPr>
      <w:r>
        <w:t xml:space="preserve">2 Research questions</w:t>
      </w:r>
    </w:p>
    <w:bookmarkEnd w:id="21"/>
    <w:bookmarkStart w:id="27" w:name="sec-methods"/>
    <w:p>
      <w:pPr>
        <w:pStyle w:val="Heading2"/>
      </w:pPr>
      <w:r>
        <w:t xml:space="preserve">3 Methods</w:t>
      </w:r>
    </w:p>
    <w:bookmarkStart w:id="22" w:name="sec-TF"/>
    <w:p>
      <w:pPr>
        <w:pStyle w:val="Heading3"/>
      </w:pPr>
      <w:r>
        <w:t xml:space="preserve">3.1 Theoretical framework</w:t>
      </w:r>
    </w:p>
    <w:bookmarkEnd w:id="22"/>
    <w:bookmarkStart w:id="23" w:name="sec-SM"/>
    <w:p>
      <w:pPr>
        <w:pStyle w:val="Heading3"/>
      </w:pPr>
      <w:r>
        <w:t xml:space="preserve">3.2 Statistical model</w:t>
      </w:r>
    </w:p>
    <w:bookmarkEnd w:id="23"/>
    <w:bookmarkStart w:id="26" w:name="power-analysis"/>
    <w:p>
      <w:pPr>
        <w:pStyle w:val="Heading3"/>
      </w:pPr>
      <w:r>
        <w:t xml:space="preserve">3.3 Power analysis</w:t>
      </w:r>
    </w:p>
    <w:bookmarkStart w:id="24" w:name="sec-FI"/>
    <w:p>
      <w:pPr>
        <w:pStyle w:val="Heading4"/>
      </w:pPr>
      <w:r>
        <w:t xml:space="preserve">3.3.1 Factors of interest</w:t>
      </w:r>
    </w:p>
    <w:bookmarkEnd w:id="24"/>
    <w:bookmarkStart w:id="25" w:name="sec-D"/>
    <w:p>
      <w:pPr>
        <w:pStyle w:val="Heading4"/>
      </w:pPr>
      <w:r>
        <w:t xml:space="preserve">3.3.2 Data</w:t>
      </w:r>
    </w:p>
    <w:bookmarkEnd w:id="25"/>
    <w:bookmarkEnd w:id="26"/>
    <w:bookmarkEnd w:id="27"/>
    <w:bookmarkStart w:id="31" w:name="sec-results"/>
    <w:p>
      <w:pPr>
        <w:pStyle w:val="Heading2"/>
      </w:pPr>
      <w:r>
        <w:t xml:space="preserve">4 Results</w:t>
      </w:r>
    </w:p>
    <w:bookmarkStart w:id="28" w:name="sec-RQ1"/>
    <w:p>
      <w:pPr>
        <w:pStyle w:val="Heading3"/>
      </w:pPr>
      <w:r>
        <w:t xml:space="preserve">4.1 Research question 1</w:t>
      </w:r>
    </w:p>
    <w:bookmarkEnd w:id="28"/>
    <w:bookmarkStart w:id="29" w:name="sec-RQ2"/>
    <w:p>
      <w:pPr>
        <w:pStyle w:val="Heading3"/>
      </w:pPr>
      <w:r>
        <w:t xml:space="preserve">4.2 Research question 2</w:t>
      </w:r>
    </w:p>
    <w:bookmarkEnd w:id="29"/>
    <w:bookmarkStart w:id="30" w:name="sec-RQ3"/>
    <w:p>
      <w:pPr>
        <w:pStyle w:val="Heading3"/>
      </w:pPr>
      <w:r>
        <w:t xml:space="preserve">4.3 Research question 3</w:t>
      </w:r>
    </w:p>
    <w:bookmarkEnd w:id="30"/>
    <w:bookmarkEnd w:id="31"/>
    <w:bookmarkStart w:id="33" w:name="sec-discussion"/>
    <w:p>
      <w:pPr>
        <w:pStyle w:val="Heading2"/>
      </w:pPr>
      <w:r>
        <w:t xml:space="preserve">5 Discussion</w:t>
      </w:r>
    </w:p>
    <w:bookmarkStart w:id="32" w:name="sec-LFR"/>
    <w:p>
      <w:pPr>
        <w:pStyle w:val="Heading3"/>
      </w:pPr>
      <w:r>
        <w:t xml:space="preserve">5.1 Limitations and further research</w:t>
      </w:r>
    </w:p>
    <w:bookmarkEnd w:id="32"/>
    <w:bookmarkEnd w:id="33"/>
    <w:bookmarkStart w:id="34" w:name="sec-conclusion"/>
    <w:p>
      <w:pPr>
        <w:pStyle w:val="Heading2"/>
      </w:pPr>
      <w:r>
        <w:t xml:space="preserve">6 Conclusion</w:t>
      </w:r>
    </w:p>
    <w:bookmarkEnd w:id="34"/>
    <w:bookmarkStart w:id="64" w:name="references"/>
    <w:p>
      <w:pPr>
        <w:pStyle w:val="Heading2"/>
      </w:pPr>
      <w:r>
        <w:t xml:space="preserve">References</w:t>
      </w:r>
    </w:p>
    <w:bookmarkStart w:id="63" w:name="refs"/>
    <w:bookmarkStart w:id="36"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5">
        <w:r>
          <w:rPr>
            <w:rStyle w:val="Hyperlink"/>
          </w:rPr>
          <w:t xml:space="preserve">https://doi.org/10.2307/2347562</w:t>
        </w:r>
      </w:hyperlink>
      <w:r>
        <w:t xml:space="preserve">.</w:t>
      </w:r>
    </w:p>
    <w:bookmarkEnd w:id="36"/>
    <w:bookmarkStart w:id="38"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7">
        <w:r>
          <w:rPr>
            <w:rStyle w:val="Hyperlink"/>
          </w:rPr>
          <w:t xml:space="preserve">https://doi.org/10.1080/10627197.2018.1444986</w:t>
        </w:r>
      </w:hyperlink>
      <w:r>
        <w:t xml:space="preserve">.</w:t>
      </w:r>
    </w:p>
    <w:bookmarkEnd w:id="38"/>
    <w:bookmarkStart w:id="40"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9">
        <w:r>
          <w:rPr>
            <w:rStyle w:val="Hyperlink"/>
          </w:rPr>
          <w:t xml:space="preserve">https://doi.org/10.1007/978-3-030-52229-2_18</w:t>
        </w:r>
      </w:hyperlink>
      <w:r>
        <w:t xml:space="preserve">.</w:t>
      </w:r>
    </w:p>
    <w:bookmarkEnd w:id="40"/>
    <w:bookmarkStart w:id="42"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1">
        <w:r>
          <w:rPr>
            <w:rStyle w:val="Hyperlink"/>
          </w:rPr>
          <w:t xml:space="preserve">https://doi.org/10.1016/j.jcomdis.2019.105969</w:t>
        </w:r>
      </w:hyperlink>
      <w:r>
        <w:t xml:space="preserve">.</w:t>
      </w:r>
    </w:p>
    <w:bookmarkEnd w:id="42"/>
    <w:bookmarkStart w:id="44"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3">
        <w:r>
          <w:rPr>
            <w:rStyle w:val="Hyperlink"/>
          </w:rPr>
          <w:t xml:space="preserve">https://doi.org/10.2307/2334029</w:t>
        </w:r>
      </w:hyperlink>
      <w:r>
        <w:t xml:space="preserve">.</w:t>
      </w:r>
    </w:p>
    <w:bookmarkEnd w:id="44"/>
    <w:bookmarkStart w:id="46" w:name="ref-van_Daal_et_al_2016"/>
    <w:p>
      <w:pPr>
        <w:pStyle w:val="Bibliography"/>
      </w:pPr>
      <w:r>
        <w:t xml:space="preserve">Daal, T. van,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45">
        <w:r>
          <w:rPr>
            <w:rStyle w:val="Hyperlink"/>
          </w:rPr>
          <w:t xml:space="preserve">https://doi.org/10.1080/0969594X.2016.1253542</w:t>
        </w:r>
      </w:hyperlink>
      <w:r>
        <w:t xml:space="preserve">.</w:t>
      </w:r>
    </w:p>
    <w:bookmarkEnd w:id="46"/>
    <w:bookmarkStart w:id="47"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47"/>
    <w:bookmarkStart w:id="49"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48">
        <w:r>
          <w:rPr>
            <w:rStyle w:val="Hyperlink"/>
          </w:rPr>
          <w:t xml:space="preserve">https://doi.org/10.1037/h0043178</w:t>
        </w:r>
      </w:hyperlink>
      <w:r>
        <w:t xml:space="preserve">.</w:t>
      </w:r>
    </w:p>
    <w:bookmarkEnd w:id="49"/>
    <w:bookmarkStart w:id="51"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0">
        <w:r>
          <w:rPr>
            <w:rStyle w:val="Hyperlink"/>
          </w:rPr>
          <w:t xml:space="preserve">https://doi.org/10.1007/s40841-020-00163-3</w:t>
        </w:r>
      </w:hyperlink>
      <w:r>
        <w:t xml:space="preserve">.</w:t>
      </w:r>
    </w:p>
    <w:bookmarkEnd w:id="51"/>
    <w:bookmarkStart w:id="53"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52">
        <w:r>
          <w:rPr>
            <w:rStyle w:val="Hyperlink"/>
          </w:rPr>
          <w:t xml:space="preserve">https://doi.org/10.2307/2346567</w:t>
        </w:r>
      </w:hyperlink>
      <w:r>
        <w:t xml:space="preserve">.</w:t>
      </w:r>
    </w:p>
    <w:bookmarkEnd w:id="53"/>
    <w:bookmarkStart w:id="55"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54">
        <w:r>
          <w:rPr>
            <w:rStyle w:val="Hyperlink"/>
          </w:rPr>
          <w:t xml:space="preserve">https://doi.org/10.1007/s10798-011-9189-x</w:t>
        </w:r>
      </w:hyperlink>
      <w:r>
        <w:t xml:space="preserve">.</w:t>
      </w:r>
    </w:p>
    <w:bookmarkEnd w:id="55"/>
    <w:bookmarkStart w:id="57"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56">
        <w:r>
          <w:rPr>
            <w:rStyle w:val="Hyperlink"/>
          </w:rPr>
          <w:t xml:space="preserve">https://doi.org/10.1080/0969594X.2012.665354</w:t>
        </w:r>
      </w:hyperlink>
      <w:r>
        <w:t xml:space="preserve">.</w:t>
      </w:r>
    </w:p>
    <w:bookmarkEnd w:id="57"/>
    <w:bookmarkStart w:id="59"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58">
        <w:r>
          <w:rPr>
            <w:rStyle w:val="Hyperlink"/>
          </w:rPr>
          <w:t xml:space="preserve">https://doi.org/10.1037/h0070288</w:t>
        </w:r>
      </w:hyperlink>
      <w:r>
        <w:t xml:space="preserve">.</w:t>
      </w:r>
    </w:p>
    <w:bookmarkEnd w:id="59"/>
    <w:bookmarkStart w:id="61"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60">
        <w:r>
          <w:rPr>
            <w:rStyle w:val="Hyperlink"/>
          </w:rPr>
          <w:t xml:space="preserve">https://doi.org/10.1016/0022-2496(86)90034-9</w:t>
        </w:r>
      </w:hyperlink>
      <w:r>
        <w:t xml:space="preserve">.</w:t>
      </w:r>
    </w:p>
    <w:bookmarkEnd w:id="61"/>
    <w:bookmarkStart w:id="62"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doi.org/10.1007/978-3-030-52229-2_18" TargetMode="External" /><Relationship Type="http://schemas.openxmlformats.org/officeDocument/2006/relationships/hyperlink" Id="rId54" Target="https://doi.org/10.1007/s10798-011-9189-x" TargetMode="External" /><Relationship Type="http://schemas.openxmlformats.org/officeDocument/2006/relationships/hyperlink" Id="rId50" Target="https://doi.org/10.1007/s40841-020-00163-3" TargetMode="External" /><Relationship Type="http://schemas.openxmlformats.org/officeDocument/2006/relationships/hyperlink" Id="rId60"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8" Target="https://doi.org/10.1037/h0070288" TargetMode="External" /><Relationship Type="http://schemas.openxmlformats.org/officeDocument/2006/relationships/hyperlink" Id="rId56"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2" Target="https://doi.org/10.2307/2346567" TargetMode="External" /><Relationship Type="http://schemas.openxmlformats.org/officeDocument/2006/relationships/hyperlink" Id="rId35" Target="https://doi.org/10.2307/234756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978-3-030-52229-2_18" TargetMode="External" /><Relationship Type="http://schemas.openxmlformats.org/officeDocument/2006/relationships/hyperlink" Id="rId54" Target="https://doi.org/10.1007/s10798-011-9189-x" TargetMode="External" /><Relationship Type="http://schemas.openxmlformats.org/officeDocument/2006/relationships/hyperlink" Id="rId50" Target="https://doi.org/10.1007/s40841-020-00163-3" TargetMode="External" /><Relationship Type="http://schemas.openxmlformats.org/officeDocument/2006/relationships/hyperlink" Id="rId60" Target="https://doi.org/10.1016/0022-2496(86)90034-9" TargetMode="External" /><Relationship Type="http://schemas.openxmlformats.org/officeDocument/2006/relationships/hyperlink" Id="rId41" Target="https://doi.org/10.1016/j.jcomdis.2019.105969" TargetMode="External" /><Relationship Type="http://schemas.openxmlformats.org/officeDocument/2006/relationships/hyperlink" Id="rId48" Target="https://doi.org/10.1037/h0043178" TargetMode="External" /><Relationship Type="http://schemas.openxmlformats.org/officeDocument/2006/relationships/hyperlink" Id="rId58" Target="https://doi.org/10.1037/h0070288" TargetMode="External" /><Relationship Type="http://schemas.openxmlformats.org/officeDocument/2006/relationships/hyperlink" Id="rId56" Target="https://doi.org/10.1080/0969594X.2012.665354" TargetMode="External" /><Relationship Type="http://schemas.openxmlformats.org/officeDocument/2006/relationships/hyperlink" Id="rId45" Target="https://doi.org/10.1080/0969594X.2016.1253542" TargetMode="External" /><Relationship Type="http://schemas.openxmlformats.org/officeDocument/2006/relationships/hyperlink" Id="rId37" Target="https://doi.org/10.1080/10627197.2018.1444986" TargetMode="External" /><Relationship Type="http://schemas.openxmlformats.org/officeDocument/2006/relationships/hyperlink" Id="rId43" Target="https://doi.org/10.2307/2334029" TargetMode="External" /><Relationship Type="http://schemas.openxmlformats.org/officeDocument/2006/relationships/hyperlink" Id="rId52" Target="https://doi.org/10.2307/2346567" TargetMode="External" /><Relationship Type="http://schemas.openxmlformats.org/officeDocument/2006/relationships/hyperlink" Id="rId35" Target="https://doi.org/10.2307/23475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2024-03-15T11:00:14Z</dcterms:created>
  <dcterms:modified xsi:type="dcterms:W3CDTF">2024-03-15T11:00:14Z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2024-03-15</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