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interplay</w:t>
      </w:r>
      <w:r>
        <w:t xml:space="preserve"> </w:t>
      </w:r>
      <w:r>
        <w:t xml:space="preserve">of</w:t>
      </w:r>
      <w:r>
        <w:t xml:space="preserve"> </w:t>
      </w:r>
      <w:r>
        <w:t xml:space="preserve">assessment</w:t>
      </w:r>
      <w:r>
        <w:t xml:space="preserve"> </w:t>
      </w:r>
      <w:r>
        <w:t xml:space="preserve">factors</w:t>
      </w:r>
      <w:r>
        <w:t xml:space="preserve"> </w:t>
      </w:r>
      <w:r>
        <w:t xml:space="preserve">in</w:t>
      </w:r>
      <w:r>
        <w:t xml:space="preserve"> </w:t>
      </w:r>
      <w:r>
        <w:t xml:space="preserve">Dichotomous</w:t>
      </w:r>
      <w:r>
        <w:t xml:space="preserve"> </w:t>
      </w:r>
      <w:r>
        <w:t xml:space="preserve">Comparative</w:t>
      </w:r>
      <w:r>
        <w:t xml:space="preserve"> </w:t>
      </w:r>
      <w:r>
        <w:t xml:space="preserve">Judgments</w:t>
      </w:r>
    </w:p>
    <w:p>
      <w:pPr>
        <w:pStyle w:val="Subtitle"/>
      </w:pPr>
      <w:r>
        <w:t xml:space="preserve">A</w:t>
      </w:r>
      <w:r>
        <w:t xml:space="preserve"> </w:t>
      </w:r>
      <w:r>
        <w:t xml:space="preserve">Bayesian</w:t>
      </w:r>
      <w:r>
        <w:t xml:space="preserve"> </w:t>
      </w:r>
      <w:r>
        <w:t xml:space="preserve">simulation-based</w:t>
      </w:r>
      <w:r>
        <w:t xml:space="preserve"> </w:t>
      </w:r>
      <w:r>
        <w:t xml:space="preserve">power</w:t>
      </w:r>
      <w:r>
        <w:t xml:space="preserve"> </w:t>
      </w:r>
      <w:r>
        <w:t xml:space="preserve">analysis</w:t>
      </w:r>
      <w:r>
        <w:t xml:space="preserve"> </w:t>
      </w:r>
      <w:r>
        <w:t xml:space="preserve">exploring</w:t>
      </w:r>
      <w:r>
        <w:t xml:space="preserve"> </w:t>
      </w:r>
      <w:r>
        <w:t xml:space="preserve">their</w:t>
      </w:r>
      <w:r>
        <w:t xml:space="preserve"> </w:t>
      </w:r>
      <w:r>
        <w:t xml:space="preserve">impacts</w:t>
      </w:r>
      <w:r>
        <w:t xml:space="preserve"> </w:t>
      </w:r>
      <w:r>
        <w:t xml:space="preserve">on</w:t>
      </w:r>
      <w:r>
        <w:t xml:space="preserve"> </w:t>
      </w:r>
      <w:r>
        <w:t xml:space="preserve">the</w:t>
      </w:r>
      <w:r>
        <w:t xml:space="preserve"> </w:t>
      </w:r>
      <w:r>
        <w:t xml:space="preserve">method’s</w:t>
      </w:r>
      <w:r>
        <w:t xml:space="preserve"> </w:t>
      </w:r>
      <w:r>
        <w:t xml:space="preserve">reliability</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2024-03-21</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w:t>
      </w:r>
      <w:r>
        <w:t xml:space="preserve"> </w:t>
      </w:r>
      <w:r>
        <w:t xml:space="preserve">(DCJ, Pollitt 2012a, 2012b)</w:t>
      </w:r>
      <w:r>
        <w:t xml:space="preserve">. Within DCJ, a judge assesses the relative manifestation of a trait within a pair of stimuli. This results in a dichotomous value indicating which stimulus appears to possess a higher degree of the trait.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latent variable generated by the model can then be employed to rank the stimuli from lowest to highest or to evaluate the influence of specific characteristics of the stimuli on their positions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interact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Moreover, in cases where the stimuli represent sub-units of higher-levels units, factors such as the number and characteristics of these units, along with their</w:t>
      </w:r>
      <w:r>
        <w:t xml:space="preserve"> </w:t>
      </w:r>
      <w:r>
        <w:rPr>
          <w:i/>
          <w:iCs/>
        </w:rPr>
        <w:t xml:space="preserve">proximity</w:t>
      </w:r>
      <w:r>
        <w:t xml:space="preserve"> </w:t>
      </w:r>
      <w:r>
        <w:t xml:space="preserve">in terms of the assessed trait, can significantly influence the assessment outcome. An example of the latter can be found in the work of</w:t>
      </w:r>
      <w:r>
        <w:t xml:space="preserve"> </w:t>
      </w:r>
      <w:r>
        <w:t xml:space="preserve">Boonen, Kloots, and Gillis (2020)</w:t>
      </w:r>
      <w:r>
        <w:t xml:space="preserve">. The study evaluated the</w:t>
      </w:r>
      <w:r>
        <w:t xml:space="preserve"> </w:t>
      </w:r>
      <w:r>
        <w:rPr>
          <w:i/>
          <w:iCs/>
        </w:rPr>
        <w:t xml:space="preserve">overall perceived speech quality</w:t>
      </w:r>
      <w:r>
        <w:t xml:space="preserve"> </w:t>
      </w:r>
      <w:r>
        <w:t xml:space="preserve">within a pair of stimuli. The stimuli comprised multiple utterances (sub-units) originating from multiple children (units). Ultimately, the research aimed to assess potential trait differences not among stimuli, but rather among groups of units and judges.</w:t>
      </w:r>
    </w:p>
    <w:p>
      <w:pPr>
        <w:pStyle w:val="BodyText"/>
      </w:pPr>
      <w:r>
        <w:t xml:space="preserve">Previous studies have primarily focused on examining the individual impact of the different assessment factors on the reliability of DCJ. For instance,</w:t>
      </w:r>
      <w:r>
        <w:t xml:space="preserve"> </w:t>
      </w:r>
      <w:r>
        <w:t xml:space="preserve">Bramley (2015)</w:t>
      </w:r>
      <w:r>
        <w:t xml:space="preserve"> </w:t>
      </w:r>
      <w:r>
        <w:t xml:space="preserve">conducted a simulation-based study to investigate the effects of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the interplay of the different relevant assessment factors and their contribution to the reliability of the method.</w:t>
      </w:r>
    </w:p>
    <w:p>
      <w:pPr>
        <w:pStyle w:val="BodyText"/>
      </w:pPr>
      <w:r>
        <w:t xml:space="preserve">This study aims to address this gap by conducting a Bayesian simulation-based power analysis. Initially, it defines the different targets of inference, which form the basis for evaluating the reliability of the DCJ method. The targets are articulated through three research questions. Subsequently, the research constructs a</w:t>
      </w:r>
      <w:r>
        <w:t xml:space="preserve"> </w:t>
      </w:r>
      <w:r>
        <w:rPr>
          <w:i/>
          <w:iCs/>
        </w:rPr>
        <w:t xml:space="preserve">scientific model</w:t>
      </w:r>
      <w:r>
        <w:t xml:space="preserve"> </w:t>
      </w:r>
      <w:r>
        <w:t xml:space="preserve">for the DCJ procedure, elucidating the causal assumptions and mechanisms underlying the system, aiding in drawing inferences about causal relationships from data</w:t>
      </w:r>
      <w:r>
        <w:t xml:space="preserve"> </w:t>
      </w:r>
      <w:r>
        <w:t xml:space="preserve">(Hitchcock 2023)</w:t>
      </w:r>
      <w:r>
        <w:t xml:space="preserve">. Next, the study translates the scientific model into a probabilistic statistical model to derive a</w:t>
      </w:r>
      <w:r>
        <w:t xml:space="preserve"> </w:t>
      </w:r>
      <w:r>
        <w:rPr>
          <w:i/>
          <w:iCs/>
        </w:rPr>
        <w:t xml:space="preserve">statistical estimand</w:t>
      </w:r>
      <w:r>
        <w:t xml:space="preserve"> </w:t>
      </w:r>
      <w:r>
        <w:t xml:space="preserve">for the various inference targets. Bayesian statistical methods offer an intuitive approach for the task. Finally, employing multiple simulated datasets for different combinations of the relevant assessment factors, the study generates multiple</w:t>
      </w:r>
      <w:r>
        <w:t xml:space="preserve"> </w:t>
      </w:r>
      <w:r>
        <w:rPr>
          <w:i/>
          <w:iCs/>
        </w:rPr>
        <w:t xml:space="preserve">estimates</w:t>
      </w:r>
      <w:r>
        <w:t xml:space="preserve"> </w:t>
      </w:r>
      <w:r>
        <w:t xml:space="preserve">for the statistical estimands. Notably, the statistical estimands in simulated data are known, enabling the study to assess the reliability of DCJ by evaluating the</w:t>
      </w:r>
      <w:r>
        <w:t xml:space="preserve"> </w:t>
      </w:r>
      <w:r>
        <w:rPr>
          <w:i/>
          <w:iCs/>
        </w:rPr>
        <w:t xml:space="preserve">proximity</w:t>
      </w:r>
      <w:r>
        <w:t xml:space="preserve"> </w:t>
      </w:r>
      <w:r>
        <w:t xml:space="preserve">of these estimands to the generated estimates, resembling a power analysis. Ultimately, the outcomes of this study will inform the planning of DCJ experiments and hold significance for researchers or analysts involved in education and assessment procedures who implement the DCJ methodology.</w:t>
      </w:r>
    </w:p>
    <w:bookmarkEnd w:id="20"/>
    <w:bookmarkStart w:id="24" w:name="sec-TheoreticalFramework"/>
    <w:p>
      <w:pPr>
        <w:pStyle w:val="Heading2"/>
      </w:pPr>
      <w:r>
        <w:t xml:space="preserve">Theoretical framework</w:t>
      </w:r>
    </w:p>
    <w:p>
      <w:pPr>
        <w:pStyle w:val="FirstParagraph"/>
      </w:pPr>
      <w:r>
        <w:t xml:space="preserve">To evaluate the reliability of the DCJ method, the study first need to define specific terminology.</w:t>
      </w:r>
    </w:p>
    <w:bookmarkStart w:id="21" w:name="sec-ResearchQuestions"/>
    <w:p>
      <w:pPr>
        <w:pStyle w:val="Heading3"/>
      </w:pPr>
      <w:r>
        <w:t xml:space="preserve">Research questions and their estimands</w:t>
      </w:r>
    </w:p>
    <w:bookmarkEnd w:id="21"/>
    <w:bookmarkStart w:id="22" w:name="sec-SciMod"/>
    <w:p>
      <w:pPr>
        <w:pStyle w:val="Heading3"/>
      </w:pPr>
      <w:r>
        <w:t xml:space="preserve">A scientific model for the DCJ procedure</w:t>
      </w:r>
    </w:p>
    <w:p>
      <w:pPr>
        <w:pStyle w:val="FirstParagraph"/>
      </w:pPr>
      <w:r>
        <w:t xml:space="preserve">A</w:t>
      </w:r>
      <w:r>
        <w:t xml:space="preserve"> </w:t>
      </w:r>
      <w:r>
        <w:rPr>
          <w:i/>
          <w:iCs/>
        </w:rPr>
        <w:t xml:space="preserve">scientific (causal) model</w:t>
      </w:r>
      <w:r>
        <w:t xml:space="preserve"> </w:t>
      </w:r>
      <w:r>
        <w:t xml:space="preserve">describe the causal assumptions and mechanisms underlying a system, and facilitate inferences about causal relationships from data</w:t>
      </w:r>
      <w:r>
        <w:t xml:space="preserve"> </w:t>
      </w:r>
      <w:r>
        <w:t xml:space="preserve">(Hitchcock 2023)</w:t>
      </w:r>
      <w:r>
        <w:t xml:space="preserve">.</w:t>
      </w:r>
    </w:p>
    <w:bookmarkEnd w:id="22"/>
    <w:bookmarkStart w:id="23" w:name="sec-Sci2StatMod"/>
    <w:p>
      <w:pPr>
        <w:pStyle w:val="Heading3"/>
      </w:pPr>
      <w:r>
        <w:t xml:space="preserve">From the scientific to the statistical DCJ model</w:t>
      </w:r>
    </w:p>
    <w:bookmarkEnd w:id="23"/>
    <w:bookmarkEnd w:id="24"/>
    <w:bookmarkStart w:id="26" w:name="sec-methods"/>
    <w:p>
      <w:pPr>
        <w:pStyle w:val="Heading2"/>
      </w:pPr>
      <w:r>
        <w:t xml:space="preserve">Methods</w:t>
      </w:r>
    </w:p>
    <w:bookmarkStart w:id="25" w:name="bayesian-simulation-and-power-analysis"/>
    <w:p>
      <w:pPr>
        <w:pStyle w:val="Heading3"/>
      </w:pPr>
      <w:r>
        <w:t xml:space="preserve">Bayesian simulation and power analysis</w:t>
      </w:r>
    </w:p>
    <w:bookmarkEnd w:id="25"/>
    <w:bookmarkEnd w:id="26"/>
    <w:bookmarkStart w:id="30" w:name="sec-results"/>
    <w:p>
      <w:pPr>
        <w:pStyle w:val="Heading2"/>
      </w:pPr>
      <w:r>
        <w:t xml:space="preserve">Results</w:t>
      </w:r>
    </w:p>
    <w:bookmarkStart w:id="27" w:name="sec-RQ1"/>
    <w:p>
      <w:pPr>
        <w:pStyle w:val="Heading3"/>
      </w:pPr>
      <w:r>
        <w:t xml:space="preserve">Research question 1</w:t>
      </w:r>
    </w:p>
    <w:bookmarkEnd w:id="27"/>
    <w:bookmarkStart w:id="28" w:name="sec-RQ2"/>
    <w:p>
      <w:pPr>
        <w:pStyle w:val="Heading3"/>
      </w:pPr>
      <w:r>
        <w:t xml:space="preserve">Research question 2</w:t>
      </w:r>
    </w:p>
    <w:bookmarkEnd w:id="28"/>
    <w:bookmarkStart w:id="29" w:name="sec-RQ3"/>
    <w:p>
      <w:pPr>
        <w:pStyle w:val="Heading3"/>
      </w:pPr>
      <w:r>
        <w:t xml:space="preserve">Research question 3</w:t>
      </w:r>
    </w:p>
    <w:bookmarkEnd w:id="29"/>
    <w:bookmarkEnd w:id="30"/>
    <w:bookmarkStart w:id="32" w:name="sec-discussion"/>
    <w:p>
      <w:pPr>
        <w:pStyle w:val="Heading2"/>
      </w:pPr>
      <w:r>
        <w:t xml:space="preserve">Discussion</w:t>
      </w:r>
    </w:p>
    <w:bookmarkStart w:id="31" w:name="sec-LFR"/>
    <w:p>
      <w:pPr>
        <w:pStyle w:val="Heading3"/>
      </w:pPr>
      <w:r>
        <w:t xml:space="preserve">Limitations and further research</w:t>
      </w:r>
    </w:p>
    <w:bookmarkEnd w:id="31"/>
    <w:bookmarkEnd w:id="32"/>
    <w:bookmarkStart w:id="33" w:name="sec-conclusion"/>
    <w:p>
      <w:pPr>
        <w:pStyle w:val="Heading2"/>
      </w:pPr>
      <w:r>
        <w:t xml:space="preserve">Conclusion</w:t>
      </w:r>
    </w:p>
    <w:bookmarkEnd w:id="33"/>
    <w:bookmarkStart w:id="77" w:name="references"/>
    <w:p>
      <w:pPr>
        <w:pStyle w:val="Heading2"/>
      </w:pPr>
      <w:r>
        <w:t xml:space="preserve">References</w:t>
      </w:r>
    </w:p>
    <w:bookmarkStart w:id="76"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\url{http://www.cambridgeassessment.org.uk/Images/232694-investigating-the-reliability-of-adaptive-comparative-judgment.pdf}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48">
        <w:r>
          <w:rPr>
            <w:rStyle w:val="Hyperlink"/>
          </w:rPr>
          <w:t xml:space="preserve">https://doi.org/10.3389/feduc.2021.788202</w:t>
        </w:r>
      </w:hyperlink>
      <w:r>
        <w:t xml:space="preserve">.</w:t>
      </w:r>
    </w:p>
    <w:bookmarkEnd w:id="49"/>
    <w:bookmarkStart w:id="51"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0">
        <w:r>
          <w:rPr>
            <w:rStyle w:val="Hyperlink"/>
          </w:rPr>
          <w:t xml:space="preserve">https://doi.org/10.3389/feduc.2020.582800</w:t>
        </w:r>
      </w:hyperlink>
      <w:r>
        <w:t xml:space="preserve">.</w:t>
      </w:r>
    </w:p>
    <w:bookmarkEnd w:id="51"/>
    <w:bookmarkStart w:id="53"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2">
        <w:r>
          <w:rPr>
            <w:rStyle w:val="Hyperlink"/>
          </w:rPr>
          <w:t xml:space="preserve">https://plato.stanford.edu/archives/spr2023/entries/causal-models/</w:t>
        </w:r>
      </w:hyperlink>
      <w:r>
        <w:t xml:space="preserve">.</w:t>
      </w:r>
    </w:p>
    <w:bookmarkEnd w:id="53"/>
    <w:bookmarkStart w:id="54"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4"/>
    <w:bookmarkStart w:id="56"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5">
        <w:r>
          <w:rPr>
            <w:rStyle w:val="Hyperlink"/>
          </w:rPr>
          <w:t xml:space="preserve">https://doi.org/10.1037/h0043178</w:t>
        </w:r>
      </w:hyperlink>
      <w:r>
        <w:t xml:space="preserve">.</w:t>
      </w:r>
    </w:p>
    <w:bookmarkEnd w:id="56"/>
    <w:bookmarkStart w:id="58"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7">
        <w:r>
          <w:rPr>
            <w:rStyle w:val="Hyperlink"/>
          </w:rPr>
          <w:t xml:space="preserve">https://doi.org/10.1007/s40841-020-00163-3</w:t>
        </w:r>
      </w:hyperlink>
      <w:r>
        <w:t xml:space="preserve">.</w:t>
      </w:r>
    </w:p>
    <w:bookmarkEnd w:id="58"/>
    <w:bookmarkStart w:id="60"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59">
        <w:r>
          <w:rPr>
            <w:rStyle w:val="Hyperlink"/>
          </w:rPr>
          <w:t xml:space="preserve">https://doi.org/10.2307/2346567</w:t>
        </w:r>
      </w:hyperlink>
      <w:r>
        <w:t xml:space="preserve">.</w:t>
      </w:r>
    </w:p>
    <w:bookmarkEnd w:id="60"/>
    <w:bookmarkStart w:id="62"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1">
        <w:r>
          <w:rPr>
            <w:rStyle w:val="Hyperlink"/>
          </w:rPr>
          <w:t xml:space="preserve">https://doi.org/10.1007/s10798-011-9189-x</w:t>
        </w:r>
      </w:hyperlink>
      <w:r>
        <w:t xml:space="preserve">.</w:t>
      </w:r>
    </w:p>
    <w:bookmarkEnd w:id="62"/>
    <w:bookmarkStart w:id="64"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63">
        <w:r>
          <w:rPr>
            <w:rStyle w:val="Hyperlink"/>
          </w:rPr>
          <w:t xml:space="preserve">https://doi.org/10.1080/0969594X.2012.665354</w:t>
        </w:r>
      </w:hyperlink>
      <w:r>
        <w:t xml:space="preserve">.</w:t>
      </w:r>
    </w:p>
    <w:bookmarkEnd w:id="64"/>
    <w:bookmarkStart w:id="66"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65">
        <w:r>
          <w:rPr>
            <w:rStyle w:val="Hyperlink"/>
          </w:rPr>
          <w:t xml:space="preserve">https://doi.org/10.1037/h0070288</w:t>
        </w:r>
      </w:hyperlink>
      <w:r>
        <w:t xml:space="preserve">.</w:t>
      </w:r>
    </w:p>
    <w:bookmarkEnd w:id="66"/>
    <w:bookmarkStart w:id="68"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67">
        <w:r>
          <w:rPr>
            <w:rStyle w:val="Hyperlink"/>
          </w:rPr>
          <w:t xml:space="preserve">https://doi.org/10.1016/0022-2496(86)90034-9</w:t>
        </w:r>
      </w:hyperlink>
      <w:r>
        <w:t xml:space="preserve">.</w:t>
      </w:r>
    </w:p>
    <w:bookmarkEnd w:id="68"/>
    <w:bookmarkStart w:id="69"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69"/>
    <w:bookmarkStart w:id="71"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0">
        <w:r>
          <w:rPr>
            <w:rStyle w:val="Hyperlink"/>
          </w:rPr>
          <w:t xml:space="preserve">https://doi.org/10.1080/0969594X.2016.1253542</w:t>
        </w:r>
      </w:hyperlink>
      <w:r>
        <w:t xml:space="preserve">.</w:t>
      </w:r>
    </w:p>
    <w:bookmarkEnd w:id="71"/>
    <w:bookmarkStart w:id="73"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72">
        <w:r>
          <w:rPr>
            <w:rStyle w:val="Hyperlink"/>
          </w:rPr>
          <w:t xml:space="preserve">https://doi.org/10.3389/feduc.2017.00044</w:t>
        </w:r>
      </w:hyperlink>
      <w:r>
        <w:t xml:space="preserve">.</w:t>
      </w:r>
    </w:p>
    <w:bookmarkEnd w:id="73"/>
    <w:bookmarkStart w:id="75"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74">
        <w:r>
          <w:rPr>
            <w:rStyle w:val="Hyperlink"/>
          </w:rPr>
          <w:t xml:space="preserve">https://doi.org/10.1080/0969594X.2019.1602027</w:t>
        </w:r>
      </w:hyperlink>
      <w:r>
        <w:t xml:space="preserve">.</w:t>
      </w:r>
    </w:p>
    <w:bookmarkEnd w:id="75"/>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url{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1" Target="https://doi.org/10.1007/s10798-011-9189-x" TargetMode="External" /><Relationship Type="http://schemas.openxmlformats.org/officeDocument/2006/relationships/hyperlink" Id="rId57" Target="https://doi.org/10.1007/s40841-020-00163-3" TargetMode="External" /><Relationship Type="http://schemas.openxmlformats.org/officeDocument/2006/relationships/hyperlink" Id="rId67"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5" Target="https://doi.org/10.1037/h0043178" TargetMode="External" /><Relationship Type="http://schemas.openxmlformats.org/officeDocument/2006/relationships/hyperlink" Id="rId65" Target="https://doi.org/10.1037/h0070288" TargetMode="External" /><Relationship Type="http://schemas.openxmlformats.org/officeDocument/2006/relationships/hyperlink" Id="rId63" Target="https://doi.org/10.1080/0969594X.2012.665354" TargetMode="External" /><Relationship Type="http://schemas.openxmlformats.org/officeDocument/2006/relationships/hyperlink" Id="rId70"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74"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59"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72" Target="https://doi.org/10.3389/feduc.2017.00044" TargetMode="External" /><Relationship Type="http://schemas.openxmlformats.org/officeDocument/2006/relationships/hyperlink" Id="rId50" Target="https://doi.org/10.3389/feduc.2020.582800" TargetMode="External" /><Relationship Type="http://schemas.openxmlformats.org/officeDocument/2006/relationships/hyperlink" Id="rId48" Target="https://doi.org/10.3389/feduc.2021.788202" TargetMode="External" /><Relationship Type="http://schemas.openxmlformats.org/officeDocument/2006/relationships/hyperlink" Id="rId52" Target="https://plato.stanford.edu/archives/spr2023/entries/causal-models/" TargetMode="External" /></Relationships>
</file>

<file path=word/_rels/footnotes.xml.rels><?xml version="1.0" encoding="UTF-8"?><Relationships xmlns="http://schemas.openxmlformats.org/package/2006/relationships"><Relationship Type="http://schemas.openxmlformats.org/officeDocument/2006/relationships/hyperlink" Id="rId44" Target="\url{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1" Target="https://doi.org/10.1007/s10798-011-9189-x" TargetMode="External" /><Relationship Type="http://schemas.openxmlformats.org/officeDocument/2006/relationships/hyperlink" Id="rId57" Target="https://doi.org/10.1007/s40841-020-00163-3" TargetMode="External" /><Relationship Type="http://schemas.openxmlformats.org/officeDocument/2006/relationships/hyperlink" Id="rId67"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5" Target="https://doi.org/10.1037/h0043178" TargetMode="External" /><Relationship Type="http://schemas.openxmlformats.org/officeDocument/2006/relationships/hyperlink" Id="rId65" Target="https://doi.org/10.1037/h0070288" TargetMode="External" /><Relationship Type="http://schemas.openxmlformats.org/officeDocument/2006/relationships/hyperlink" Id="rId63" Target="https://doi.org/10.1080/0969594X.2012.665354" TargetMode="External" /><Relationship Type="http://schemas.openxmlformats.org/officeDocument/2006/relationships/hyperlink" Id="rId70"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74"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59"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72" Target="https://doi.org/10.3389/feduc.2017.00044" TargetMode="External" /><Relationship Type="http://schemas.openxmlformats.org/officeDocument/2006/relationships/hyperlink" Id="rId50" Target="https://doi.org/10.3389/feduc.2020.582800" TargetMode="External" /><Relationship Type="http://schemas.openxmlformats.org/officeDocument/2006/relationships/hyperlink" Id="rId48" Target="https://doi.org/10.3389/feduc.2021.788202" TargetMode="External" /><Relationship Type="http://schemas.openxmlformats.org/officeDocument/2006/relationships/hyperlink" Id="rId52" Target="https://plato.stanford.edu/archives/spr2023/entries/caus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interplay of assessment factors in Dichotomous Comparative Judgments</dc:title>
  <dc:creator>Jose Manuel Rivera Espejo; Sven De Maeyer; Steven Gillis</dc:creator>
  <cp:keywords>power analysis, comparative judgment, bayesian analysis, simulation</cp:keywords>
  <dcterms:created xsi:type="dcterms:W3CDTF">2024-03-21T18:18:27Z</dcterms:created>
  <dcterms:modified xsi:type="dcterms:W3CDTF">2024-03-21T18:18:27Z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2024-03-21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quarto installage-summary">
    <vt:lpwstr>(to do)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A Bayesian simulation-based power analysis exploring their impacts on the method’s reliability</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