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Power</w:t>
      </w:r>
      <w:r>
        <w:t xml:space="preserve"> </w:t>
      </w:r>
      <w:r>
        <w:t xml:space="preserve">analysis</w:t>
      </w:r>
      <w:r>
        <w:t xml:space="preserve"> </w:t>
      </w:r>
      <w:r>
        <w:t xml:space="preserve">for</w:t>
      </w:r>
      <w:r>
        <w:t xml:space="preserve"> </w:t>
      </w:r>
      <w:r>
        <w:t xml:space="preserve">Dichotomous</w:t>
      </w:r>
      <w:r>
        <w:t xml:space="preserve"> </w:t>
      </w:r>
      <w:r>
        <w:t xml:space="preserve">Comparative</w:t>
      </w:r>
      <w:r>
        <w:t xml:space="preserve"> </w:t>
      </w:r>
      <w:r>
        <w:t xml:space="preserve">Judgment</w:t>
      </w:r>
      <w:r>
        <w:t xml:space="preserve"> </w:t>
      </w:r>
      <w:r>
        <w:t xml:space="preserve">experiments</w:t>
      </w:r>
      <w:r>
        <w:t xml:space="preserve"> </w:t>
      </w:r>
      <w:r>
        <w:t xml:space="preserve">(DCJ)</w:t>
      </w:r>
    </w:p>
    <w:p>
      <w:pPr>
        <w:pStyle w:val="Subtitle"/>
      </w:pPr>
      <w:r>
        <w:t xml:space="preserve">A</w:t>
      </w:r>
      <w:r>
        <w:t xml:space="preserve"> </w:t>
      </w:r>
      <w:r>
        <w:t xml:space="preserve">Bayesian</w:t>
      </w:r>
      <w:r>
        <w:t xml:space="preserve"> </w:t>
      </w:r>
      <w:r>
        <w:t xml:space="preserve">simulation-based</w:t>
      </w:r>
      <w:r>
        <w:t xml:space="preserve"> </w:t>
      </w:r>
      <w:r>
        <w:t xml:space="preserve">study</w:t>
      </w:r>
      <w:r>
        <w:t xml:space="preserve"> </w:t>
      </w:r>
      <w:r>
        <w:t xml:space="preserve">exploring</w:t>
      </w:r>
      <w:r>
        <w:t xml:space="preserve"> </w:t>
      </w:r>
      <w:r>
        <w:t xml:space="preserve">the</w:t>
      </w:r>
      <w:r>
        <w:t xml:space="preserve"> </w:t>
      </w:r>
      <w:r>
        <w:t xml:space="preserve">factors</w:t>
      </w:r>
      <w:r>
        <w:t xml:space="preserve"> </w:t>
      </w:r>
      <w:r>
        <w:t xml:space="preserve">that</w:t>
      </w:r>
      <w:r>
        <w:t xml:space="preserve"> </w:t>
      </w:r>
      <w:r>
        <w:t xml:space="preserve">impact</w:t>
      </w:r>
      <w:r>
        <w:t xml:space="preserve"> </w:t>
      </w:r>
      <w:r>
        <w:t xml:space="preserve">DCJ</w:t>
      </w:r>
    </w:p>
    <w:p>
      <w:pPr>
        <w:pStyle w:val="Author"/>
      </w:pPr>
      <w:r>
        <w:t xml:space="preserve">Jose</w:t>
      </w:r>
      <w:r>
        <w:t xml:space="preserve"> </w:t>
      </w:r>
      <w:r>
        <w:t xml:space="preserve">Manuel</w:t>
      </w:r>
      <w:r>
        <w:t xml:space="preserve"> </w:t>
      </w:r>
      <w:r>
        <w:t xml:space="preserve">Rivera</w:t>
      </w:r>
      <w:r>
        <w:t xml:space="preserve"> </w:t>
      </w:r>
      <w:r>
        <w:t xml:space="preserve">Espejo</w:t>
      </w:r>
    </w:p>
    <w:p>
      <w:pPr>
        <w:pStyle w:val="Author"/>
      </w:pPr>
      <w:r>
        <w:t xml:space="preserve">Sven</w:t>
      </w:r>
      <w:r>
        <w:t xml:space="preserve"> </w:t>
      </w:r>
      <w:r>
        <w:t xml:space="preserve">de</w:t>
      </w:r>
      <w:r>
        <w:t xml:space="preserve"> </w:t>
      </w:r>
      <w:r>
        <w:t xml:space="preserve">Maeyer</w:t>
      </w:r>
    </w:p>
    <w:p>
      <w:pPr>
        <w:pStyle w:val="Author"/>
      </w:pPr>
      <w:r>
        <w:t xml:space="preserve">Steven</w:t>
      </w:r>
      <w:r>
        <w:t xml:space="preserve"> </w:t>
      </w:r>
      <w:r>
        <w:t xml:space="preserve">Gillis</w:t>
      </w:r>
    </w:p>
    <w:p>
      <w:pPr>
        <w:pStyle w:val="Date"/>
      </w:pPr>
      <w:r>
        <w:t xml:space="preserve">2024-03-12</w:t>
      </w:r>
    </w:p>
    <w:p>
      <w:pPr>
        <w:pStyle w:val="AbstractTitle"/>
      </w:pPr>
      <w:r>
        <w:t xml:space="preserve">Abstract</w:t>
      </w:r>
    </w:p>
    <w:p>
      <w:pPr>
        <w:pStyle w:val="Abstract"/>
      </w:pPr>
      <w:r>
        <w:t xml:space="preserve">(to</w:t>
      </w:r>
      <w:r>
        <w:t xml:space="preserve"> </w:t>
      </w:r>
      <w:r>
        <w:t xml:space="preserve">do)</w:t>
      </w:r>
      <w:r>
        <w:t xml:space="preserve"> </w:t>
      </w:r>
      <w:r>
        <w:t xml:space="preserve">…</w:t>
      </w:r>
    </w:p>
    <w:bookmarkStart w:id="20" w:name="sec-introduction"/>
    <w:p>
      <w:pPr>
        <w:pStyle w:val="Heading2"/>
      </w:pPr>
      <w:r>
        <w:t xml:space="preserve">1 Introduction</w:t>
      </w:r>
    </w:p>
    <w:p>
      <w:pPr>
        <w:pStyle w:val="FirstParagraph"/>
      </w:pPr>
      <w:r>
        <w:t xml:space="preserve">Comparative Judgment often refers to the method of</w:t>
      </w:r>
      <w:r>
        <w:t xml:space="preserve"> </w:t>
      </w:r>
      <w:r>
        <w:t xml:space="preserve"> </w:t>
      </w:r>
      <w:r>
        <w:t xml:space="preserve">Comparative Judgement</w:t>
      </w:r>
      <w:r>
        <w:t xml:space="preserve"> </w:t>
      </w:r>
      <w:r>
        <w:t xml:space="preserve">(DCJ, Thurstone 1927)</w:t>
      </w:r>
      <w:r>
        <w:t xml:space="preserve"> </w:t>
      </w:r>
      <w:r>
        <w:t xml:space="preserve">where judges rate an object’s trait by means of pairwise comparisons in a dichotomous scale. Usually, in these types of experiments the objects are observational units from higher hierarchical levels, such as subjects. For example, when researchers are interested in assessing the trait of speech intelligibility of individuals (subjects), judges rate dichotomously two uttered sentences (objects, nested within individuals).</w:t>
      </w:r>
    </w:p>
    <w:p>
      <w:pPr>
        <w:pStyle w:val="BodyText"/>
      </w:pPr>
      <w:r>
        <w:t xml:space="preserve">DCJ have been successfully applied to education, e.g., for assessing writing quality</w:t>
      </w:r>
      <w:r>
        <w:t xml:space="preserve"> </w:t>
      </w:r>
      <w:r>
        <w:t xml:space="preserve">van Daal (2020)</w:t>
      </w:r>
      <w:r>
        <w:t xml:space="preserve">, STEM abilities</w:t>
      </w:r>
      <w:r>
        <w:t xml:space="preserve"> </w:t>
      </w:r>
      <w:r>
        <w:t xml:space="preserve">Bartholomew and Williams (2020)</w:t>
      </w:r>
      <w:r>
        <w:t xml:space="preserve">, linguistics</w:t>
      </w:r>
      <w:r>
        <w:t xml:space="preserve"> </w:t>
      </w:r>
      <w:r>
        <w:t xml:space="preserve">(Boonen, Kloots, and Gillis 2020)</w:t>
      </w:r>
      <w:r>
        <w:t xml:space="preserve">. In marketing, e.g., recipe tasting such as in examples found in</w:t>
      </w:r>
      <w:r>
        <w:t xml:space="preserve"> </w:t>
      </w:r>
      <w:r>
        <w:t xml:space="preserve">Lawson (2015)</w:t>
      </w:r>
      <w:r>
        <w:t xml:space="preserve">.</w:t>
      </w:r>
    </w:p>
    <w:p>
      <w:pPr>
        <w:pStyle w:val="BodyText"/>
      </w:pPr>
      <w:r>
        <w:t xml:space="preserve">No CJ research have been submitted on the</w:t>
      </w:r>
      <w:r>
        <w:t xml:space="preserve"> </w:t>
      </w:r>
      <w:r>
        <w:rPr>
          <w:i/>
          <w:iCs/>
        </w:rPr>
        <w:t xml:space="preserve">intersection</w:t>
      </w:r>
      <w:r>
        <w:t xml:space="preserve"> </w:t>
      </w:r>
      <w:r>
        <w:t xml:space="preserve">of</w:t>
      </w:r>
    </w:p>
    <w:p>
      <w:pPr>
        <w:numPr>
          <w:ilvl w:val="0"/>
          <w:numId w:val="1001"/>
        </w:numPr>
      </w:pPr>
      <w:r>
        <w:t xml:space="preserve">Simulation-based power analysis</w:t>
      </w:r>
    </w:p>
    <w:p>
      <w:pPr>
        <w:numPr>
          <w:ilvl w:val="0"/>
          <w:numId w:val="1000"/>
        </w:numPr>
      </w:pPr>
      <w:r>
        <w:t xml:space="preserve">importance for planning and reliability of results</w:t>
      </w:r>
    </w:p>
    <w:p>
      <w:pPr>
        <w:numPr>
          <w:ilvl w:val="0"/>
          <w:numId w:val="1001"/>
        </w:numPr>
      </w:pPr>
      <w:r>
        <w:t xml:space="preserve">For comparative judgments:</w:t>
      </w:r>
    </w:p>
    <w:p>
      <w:pPr>
        <w:numPr>
          <w:ilvl w:val="0"/>
          <w:numId w:val="1000"/>
        </w:numPr>
      </w:pPr>
      <w:r>
        <w:t xml:space="preserve">sophisticated procedure to score traits:</w:t>
      </w:r>
    </w:p>
    <w:p>
      <w:pPr>
        <w:pStyle w:val="Compact"/>
        <w:numPr>
          <w:ilvl w:val="1"/>
          <w:numId w:val="1002"/>
        </w:numPr>
      </w:pPr>
      <w:r>
        <w:t xml:space="preserve">between subjects</w:t>
      </w:r>
    </w:p>
    <w:p>
      <w:pPr>
        <w:pStyle w:val="Compact"/>
        <w:numPr>
          <w:ilvl w:val="1"/>
          <w:numId w:val="1002"/>
        </w:numPr>
      </w:pPr>
      <w:r>
        <w:t xml:space="preserve">against a reference subject</w:t>
      </w:r>
    </w:p>
    <w:p>
      <w:pPr>
        <w:pStyle w:val="Compact"/>
        <w:numPr>
          <w:ilvl w:val="1"/>
          <w:numId w:val="1002"/>
        </w:numPr>
      </w:pPr>
      <w:r>
        <w:t xml:space="preserve">to test research theories</w:t>
      </w:r>
    </w:p>
    <w:p>
      <w:pPr>
        <w:pStyle w:val="Compact"/>
        <w:numPr>
          <w:ilvl w:val="1"/>
          <w:numId w:val="1002"/>
        </w:numPr>
      </w:pPr>
      <w:r>
        <w:t xml:space="preserve">to test judges’ reliability</w:t>
      </w:r>
    </w:p>
    <w:p>
      <w:pPr>
        <w:numPr>
          <w:ilvl w:val="0"/>
          <w:numId w:val="1001"/>
        </w:numPr>
      </w:pPr>
      <w:r>
        <w:t xml:space="preserve">Considering the predictability of the phenomena</w:t>
      </w:r>
    </w:p>
    <w:p>
      <w:pPr>
        <w:numPr>
          <w:ilvl w:val="0"/>
          <w:numId w:val="1000"/>
        </w:numPr>
      </w:pPr>
      <w:r>
        <w:t xml:space="preserve">its importance in</w:t>
      </w:r>
      <w:r>
        <w:t xml:space="preserve"> </w:t>
      </w:r>
      <w:r>
        <w:t xml:space="preserve">Shmueli and Koppius (2011)</w:t>
      </w:r>
      <w:r>
        <w:t xml:space="preserve"> </w:t>
      </w:r>
      <w:r>
        <w:t xml:space="preserve">and Lawson</w:t>
      </w:r>
      <w:r>
        <w:t xml:space="preserve"> </w:t>
      </w:r>
      <w:r>
        <w:t xml:space="preserve">(2015, 7)</w:t>
      </w:r>
    </w:p>
    <w:p>
      <w:pPr>
        <w:numPr>
          <w:ilvl w:val="0"/>
          <w:numId w:val="1001"/>
        </w:numPr>
      </w:pPr>
      <w:r>
        <w:t xml:space="preserve">Under Bayesian framework</w:t>
      </w:r>
    </w:p>
    <w:p>
      <w:pPr>
        <w:numPr>
          <w:ilvl w:val="0"/>
          <w:numId w:val="1001"/>
        </w:numPr>
      </w:pPr>
      <w:r>
        <w:t xml:space="preserve">Keeping a documentation of the implementation</w:t>
      </w:r>
    </w:p>
    <w:bookmarkEnd w:id="20"/>
    <w:bookmarkStart w:id="21" w:name="sec-ResearchQuestions"/>
    <w:p>
      <w:pPr>
        <w:pStyle w:val="Heading2"/>
      </w:pPr>
      <w:r>
        <w:t xml:space="preserve">2 Research questions</w:t>
      </w:r>
    </w:p>
    <w:bookmarkEnd w:id="21"/>
    <w:bookmarkStart w:id="27" w:name="sec-methods"/>
    <w:p>
      <w:pPr>
        <w:pStyle w:val="Heading2"/>
      </w:pPr>
      <w:r>
        <w:t xml:space="preserve">3 Methods</w:t>
      </w:r>
    </w:p>
    <w:bookmarkStart w:id="22" w:name="sec-TF"/>
    <w:p>
      <w:pPr>
        <w:pStyle w:val="Heading3"/>
      </w:pPr>
      <w:r>
        <w:t xml:space="preserve">3.1 Theoretical framework</w:t>
      </w:r>
    </w:p>
    <w:bookmarkEnd w:id="22"/>
    <w:bookmarkStart w:id="23" w:name="sec-SM"/>
    <w:p>
      <w:pPr>
        <w:pStyle w:val="Heading3"/>
      </w:pPr>
      <w:r>
        <w:t xml:space="preserve">3.2 Statistical model</w:t>
      </w:r>
    </w:p>
    <w:bookmarkEnd w:id="23"/>
    <w:bookmarkStart w:id="26" w:name="power-analysis"/>
    <w:p>
      <w:pPr>
        <w:pStyle w:val="Heading3"/>
      </w:pPr>
      <w:r>
        <w:t xml:space="preserve">3.3 Power analysis</w:t>
      </w:r>
    </w:p>
    <w:bookmarkStart w:id="24" w:name="sec-FI"/>
    <w:p>
      <w:pPr>
        <w:pStyle w:val="Heading4"/>
      </w:pPr>
      <w:r>
        <w:t xml:space="preserve">3.3.1 Factors of interest</w:t>
      </w:r>
    </w:p>
    <w:bookmarkEnd w:id="24"/>
    <w:bookmarkStart w:id="25" w:name="sec-D"/>
    <w:p>
      <w:pPr>
        <w:pStyle w:val="Heading4"/>
      </w:pPr>
      <w:r>
        <w:t xml:space="preserve">3.3.2 Data</w:t>
      </w:r>
    </w:p>
    <w:bookmarkEnd w:id="25"/>
    <w:bookmarkEnd w:id="26"/>
    <w:bookmarkEnd w:id="27"/>
    <w:bookmarkStart w:id="31" w:name="sec-results"/>
    <w:p>
      <w:pPr>
        <w:pStyle w:val="Heading2"/>
      </w:pPr>
      <w:r>
        <w:t xml:space="preserve">4 Results</w:t>
      </w:r>
    </w:p>
    <w:bookmarkStart w:id="28" w:name="sec-RQ1"/>
    <w:p>
      <w:pPr>
        <w:pStyle w:val="Heading3"/>
      </w:pPr>
      <w:r>
        <w:t xml:space="preserve">4.1 Research question 1</w:t>
      </w:r>
    </w:p>
    <w:bookmarkEnd w:id="28"/>
    <w:bookmarkStart w:id="29" w:name="sec-RQ2"/>
    <w:p>
      <w:pPr>
        <w:pStyle w:val="Heading3"/>
      </w:pPr>
      <w:r>
        <w:t xml:space="preserve">4.2 Research question 2</w:t>
      </w:r>
    </w:p>
    <w:bookmarkEnd w:id="29"/>
    <w:bookmarkStart w:id="30" w:name="sec-RQ3"/>
    <w:p>
      <w:pPr>
        <w:pStyle w:val="Heading3"/>
      </w:pPr>
      <w:r>
        <w:t xml:space="preserve">4.3 Research question 3</w:t>
      </w:r>
    </w:p>
    <w:bookmarkEnd w:id="30"/>
    <w:bookmarkEnd w:id="31"/>
    <w:bookmarkStart w:id="33" w:name="sec-discussion"/>
    <w:p>
      <w:pPr>
        <w:pStyle w:val="Heading2"/>
      </w:pPr>
      <w:r>
        <w:t xml:space="preserve">5 Discussion</w:t>
      </w:r>
    </w:p>
    <w:bookmarkStart w:id="32" w:name="sec-LFR"/>
    <w:p>
      <w:pPr>
        <w:pStyle w:val="Heading3"/>
      </w:pPr>
      <w:r>
        <w:t xml:space="preserve">5.1 Limitations and further research</w:t>
      </w:r>
    </w:p>
    <w:bookmarkEnd w:id="32"/>
    <w:bookmarkEnd w:id="33"/>
    <w:bookmarkStart w:id="34" w:name="sec-conclusion"/>
    <w:p>
      <w:pPr>
        <w:pStyle w:val="Heading2"/>
      </w:pPr>
      <w:r>
        <w:t xml:space="preserve">6 Conclusion</w:t>
      </w:r>
    </w:p>
    <w:bookmarkEnd w:id="34"/>
    <w:bookmarkStart w:id="52" w:name="references"/>
    <w:p>
      <w:pPr>
        <w:pStyle w:val="Heading2"/>
      </w:pPr>
      <w:r>
        <w:t xml:space="preserve">References</w:t>
      </w:r>
    </w:p>
    <w:bookmarkStart w:id="51" w:name="refs"/>
    <w:bookmarkStart w:id="36" w:name="ref-Bartholomew_et_al_2018"/>
    <w:p>
      <w:pPr>
        <w:pStyle w:val="Bibliography"/>
      </w:pPr>
      <w:r>
        <w:t xml:space="preserve">Bartholomew, S., L. Nadelson, W. Goodridge, and E. Reeve. 2018.</w:t>
      </w:r>
      <w:r>
        <w:t xml:space="preserve"> </w:t>
      </w:r>
      <w:r>
        <w:t xml:space="preserve">“Adaptive Comparative Judgment as a Tool for Assessing Open-Ended Design Problems and Model Eliciting Activities.”</w:t>
      </w:r>
      <w:r>
        <w:t xml:space="preserve"> </w:t>
      </w:r>
      <w:r>
        <w:rPr>
          <w:i/>
          <w:iCs/>
        </w:rPr>
        <w:t xml:space="preserve">Educational Assessment</w:t>
      </w:r>
      <w:r>
        <w:t xml:space="preserve"> </w:t>
      </w:r>
      <w:r>
        <w:t xml:space="preserve">23 (2): 85–101.</w:t>
      </w:r>
      <w:r>
        <w:t xml:space="preserve"> </w:t>
      </w:r>
      <w:hyperlink r:id="rId35">
        <w:r>
          <w:rPr>
            <w:rStyle w:val="Hyperlink"/>
          </w:rPr>
          <w:t xml:space="preserve">https://doi.org/10.1080/10627197.2018.1444986</w:t>
        </w:r>
      </w:hyperlink>
      <w:r>
        <w:t xml:space="preserve">.</w:t>
      </w:r>
    </w:p>
    <w:bookmarkEnd w:id="36"/>
    <w:bookmarkStart w:id="38" w:name="ref-Bartholomew_et_al_2020"/>
    <w:p>
      <w:pPr>
        <w:pStyle w:val="Bibliography"/>
      </w:pPr>
      <w:r>
        <w:t xml:space="preserve">Bartholomew, S., and P. Williams. 2020.</w:t>
      </w:r>
      <w:r>
        <w:t xml:space="preserve"> </w:t>
      </w:r>
      <w:r>
        <w:t xml:space="preserve">“STEM Skill Assessment: An Application of Adaptive Comparative Judgment.”</w:t>
      </w:r>
      <w:r>
        <w:t xml:space="preserve"> </w:t>
      </w:r>
      <w:r>
        <w:t xml:space="preserve">In</w:t>
      </w:r>
      <w:r>
        <w:t xml:space="preserve"> </w:t>
      </w:r>
      <w:r>
        <w:rPr>
          <w:i/>
          <w:iCs/>
        </w:rPr>
        <w:t xml:space="preserve">Integrated Approaches to STEM Education. Advances in STEM Education</w:t>
      </w:r>
      <w:r>
        <w:t xml:space="preserve">, edited by J. Anderson and Y. Li. Springer.</w:t>
      </w:r>
      <w:r>
        <w:t xml:space="preserve"> </w:t>
      </w:r>
      <w:hyperlink r:id="rId37">
        <w:r>
          <w:rPr>
            <w:rStyle w:val="Hyperlink"/>
          </w:rPr>
          <w:t xml:space="preserve">https://doi.org/10.1007/978-3-030-52229-2_18</w:t>
        </w:r>
      </w:hyperlink>
      <w:r>
        <w:t xml:space="preserve">.</w:t>
      </w:r>
    </w:p>
    <w:bookmarkEnd w:id="38"/>
    <w:bookmarkStart w:id="40" w:name="ref-Boonen_et_al_2020"/>
    <w:p>
      <w:pPr>
        <w:pStyle w:val="Bibliography"/>
      </w:pPr>
      <w:r>
        <w:t xml:space="preserve">Boonen, N., H. Kloots, and S. Gillis. 2020.</w:t>
      </w:r>
      <w:r>
        <w:t xml:space="preserve"> </w:t>
      </w:r>
      <w:r>
        <w:t xml:space="preserve">“Rating the Overall Speech Quality of Hearing-Impaired Children by Means of Comparative Judgements.”</w:t>
      </w:r>
      <w:r>
        <w:t xml:space="preserve"> </w:t>
      </w:r>
      <w:r>
        <w:rPr>
          <w:i/>
          <w:iCs/>
        </w:rPr>
        <w:t xml:space="preserve">Journal of Communication Disorders</w:t>
      </w:r>
      <w:r>
        <w:t xml:space="preserve"> </w:t>
      </w:r>
      <w:r>
        <w:t xml:space="preserve">83: 1675–87.</w:t>
      </w:r>
      <w:r>
        <w:t xml:space="preserve"> </w:t>
      </w:r>
      <w:hyperlink r:id="rId39">
        <w:r>
          <w:rPr>
            <w:rStyle w:val="Hyperlink"/>
          </w:rPr>
          <w:t xml:space="preserve">https://doi.org/10.1016/j.jcomdis.2019.105969</w:t>
        </w:r>
      </w:hyperlink>
      <w:r>
        <w:t xml:space="preserve">.</w:t>
      </w:r>
    </w:p>
    <w:bookmarkEnd w:id="40"/>
    <w:bookmarkStart w:id="42" w:name="ref-Lawson_2015"/>
    <w:p>
      <w:pPr>
        <w:pStyle w:val="Bibliography"/>
      </w:pPr>
      <w:r>
        <w:t xml:space="preserve">Lawson, J. 2015.</w:t>
      </w:r>
      <w:r>
        <w:t xml:space="preserve"> </w:t>
      </w:r>
      <w:hyperlink r:id="rId41">
        <w:r>
          <w:rPr>
            <w:rStyle w:val="Hyperlink"/>
            <w:i/>
            <w:iCs/>
          </w:rPr>
          <w:t xml:space="preserve">Design and Analysis of Experiments with r</w:t>
        </w:r>
      </w:hyperlink>
      <w:r>
        <w:t xml:space="preserve">. Chapman; Hall/CRC.</w:t>
      </w:r>
    </w:p>
    <w:bookmarkEnd w:id="42"/>
    <w:bookmarkStart w:id="43" w:name="ref-Lesterhuis_2018"/>
    <w:p>
      <w:pPr>
        <w:pStyle w:val="Bibliography"/>
      </w:pPr>
      <w:r>
        <w:t xml:space="preserve">Lesterhuis, M. 2018.</w:t>
      </w:r>
      <w:r>
        <w:t xml:space="preserve"> </w:t>
      </w:r>
      <w:r>
        <w:t xml:space="preserve">“The Validity of Comparative Judgement for Assessing Text Quality: An Assessor’s Perspective.”</w:t>
      </w:r>
      <w:r>
        <w:t xml:space="preserve"> </w:t>
      </w:r>
      <w:r>
        <w:t xml:space="preserve">PhD thesis, University of Antwerp.</w:t>
      </w:r>
    </w:p>
    <w:bookmarkEnd w:id="43"/>
    <w:bookmarkStart w:id="45" w:name="ref-Pollitt_2012b"/>
    <w:p>
      <w:pPr>
        <w:pStyle w:val="Bibliography"/>
      </w:pPr>
      <w:r>
        <w:t xml:space="preserve">Pollitt, A. 2012.</w:t>
      </w:r>
      <w:r>
        <w:t xml:space="preserve"> </w:t>
      </w:r>
      <w:r>
        <w:t xml:space="preserve">“The Method of Adaptive Comparative Judgement.”</w:t>
      </w:r>
      <w:r>
        <w:t xml:space="preserve"> </w:t>
      </w:r>
      <w:r>
        <w:rPr>
          <w:i/>
          <w:iCs/>
        </w:rPr>
        <w:t xml:space="preserve">Assessment in Education: Principles, Policy and Practice</w:t>
      </w:r>
      <w:r>
        <w:t xml:space="preserve"> </w:t>
      </w:r>
      <w:r>
        <w:t xml:space="preserve">19 (3): 281--300.</w:t>
      </w:r>
      <w:r>
        <w:t xml:space="preserve"> </w:t>
      </w:r>
      <w:hyperlink r:id="rId44">
        <w:r>
          <w:rPr>
            <w:rStyle w:val="Hyperlink"/>
          </w:rPr>
          <w:t xml:space="preserve">https://doi.org/10.1080/0969594X.2012.665354</w:t>
        </w:r>
      </w:hyperlink>
      <w:r>
        <w:t xml:space="preserve">.</w:t>
      </w:r>
    </w:p>
    <w:bookmarkEnd w:id="45"/>
    <w:bookmarkStart w:id="47" w:name="ref-Shmueli_et_al_2011"/>
    <w:p>
      <w:pPr>
        <w:pStyle w:val="Bibliography"/>
      </w:pPr>
      <w:r>
        <w:t xml:space="preserve">Shmueli, G., and O. Koppius. 2011.</w:t>
      </w:r>
      <w:r>
        <w:t xml:space="preserve"> </w:t>
      </w:r>
      <w:r>
        <w:t xml:space="preserve">“Predictive Analytics in Information Systems Research.”</w:t>
      </w:r>
      <w:r>
        <w:t xml:space="preserve"> </w:t>
      </w:r>
      <w:r>
        <w:rPr>
          <w:i/>
          <w:iCs/>
        </w:rPr>
        <w:t xml:space="preserve">MIS Quarterly</w:t>
      </w:r>
      <w:r>
        <w:t xml:space="preserve"> </w:t>
      </w:r>
      <w:r>
        <w:t xml:space="preserve">35 (3): 553–72.</w:t>
      </w:r>
      <w:r>
        <w:t xml:space="preserve"> </w:t>
      </w:r>
      <w:hyperlink r:id="rId46">
        <w:r>
          <w:rPr>
            <w:rStyle w:val="Hyperlink"/>
          </w:rPr>
          <w:t xml:space="preserve">https://doi.org/10.2307/23042796</w:t>
        </w:r>
      </w:hyperlink>
      <w:r>
        <w:t xml:space="preserve">.</w:t>
      </w:r>
    </w:p>
    <w:bookmarkEnd w:id="47"/>
    <w:bookmarkStart w:id="49" w:name="ref-Thurstone_1927"/>
    <w:p>
      <w:pPr>
        <w:pStyle w:val="Bibliography"/>
      </w:pPr>
      <w:r>
        <w:t xml:space="preserve">Thurstone, L. 1927.</w:t>
      </w:r>
      <w:r>
        <w:t xml:space="preserve"> </w:t>
      </w:r>
      <w:r>
        <w:t xml:space="preserve">“A Law of Comparative Judgment.”</w:t>
      </w:r>
      <w:r>
        <w:t xml:space="preserve"> </w:t>
      </w:r>
      <w:r>
        <w:rPr>
          <w:i/>
          <w:iCs/>
        </w:rPr>
        <w:t xml:space="preserve">Psychological Review</w:t>
      </w:r>
      <w:r>
        <w:t xml:space="preserve"> </w:t>
      </w:r>
      <w:r>
        <w:t xml:space="preserve">34 (4): 482–99.</w:t>
      </w:r>
      <w:r>
        <w:t xml:space="preserve"> </w:t>
      </w:r>
      <w:hyperlink r:id="rId48">
        <w:r>
          <w:rPr>
            <w:rStyle w:val="Hyperlink"/>
          </w:rPr>
          <w:t xml:space="preserve">https://doi.org/10.1037/h0070288</w:t>
        </w:r>
      </w:hyperlink>
      <w:r>
        <w:t xml:space="preserve">.</w:t>
      </w:r>
    </w:p>
    <w:bookmarkEnd w:id="49"/>
    <w:bookmarkStart w:id="50" w:name="ref-vanDaal_2020"/>
    <w:p>
      <w:pPr>
        <w:pStyle w:val="Bibliography"/>
      </w:pPr>
      <w:r>
        <w:t xml:space="preserve">van Daal, T. 2020.</w:t>
      </w:r>
      <w:r>
        <w:t xml:space="preserve"> </w:t>
      </w:r>
      <w:r>
        <w:t xml:space="preserve">“Making a Choice Is Not Easy?!: Unravelling the Task Difficulty of Comparative Judgement to Assess Student Work.”</w:t>
      </w:r>
      <w:r>
        <w:t xml:space="preserve"> </w:t>
      </w:r>
      <w:r>
        <w:t xml:space="preserve">PhD thesis, University of Antwerp.</w:t>
      </w:r>
    </w:p>
    <w:bookmarkEnd w:id="50"/>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1" Target="" TargetMode="External" /><Relationship Type="http://schemas.openxmlformats.org/officeDocument/2006/relationships/hyperlink" Id="rId37" Target="https://doi.org/10.1007/978-3-030-52229-2_18" TargetMode="External" /><Relationship Type="http://schemas.openxmlformats.org/officeDocument/2006/relationships/hyperlink" Id="rId39" Target="https://doi.org/10.1016/j.jcomdis.2019.105969" TargetMode="External" /><Relationship Type="http://schemas.openxmlformats.org/officeDocument/2006/relationships/hyperlink" Id="rId48" Target="https://doi.org/10.1037/h0070288" TargetMode="External" /><Relationship Type="http://schemas.openxmlformats.org/officeDocument/2006/relationships/hyperlink" Id="rId44" Target="https://doi.org/10.1080/0969594X.2012.665354" TargetMode="External" /><Relationship Type="http://schemas.openxmlformats.org/officeDocument/2006/relationships/hyperlink" Id="rId35" Target="https://doi.org/10.1080/10627197.2018.1444986" TargetMode="External" /><Relationship Type="http://schemas.openxmlformats.org/officeDocument/2006/relationships/hyperlink" Id="rId46" Target="https://doi.org/10.2307/23042796" TargetMode="External" /></Relationships>
</file>

<file path=word/_rels/footnotes.xml.rels><?xml version="1.0" encoding="UTF-8"?><Relationships xmlns="http://schemas.openxmlformats.org/package/2006/relationships"><Relationship Type="http://schemas.openxmlformats.org/officeDocument/2006/relationships/hyperlink" Id="rId41" Target="" TargetMode="External" /><Relationship Type="http://schemas.openxmlformats.org/officeDocument/2006/relationships/hyperlink" Id="rId37" Target="https://doi.org/10.1007/978-3-030-52229-2_18" TargetMode="External" /><Relationship Type="http://schemas.openxmlformats.org/officeDocument/2006/relationships/hyperlink" Id="rId39" Target="https://doi.org/10.1016/j.jcomdis.2019.105969" TargetMode="External" /><Relationship Type="http://schemas.openxmlformats.org/officeDocument/2006/relationships/hyperlink" Id="rId48" Target="https://doi.org/10.1037/h0070288" TargetMode="External" /><Relationship Type="http://schemas.openxmlformats.org/officeDocument/2006/relationships/hyperlink" Id="rId44" Target="https://doi.org/10.1080/0969594X.2012.665354" TargetMode="External" /><Relationship Type="http://schemas.openxmlformats.org/officeDocument/2006/relationships/hyperlink" Id="rId35" Target="https://doi.org/10.1080/10627197.2018.1444986" TargetMode="External" /><Relationship Type="http://schemas.openxmlformats.org/officeDocument/2006/relationships/hyperlink" Id="rId46" Target="https://doi.org/10.2307/2304279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analysis for Dichotomous Comparative Judgment experiments (DCJ)</dc:title>
  <dc:creator>Jose Manuel Rivera Espejo; Sven de Maeyer; Steven Gillis</dc:creator>
  <cp:keywords>power analysis, comparative judgment, bayesian analysis, simulation</cp:keywords>
  <dcterms:created xsi:type="dcterms:W3CDTF">2024-03-12T12:03:12Z</dcterms:created>
  <dcterms:modified xsi:type="dcterms:W3CDTF">2024-03-12T12:03:12Z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 do)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date">
    <vt:lpwstr>2024-03-12</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ey-points">
    <vt:lpwstr/>
  </property>
  <property fmtid="{D5CDD505-2E9C-101B-9397-08002B2CF9AE}" pid="18" name="labels">
    <vt:lpwstr/>
  </property>
  <property fmtid="{D5CDD505-2E9C-101B-9397-08002B2CF9AE}" pid="19" name="licence">
    <vt:lpwstr>CC BY-SA</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quarto installage-summary">
    <vt:lpwstr>(to do) …</vt:lpwstr>
  </property>
  <property fmtid="{D5CDD505-2E9C-101B-9397-08002B2CF9AE}" pid="24" name="quarto-internal">
    <vt:lpwstr/>
  </property>
  <property fmtid="{D5CDD505-2E9C-101B-9397-08002B2CF9AE}" pid="25" name="remove-hidden">
    <vt:lpwstr>all</vt:lpwstr>
  </property>
  <property fmtid="{D5CDD505-2E9C-101B-9397-08002B2CF9AE}" pid="26" name="subtitle">
    <vt:lpwstr>A Bayesian simulation-based study exploring the factors that impact DCJ</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