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assessment</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2024-03-19</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This results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there has been limited investigation about the interplay of the different assessment factors and their contribution to the consistency of the method (i.e., its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interplay and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Additionally, in cases where the stimuli represent sub-units of higher-levels units, then the number of units, the characteristics of the units, and their</w:t>
      </w:r>
      <w:r>
        <w:t xml:space="preserve"> </w:t>
      </w:r>
      <w:r>
        <w:rPr>
          <w:i/>
          <w:iCs/>
        </w:rPr>
        <w:t xml:space="preserve">proximity</w:t>
      </w:r>
      <w:r>
        <w:t xml:space="preserve"> </w:t>
      </w:r>
      <w:r>
        <w:t xml:space="preserve">in terms of the trait can also significantly influence the assessment outcome.</w:t>
      </w:r>
    </w:p>
    <w:p>
      <w:pPr>
        <w:pStyle w:val="BodyText"/>
      </w:pPr>
      <w:r>
        <w:t xml:space="preserve">The research of</w:t>
      </w:r>
      <w:r>
        <w:t xml:space="preserve"> </w:t>
      </w:r>
      <w:r>
        <w:t xml:space="preserve">Boonen, Kloots, and Gillis (2020)</w:t>
      </w:r>
      <w:r>
        <w:t xml:space="preserve"> </w:t>
      </w:r>
      <w:r>
        <w:t xml:space="preserve">offers a clear illustration of these factors and their interplay. In their study, the authors focused on assessing children’s</w:t>
      </w:r>
      <w:r>
        <w:t xml:space="preserve"> </w:t>
      </w:r>
      <w:r>
        <w:rPr>
          <w:i/>
          <w:iCs/>
        </w:rPr>
        <w:t xml:space="preserve">overall perceived speech quality</w:t>
      </w:r>
      <w:r>
        <w:t xml:space="preserve">. They evaluated this trait using six utterances (sub-units), each originating from</w:t>
      </w:r>
      <w:r>
        <w:t xml:space="preserve"> </w:t>
      </w:r>
      <m:oMath>
        <m:r>
          <m:t>21</m:t>
        </m:r>
      </m:oMath>
      <w:r>
        <w:t xml:space="preserve"> </w:t>
      </w:r>
      <w:r>
        <w:t xml:space="preserve">children (units). The utterances were derived from an imitation task, while the children were evenly distributed across three groups: those with cochlear implants, those with hearing aids, and normal hearing children. To establish pairwise comparisons for the</w:t>
      </w:r>
      <w:r>
        <w:t xml:space="preserve"> </w:t>
      </w:r>
      <m:oMath>
        <m:r>
          <m:t>126</m:t>
        </m:r>
      </m:oMath>
      <w:r>
        <w:t xml:space="preserve"> </w:t>
      </w:r>
      <w:r>
        <w:t xml:space="preserve">stimuli, a random pairing algorithm was employed, with</w:t>
      </w:r>
      <w:r>
        <w:t xml:space="preserve"> </w:t>
      </w:r>
      <m:oMath>
        <m:r>
          <m:t>20</m:t>
        </m:r>
      </m:oMath>
      <w:r>
        <w:t xml:space="preserve"> </w:t>
      </w:r>
      <w:r>
        <w:t xml:space="preserve">comparisons per stimulus. Lastly, a total of</w:t>
      </w:r>
      <w:r>
        <w:t xml:space="preserve"> </w:t>
      </w:r>
      <m:oMath>
        <m:r>
          <m:t>60</m:t>
        </m:r>
      </m:oMath>
      <w:r>
        <w:t xml:space="preserve"> </w:t>
      </w:r>
      <w:r>
        <w:t xml:space="preserve">listeners (judges) evaluated</w:t>
      </w:r>
      <w:r>
        <w:t xml:space="preserve"> </w:t>
      </w:r>
      <m:oMath>
        <m:r>
          <m:t>65</m:t>
        </m:r>
      </m:oMath>
      <w:r>
        <w:t xml:space="preserve"> </w:t>
      </w:r>
      <w:r>
        <w:t xml:space="preserve">pairs of stimuli. The judges were selected from three distinct groups, each possessing varying degrees of experience with the speech of hearing-impaired children: audiologists, primary school teachers and inexperienced listeners. Ultimately, the authors were interested in assessing if there were differences in the</w:t>
      </w:r>
      <w:r>
        <w:t xml:space="preserve"> </w:t>
      </w:r>
      <w:r>
        <w:rPr>
          <w:i/>
          <w:iCs/>
        </w:rPr>
        <w:t xml:space="preserve">overall perceived speech quality</w:t>
      </w:r>
      <w:r>
        <w:t xml:space="preserve"> </w:t>
      </w:r>
      <w:r>
        <w:t xml:space="preserve">between groups of subjects and judges.</w:t>
      </w:r>
    </w:p>
    <w:p>
      <w:pPr>
        <w:pStyle w:val="BodyText"/>
      </w:pPr>
      <w:r>
        <w:t xml:space="preserve">Previous studies have primarily focused on examining the individual impact of the different assessment factors on the reliability of the method. For instance,</w:t>
      </w:r>
      <w:r>
        <w:t xml:space="preserve"> </w:t>
      </w:r>
      <w:r>
        <w:t xml:space="preserve">Bramley (2015)</w:t>
      </w:r>
      <w:r>
        <w:t xml:space="preserve"> </w:t>
      </w:r>
      <w:r>
        <w:t xml:space="preserve">conducted a simulation-based study to investigate the effects of using random versus adaptive pairing algorithms on the Scale Separation Reliability</w:t>
      </w:r>
      <w:r>
        <w:t xml:space="preserve"> </w:t>
      </w:r>
      <w:r>
        <w:t xml:space="preserve">(SSR, Pollitt 2012b)</w:t>
      </w:r>
      <w:r>
        <w:t xml:space="preserve">. Similarly,</w:t>
      </w:r>
      <w:r>
        <w:t xml:space="preserve"> </w:t>
      </w:r>
      <w:r>
        <w:t xml:space="preserve">Bramley and Vitello (2019)</w:t>
      </w:r>
      <w:r>
        <w:t xml:space="preserve"> </w:t>
      </w:r>
      <w:r>
        <w:t xml:space="preserve">explored the influence of adaptive algorithms on the SSR, using autobiographical essays from candidates in an English Language course, where the essays constituted half of the total marks for the final exam.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 Conversely,</w:t>
      </w:r>
      <w:r>
        <w:t xml:space="preserve"> </w:t>
      </w:r>
      <w:r>
        <w:t xml:space="preserve">Crompvoets, Béguin, and Sijtsma (2022)</w:t>
      </w:r>
      <w:r>
        <w:t xml:space="preserve"> </w:t>
      </w:r>
      <w:r>
        <w:t xml:space="preserve">conducted a simulation-based study to investigate the bias and stability of the SSR components under different number of comparisons per stimulus. Lastly,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during the comparison of two stimuli.</w:t>
      </w:r>
    </w:p>
    <w:p>
      <w:pPr>
        <w:pStyle w:val="BodyText"/>
      </w:pPr>
      <w:r>
        <w:t xml:space="preserve">Considering the method’s sophistication and data complexity, it is surprising that no study has explored in a principled manner the interplay between the different relevant assessment factors and their impact on the reliability of the DCJ method. This study aims to address this gap by conducting a Bayesian simulation-based power analysis. The research will follow the workflow outlined by McElreath</w:t>
      </w:r>
      <w:r>
        <w:t xml:space="preserve"> </w:t>
      </w:r>
      <w:r>
        <w:t xml:space="preserve">(2020)</w:t>
      </w:r>
      <w:r>
        <w:t xml:space="preserve"> </w:t>
      </w:r>
      <w:r>
        <w:t xml:space="preserve">and Neal</w:t>
      </w:r>
      <w:r>
        <w:t xml:space="preserve"> </w:t>
      </w:r>
      <w:r>
        <w:t xml:space="preserve">(2020)</w:t>
      </w:r>
      <w:r>
        <w:t xml:space="preserve">. First, the study defines the targets of inference, commonly known as the</w:t>
      </w:r>
      <w:r>
        <w:t xml:space="preserve"> </w:t>
      </w:r>
      <w:r>
        <w:rPr>
          <w:i/>
          <w:iCs/>
        </w:rPr>
        <w:t xml:space="preserve">estimands</w:t>
      </w:r>
      <w:r>
        <w:t xml:space="preserve">. These estimands are described in three research questions, over which the reliability of the DCJ method is evaluated. Next, the study constructs a</w:t>
      </w:r>
      <w:r>
        <w:t xml:space="preserve"> </w:t>
      </w:r>
      <w:r>
        <w:rPr>
          <w:i/>
          <w:iCs/>
        </w:rPr>
        <w:t xml:space="preserve">scientific model</w:t>
      </w:r>
      <w:r>
        <w:t xml:space="preserve"> </w:t>
      </w:r>
      <w:r>
        <w:t xml:space="preserve">for the DCJ procedure. Scientific (causal) models describe the causal assumptions and mechanisms underlying a system, and facilitate inferences about causal relationships from data</w:t>
      </w:r>
      <w:r>
        <w:t xml:space="preserve"> </w:t>
      </w:r>
      <w:r>
        <w:t xml:space="preserve">(Hitchcock 2023)</w:t>
      </w:r>
      <w:r>
        <w:t xml:space="preserve">. To facilitate the translation and visualization of the assumptions underlying the DCJ procedure, this study uses Directed Acyclic Graphs (DAG) and Structural Causal Models (SCM)</w:t>
      </w:r>
      <w:r>
        <w:t xml:space="preserve"> </w:t>
      </w:r>
      <w:r>
        <w:t xml:space="preserve">(Pearl 2009; Pearl, Glymour, and Jewell 2016; Cinelli, Forney, and Pearl 2022)</w:t>
      </w:r>
      <w:r>
        <w:t xml:space="preserve">. Subsequently, a statistical model (i.e., an</w:t>
      </w:r>
      <w:r>
        <w:t xml:space="preserve"> </w:t>
      </w:r>
      <w:r>
        <w:rPr>
          <w:i/>
          <w:iCs/>
        </w:rPr>
        <w:t xml:space="preserve">estimator</w:t>
      </w:r>
      <w:r>
        <w:t xml:space="preserve">) is used to obtain an approximation of the target of inference (i.e., an</w:t>
      </w:r>
      <w:r>
        <w:t xml:space="preserve"> </w:t>
      </w:r>
      <w:r>
        <w:rPr>
          <w:i/>
          <w:iCs/>
        </w:rPr>
        <w:t xml:space="preserve">estimate</w:t>
      </w:r>
      <w:r>
        <w:t xml:space="preserve">). Bayesian statistical methods provide an intuitive way to translate estimands and scientific models into probabilistic statistical models. Lastly, using the statistical model and simulated data, the study provides an</w:t>
      </w:r>
      <w:r>
        <w:t xml:space="preserve"> </w:t>
      </w:r>
      <w:r>
        <w:rPr>
          <w:i/>
          <w:iCs/>
        </w:rPr>
        <w:t xml:space="preserve">estimate</w:t>
      </w:r>
      <w:r>
        <w:t xml:space="preserve"> </w:t>
      </w:r>
      <w:r>
        <w:t xml:space="preserve">for the different targets of inference. The study repeats this final step of the workflow for different combinations of assessment factors multiple times. Since the estimands in simulated data are known, assesses the proximity between the estimates derived from the true estimands, which constitutes a power analysis. Ultimately, the results of this study will have implications for planning DCJ experiments, and will hold significance for researchers or analysts, in education and assessment procedures, implementing the DCJ method.</w:t>
      </w:r>
    </w:p>
    <w:bookmarkEnd w:id="20"/>
    <w:bookmarkStart w:id="23" w:name="sec-TheoreticalFramework"/>
    <w:p>
      <w:pPr>
        <w:pStyle w:val="Heading2"/>
      </w:pPr>
      <w:r>
        <w:t xml:space="preserve">2 Theoretical framework</w:t>
      </w:r>
    </w:p>
    <w:bookmarkStart w:id="21" w:name="sec-SciMod"/>
    <w:p>
      <w:pPr>
        <w:pStyle w:val="Heading3"/>
      </w:pPr>
      <w:r>
        <w:t xml:space="preserve">2.1 A scientific model for the DCJ procedure</w:t>
      </w:r>
    </w:p>
    <w:bookmarkEnd w:id="21"/>
    <w:bookmarkStart w:id="22" w:name="sec-Sci2StatMod"/>
    <w:p>
      <w:pPr>
        <w:pStyle w:val="Heading3"/>
      </w:pPr>
      <w:r>
        <w:t xml:space="preserve">2.2 From the scientific to the statistical DCJ model</w:t>
      </w:r>
    </w:p>
    <w:bookmarkEnd w:id="22"/>
    <w:bookmarkEnd w:id="23"/>
    <w:bookmarkStart w:id="24" w:name="sec-ResearchQuestions"/>
    <w:p>
      <w:pPr>
        <w:pStyle w:val="Heading2"/>
      </w:pPr>
      <w:r>
        <w:t xml:space="preserve">3 Research questions</w:t>
      </w:r>
    </w:p>
    <w:bookmarkEnd w:id="24"/>
    <w:bookmarkStart w:id="26" w:name="sec-methods"/>
    <w:p>
      <w:pPr>
        <w:pStyle w:val="Heading2"/>
      </w:pPr>
      <w:r>
        <w:t xml:space="preserve">4 Methods</w:t>
      </w:r>
    </w:p>
    <w:bookmarkStart w:id="25" w:name="bayesian-simulation-and-power-analysis"/>
    <w:p>
      <w:pPr>
        <w:pStyle w:val="Heading3"/>
      </w:pPr>
      <w:r>
        <w:t xml:space="preserve">4.1 Bayesian simulation and power analysis</w:t>
      </w:r>
    </w:p>
    <w:bookmarkEnd w:id="25"/>
    <w:bookmarkEnd w:id="26"/>
    <w:bookmarkStart w:id="30" w:name="sec-results"/>
    <w:p>
      <w:pPr>
        <w:pStyle w:val="Heading2"/>
      </w:pPr>
      <w:r>
        <w:t xml:space="preserve">5 Results</w:t>
      </w:r>
    </w:p>
    <w:bookmarkStart w:id="27" w:name="sec-RQ1"/>
    <w:p>
      <w:pPr>
        <w:pStyle w:val="Heading3"/>
      </w:pPr>
      <w:r>
        <w:t xml:space="preserve">5.1 Research question 1</w:t>
      </w:r>
    </w:p>
    <w:bookmarkEnd w:id="27"/>
    <w:bookmarkStart w:id="28" w:name="sec-RQ2"/>
    <w:p>
      <w:pPr>
        <w:pStyle w:val="Heading3"/>
      </w:pPr>
      <w:r>
        <w:t xml:space="preserve">5.2 Research question 2</w:t>
      </w:r>
    </w:p>
    <w:bookmarkEnd w:id="28"/>
    <w:bookmarkStart w:id="29" w:name="sec-RQ3"/>
    <w:p>
      <w:pPr>
        <w:pStyle w:val="Heading3"/>
      </w:pPr>
      <w:r>
        <w:t xml:space="preserve">5.3 Research question 3</w:t>
      </w:r>
    </w:p>
    <w:bookmarkEnd w:id="29"/>
    <w:bookmarkEnd w:id="30"/>
    <w:bookmarkStart w:id="32" w:name="sec-discussion"/>
    <w:p>
      <w:pPr>
        <w:pStyle w:val="Heading2"/>
      </w:pPr>
      <w:r>
        <w:t xml:space="preserve">6 Discussion</w:t>
      </w:r>
    </w:p>
    <w:bookmarkStart w:id="31" w:name="sec-LFR"/>
    <w:p>
      <w:pPr>
        <w:pStyle w:val="Heading3"/>
      </w:pPr>
      <w:r>
        <w:t xml:space="preserve">6.1 Limitations and further research</w:t>
      </w:r>
    </w:p>
    <w:bookmarkEnd w:id="31"/>
    <w:bookmarkEnd w:id="32"/>
    <w:bookmarkStart w:id="33" w:name="sec-conclusion"/>
    <w:p>
      <w:pPr>
        <w:pStyle w:val="Heading2"/>
      </w:pPr>
      <w:r>
        <w:t xml:space="preserve">7 Conclusion</w:t>
      </w:r>
    </w:p>
    <w:bookmarkEnd w:id="33"/>
    <w:bookmarkStart w:id="85" w:name="references"/>
    <w:p>
      <w:pPr>
        <w:pStyle w:val="Heading2"/>
      </w:pPr>
      <w:r>
        <w:t xml:space="preserve">References</w:t>
      </w:r>
    </w:p>
    <w:bookmarkStart w:id="84" w:name="refs"/>
    <w:bookmarkStart w:id="35"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4">
        <w:r>
          <w:rPr>
            <w:rStyle w:val="Hyperlink"/>
          </w:rPr>
          <w:t xml:space="preserve">https://doi.org/10.2307/2347562</w:t>
        </w:r>
      </w:hyperlink>
      <w:r>
        <w:t xml:space="preserve">.</w:t>
      </w:r>
    </w:p>
    <w:bookmarkEnd w:id="35"/>
    <w:bookmarkStart w:id="37"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6">
        <w:r>
          <w:rPr>
            <w:rStyle w:val="Hyperlink"/>
          </w:rPr>
          <w:t xml:space="preserve">https://doi.org/10.1080/10627197.2018.1444986</w:t>
        </w:r>
      </w:hyperlink>
      <w:r>
        <w:t xml:space="preserve">.</w:t>
      </w:r>
    </w:p>
    <w:bookmarkEnd w:id="37"/>
    <w:bookmarkStart w:id="39"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8">
        <w:r>
          <w:rPr>
            <w:rStyle w:val="Hyperlink"/>
          </w:rPr>
          <w:t xml:space="preserve">https://doi.org/10.1007/978-3-030-52229-2_18</w:t>
        </w:r>
      </w:hyperlink>
      <w:r>
        <w:t xml:space="preserve">.</w:t>
      </w:r>
    </w:p>
    <w:bookmarkEnd w:id="39"/>
    <w:bookmarkStart w:id="41"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0">
        <w:r>
          <w:rPr>
            <w:rStyle w:val="Hyperlink"/>
          </w:rPr>
          <w:t xml:space="preserve">https://doi.org/10.1016/j.jcomdis.2019.105969</w:t>
        </w:r>
      </w:hyperlink>
      <w:r>
        <w:t xml:space="preserve">.</w:t>
      </w:r>
    </w:p>
    <w:bookmarkEnd w:id="41"/>
    <w:bookmarkStart w:id="43"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2">
        <w:r>
          <w:rPr>
            <w:rStyle w:val="Hyperlink"/>
          </w:rPr>
          <w:t xml:space="preserve">https://doi.org/10.2307/2334029</w:t>
        </w:r>
      </w:hyperlink>
      <w:r>
        <w:t xml:space="preserve">.</w:t>
      </w:r>
    </w:p>
    <w:bookmarkEnd w:id="43"/>
    <w:bookmarkStart w:id="45" w:name="ref-Bramley_2015"/>
    <w:p>
      <w:pPr>
        <w:pStyle w:val="Bibliography"/>
      </w:pPr>
      <w:r>
        <w:t xml:space="preserve">Bramley, T. 2015.</w:t>
      </w:r>
      <w:r>
        <w:t xml:space="preserve"> </w:t>
      </w:r>
      <w:r>
        <w:t xml:space="preserve">“Investigating the Reliability of Adaptive Comparative Judgment.”</w:t>
      </w:r>
      <w:r>
        <w:t xml:space="preserve"> </w:t>
      </w:r>
      <w:hyperlink r:id="rId44">
        <w:r>
          <w:rPr>
            <w:rStyle w:val="Hyperlink"/>
          </w:rPr>
          <w:t xml:space="preserve">http://www.cambridgeassessment.org.uk/Images/232694-investigating-the-reliability-of-adaptive-comparative-judgment.pdf</w:t>
        </w:r>
      </w:hyperlink>
      <w:r>
        <w:t xml:space="preserve">.</w:t>
      </w:r>
    </w:p>
    <w:bookmarkEnd w:id="45"/>
    <w:bookmarkStart w:id="47"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46">
        <w:r>
          <w:rPr>
            <w:rStyle w:val="Hyperlink"/>
          </w:rPr>
          <w:t xml:space="preserve">https://doi.org/10.1080/0969594X.2017.1418734</w:t>
        </w:r>
      </w:hyperlink>
      <w:r>
        <w:t xml:space="preserve">.</w:t>
      </w:r>
    </w:p>
    <w:bookmarkEnd w:id="47"/>
    <w:bookmarkStart w:id="49"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48">
        <w:r>
          <w:rPr>
            <w:rStyle w:val="Hyperlink"/>
          </w:rPr>
          <w:t xml:space="preserve">http://dx.doi.org/10.2139/ssrn.3689437</w:t>
        </w:r>
      </w:hyperlink>
      <w:r>
        <w:t xml:space="preserve">.</w:t>
      </w:r>
    </w:p>
    <w:bookmarkEnd w:id="49"/>
    <w:bookmarkStart w:id="51"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0">
        <w:r>
          <w:rPr>
            <w:rStyle w:val="Hyperlink"/>
          </w:rPr>
          <w:t xml:space="preserve">https://doi.org/10.3389/feduc.2021.788202</w:t>
        </w:r>
      </w:hyperlink>
      <w:r>
        <w:t xml:space="preserve">.</w:t>
      </w:r>
    </w:p>
    <w:bookmarkEnd w:id="51"/>
    <w:bookmarkStart w:id="53"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2">
        <w:r>
          <w:rPr>
            <w:rStyle w:val="Hyperlink"/>
          </w:rPr>
          <w:t xml:space="preserve">https://doi.org/10.3389/feduc.2020.582800</w:t>
        </w:r>
      </w:hyperlink>
      <w:r>
        <w:t xml:space="preserve">.</w:t>
      </w:r>
    </w:p>
    <w:bookmarkEnd w:id="53"/>
    <w:bookmarkStart w:id="55"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4">
        <w:r>
          <w:rPr>
            <w:rStyle w:val="Hyperlink"/>
          </w:rPr>
          <w:t xml:space="preserve">https://plato.stanford.edu/archives/spr2023/entries/causal-models/</w:t>
        </w:r>
      </w:hyperlink>
      <w:r>
        <w:t xml:space="preserve">.</w:t>
      </w:r>
    </w:p>
    <w:bookmarkEnd w:id="55"/>
    <w:bookmarkStart w:id="56"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6"/>
    <w:bookmarkStart w:id="58"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7">
        <w:r>
          <w:rPr>
            <w:rStyle w:val="Hyperlink"/>
          </w:rPr>
          <w:t xml:space="preserve">https://doi.org/10.1037/h0043178</w:t>
        </w:r>
      </w:hyperlink>
      <w:r>
        <w:t xml:space="preserve">.</w:t>
      </w:r>
    </w:p>
    <w:bookmarkEnd w:id="58"/>
    <w:bookmarkStart w:id="60"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9">
        <w:r>
          <w:rPr>
            <w:rStyle w:val="Hyperlink"/>
          </w:rPr>
          <w:t xml:space="preserve">https://doi.org/10.1007/s40841-020-00163-3</w:t>
        </w:r>
      </w:hyperlink>
      <w:r>
        <w:t xml:space="preserve">.</w:t>
      </w:r>
    </w:p>
    <w:bookmarkEnd w:id="60"/>
    <w:bookmarkStart w:id="62" w:name="ref-McElreath_2020"/>
    <w:p>
      <w:pPr>
        <w:pStyle w:val="Bibliography"/>
      </w:pPr>
      <w:r>
        <w:t xml:space="preserve">McElreath, R. 2020.</w:t>
      </w:r>
      <w:r>
        <w:t xml:space="preserve"> </w:t>
      </w:r>
      <w:hyperlink r:id="rId61">
        <w:r>
          <w:rPr>
            <w:rStyle w:val="Hyperlink"/>
            <w:i/>
            <w:iCs/>
          </w:rPr>
          <w:t xml:space="preserve">Statistical Rethinking: A Bayesian Course with Examples in r and STAN</w:t>
        </w:r>
      </w:hyperlink>
      <w:r>
        <w:t xml:space="preserve">. Chapman; Hall/CRC.</w:t>
      </w:r>
    </w:p>
    <w:bookmarkEnd w:id="62"/>
    <w:bookmarkStart w:id="64" w:name="ref-Neal_2020"/>
    <w:p>
      <w:pPr>
        <w:pStyle w:val="Bibliography"/>
      </w:pPr>
      <w:r>
        <w:t xml:space="preserve">Neal, B. 2020.</w:t>
      </w:r>
      <w:r>
        <w:t xml:space="preserve"> </w:t>
      </w:r>
      <w:r>
        <w:t xml:space="preserve">“Introduction to Causal Inference from a Machine Learning Perspective.”</w:t>
      </w:r>
      <w:r>
        <w:t xml:space="preserve"> </w:t>
      </w:r>
      <w:hyperlink r:id="rId63">
        <w:r>
          <w:rPr>
            <w:rStyle w:val="Hyperlink"/>
          </w:rPr>
          <w:t xml:space="preserve">https://www.bradyneal.com/Introduction_to_Causal_Inference-Dec17_2020-Neal.pdf2</w:t>
        </w:r>
      </w:hyperlink>
      <w:r>
        <w:t xml:space="preserve">.</w:t>
      </w:r>
    </w:p>
    <w:bookmarkEnd w:id="64"/>
    <w:bookmarkStart w:id="65" w:name="ref-Pearl_2009"/>
    <w:p>
      <w:pPr>
        <w:pStyle w:val="Bibliography"/>
      </w:pPr>
      <w:r>
        <w:t xml:space="preserve">Pearl, J. 2009.</w:t>
      </w:r>
      <w:r>
        <w:t xml:space="preserve"> </w:t>
      </w:r>
      <w:hyperlink r:id="rId61">
        <w:r>
          <w:rPr>
            <w:rStyle w:val="Hyperlink"/>
            <w:i/>
            <w:iCs/>
          </w:rPr>
          <w:t xml:space="preserve">Causality: Models, Reasoning and Inference</w:t>
        </w:r>
      </w:hyperlink>
      <w:r>
        <w:t xml:space="preserve">. Cambrige University Press.</w:t>
      </w:r>
    </w:p>
    <w:bookmarkEnd w:id="65"/>
    <w:bookmarkStart w:id="66" w:name="ref-Pearl_et_al_2016"/>
    <w:p>
      <w:pPr>
        <w:pStyle w:val="Bibliography"/>
      </w:pPr>
      <w:r>
        <w:t xml:space="preserve">Pearl, J., M. Glymour, and N. Jewell. 2016.</w:t>
      </w:r>
      <w:r>
        <w:t xml:space="preserve"> </w:t>
      </w:r>
      <w:hyperlink r:id="rId61">
        <w:r>
          <w:rPr>
            <w:rStyle w:val="Hyperlink"/>
            <w:i/>
            <w:iCs/>
          </w:rPr>
          <w:t xml:space="preserve">Causal Inference in Statistics: A Primer</w:t>
        </w:r>
      </w:hyperlink>
      <w:r>
        <w:t xml:space="preserve">. John Wiley &amp; Sons, Inc.</w:t>
      </w:r>
    </w:p>
    <w:bookmarkEnd w:id="66"/>
    <w:bookmarkStart w:id="68"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67">
        <w:r>
          <w:rPr>
            <w:rStyle w:val="Hyperlink"/>
          </w:rPr>
          <w:t xml:space="preserve">https://doi.org/10.2307/2346567</w:t>
        </w:r>
      </w:hyperlink>
      <w:r>
        <w:t xml:space="preserve">.</w:t>
      </w:r>
    </w:p>
    <w:bookmarkEnd w:id="68"/>
    <w:bookmarkStart w:id="70"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9">
        <w:r>
          <w:rPr>
            <w:rStyle w:val="Hyperlink"/>
          </w:rPr>
          <w:t xml:space="preserve">https://doi.org/10.1007/s10798-011-9189-x</w:t>
        </w:r>
      </w:hyperlink>
      <w:r>
        <w:t xml:space="preserve">.</w:t>
      </w:r>
    </w:p>
    <w:bookmarkEnd w:id="70"/>
    <w:bookmarkStart w:id="72"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1">
        <w:r>
          <w:rPr>
            <w:rStyle w:val="Hyperlink"/>
          </w:rPr>
          <w:t xml:space="preserve">https://doi.org/10.1080/0969594X.2012.665354</w:t>
        </w:r>
      </w:hyperlink>
      <w:r>
        <w:t xml:space="preserve">.</w:t>
      </w:r>
    </w:p>
    <w:bookmarkEnd w:id="72"/>
    <w:bookmarkStart w:id="74"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73">
        <w:r>
          <w:rPr>
            <w:rStyle w:val="Hyperlink"/>
          </w:rPr>
          <w:t xml:space="preserve">https://doi.org/10.1037/h0070288</w:t>
        </w:r>
      </w:hyperlink>
      <w:r>
        <w:t xml:space="preserve">.</w:t>
      </w:r>
    </w:p>
    <w:bookmarkEnd w:id="74"/>
    <w:bookmarkStart w:id="76"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75">
        <w:r>
          <w:rPr>
            <w:rStyle w:val="Hyperlink"/>
          </w:rPr>
          <w:t xml:space="preserve">https://doi.org/10.1016/0022-2496(86)90034-9</w:t>
        </w:r>
      </w:hyperlink>
      <w:r>
        <w:t xml:space="preserve">.</w:t>
      </w:r>
    </w:p>
    <w:bookmarkEnd w:id="76"/>
    <w:bookmarkStart w:id="77"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77"/>
    <w:bookmarkStart w:id="79"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78">
        <w:r>
          <w:rPr>
            <w:rStyle w:val="Hyperlink"/>
          </w:rPr>
          <w:t xml:space="preserve">https://doi.org/10.1080/0969594X.2016.1253542</w:t>
        </w:r>
      </w:hyperlink>
      <w:r>
        <w:t xml:space="preserve">.</w:t>
      </w:r>
    </w:p>
    <w:bookmarkEnd w:id="79"/>
    <w:bookmarkStart w:id="81"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80">
        <w:r>
          <w:rPr>
            <w:rStyle w:val="Hyperlink"/>
          </w:rPr>
          <w:t xml:space="preserve">https://doi.org/10.3389/feduc.2017.00044</w:t>
        </w:r>
      </w:hyperlink>
      <w:r>
        <w:t xml:space="preserve">.</w:t>
      </w:r>
    </w:p>
    <w:bookmarkEnd w:id="81"/>
    <w:bookmarkStart w:id="83"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82">
        <w:r>
          <w:rPr>
            <w:rStyle w:val="Hyperlink"/>
          </w:rPr>
          <w:t xml:space="preserve">https://doi.org/10.1080/0969594X.2019.1602027</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2024-03-19T16:05:26Z</dcterms:created>
  <dcterms:modified xsi:type="dcterms:W3CDTF">2024-03-19T16:05:26Z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2024-03-19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assessment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