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w:t>
      </w:r>
      <w:r>
        <w:t xml:space="preserve"> </w:t>
      </w:r>
      <w:r>
        <w:t xml:space="preserve">analysis</w:t>
      </w:r>
      <w:r>
        <w:t xml:space="preserve"> </w:t>
      </w:r>
      <w:r>
        <w:t xml:space="preserve">for</w:t>
      </w:r>
      <w:r>
        <w:t xml:space="preserve"> </w:t>
      </w:r>
      <w:r>
        <w:t xml:space="preserve">Dichotomous</w:t>
      </w:r>
      <w:r>
        <w:t xml:space="preserve"> </w:t>
      </w:r>
      <w:r>
        <w:t xml:space="preserve">Comparative</w:t>
      </w:r>
      <w:r>
        <w:t xml:space="preserve"> </w:t>
      </w:r>
      <w:r>
        <w:t xml:space="preserve">Judgment</w:t>
      </w:r>
      <w:r>
        <w:t xml:space="preserve"> </w:t>
      </w:r>
      <w:r>
        <w:t xml:space="preserve">experiments</w:t>
      </w:r>
      <w:r>
        <w:t xml:space="preserve"> </w:t>
      </w:r>
      <w:r>
        <w:t xml:space="preserve">(DCJ)</w:t>
      </w:r>
    </w:p>
    <w:p>
      <w:pPr>
        <w:pStyle w:val="Subtitle"/>
      </w:pPr>
      <w:r>
        <w:t xml:space="preserve">A</w:t>
      </w:r>
      <w:r>
        <w:t xml:space="preserve"> </w:t>
      </w:r>
      <w:r>
        <w:t xml:space="preserve">Bayesian</w:t>
      </w:r>
      <w:r>
        <w:t xml:space="preserve"> </w:t>
      </w:r>
      <w:r>
        <w:t xml:space="preserve">simulation-based</w:t>
      </w:r>
      <w:r>
        <w:t xml:space="preserve"> </w:t>
      </w:r>
      <w:r>
        <w:t xml:space="preserve">study</w:t>
      </w:r>
      <w:r>
        <w:t xml:space="preserve"> </w:t>
      </w:r>
      <w:r>
        <w:t xml:space="preserve">exploring</w:t>
      </w:r>
      <w:r>
        <w:t xml:space="preserve"> </w:t>
      </w:r>
      <w:r>
        <w:t xml:space="preserve">the</w:t>
      </w:r>
      <w:r>
        <w:t xml:space="preserve"> </w:t>
      </w:r>
      <w:r>
        <w:t xml:space="preserve">assessment</w:t>
      </w:r>
      <w:r>
        <w:t xml:space="preserve"> </w:t>
      </w:r>
      <w:r>
        <w:t xml:space="preserve">factors</w:t>
      </w:r>
      <w:r>
        <w:t xml:space="preserve"> </w:t>
      </w:r>
      <w:r>
        <w:t xml:space="preserve">that</w:t>
      </w:r>
      <w:r>
        <w:t xml:space="preserve"> </w:t>
      </w:r>
      <w:r>
        <w:t xml:space="preserve">impact</w:t>
      </w:r>
      <w:r>
        <w:t xml:space="preserve"> </w:t>
      </w:r>
      <w:r>
        <w:t xml:space="preserve">DCJ</w:t>
      </w:r>
    </w:p>
    <w:p>
      <w:pPr>
        <w:pStyle w:val="Author"/>
      </w:pPr>
      <w:r>
        <w:t xml:space="preserve">Jose</w:t>
      </w:r>
      <w:r>
        <w:t xml:space="preserve"> </w:t>
      </w:r>
      <w:r>
        <w:t xml:space="preserve">Manuel</w:t>
      </w:r>
      <w:r>
        <w:t xml:space="preserve"> </w:t>
      </w:r>
      <w:r>
        <w:t xml:space="preserve">Rivera</w:t>
      </w:r>
      <w:r>
        <w:t xml:space="preserve"> </w:t>
      </w:r>
      <w:r>
        <w:t xml:space="preserve">Espejo</w:t>
      </w:r>
    </w:p>
    <w:p>
      <w:pPr>
        <w:pStyle w:val="Author"/>
      </w:pPr>
      <w:r>
        <w:t xml:space="preserve">Sven</w:t>
      </w:r>
      <w:r>
        <w:t xml:space="preserve"> </w:t>
      </w:r>
      <w:r>
        <w:t xml:space="preserve">de</w:t>
      </w:r>
      <w:r>
        <w:t xml:space="preserve"> </w:t>
      </w:r>
      <w:r>
        <w:t xml:space="preserve">Maeyer</w:t>
      </w:r>
    </w:p>
    <w:p>
      <w:pPr>
        <w:pStyle w:val="Author"/>
      </w:pPr>
      <w:r>
        <w:t xml:space="preserve">Steven</w:t>
      </w:r>
      <w:r>
        <w:t xml:space="preserve"> </w:t>
      </w:r>
      <w:r>
        <w:t xml:space="preserve">Gillis</w:t>
      </w:r>
    </w:p>
    <w:p>
      <w:pPr>
        <w:pStyle w:val="Date"/>
      </w:pPr>
      <w:r>
        <w:t xml:space="preserve">2024-03-18</w:t>
      </w:r>
    </w:p>
    <w:p>
      <w:pPr>
        <w:pStyle w:val="AbstractTitle"/>
      </w:pPr>
      <w:r>
        <w:t xml:space="preserve">Abstract</w:t>
      </w:r>
    </w:p>
    <w:p>
      <w:pPr>
        <w:pStyle w:val="Abstract"/>
      </w:pPr>
      <w:r>
        <w:t xml:space="preserve">(to</w:t>
      </w:r>
      <w:r>
        <w:t xml:space="preserve"> </w:t>
      </w:r>
      <w:r>
        <w:t xml:space="preserve">do)</w:t>
      </w:r>
      <w:r>
        <w:t xml:space="preserve"> </w:t>
      </w:r>
      <w:r>
        <w:t xml:space="preserve">…</w:t>
      </w:r>
    </w:p>
    <w:bookmarkStart w:id="20" w:name="sec-introduction"/>
    <w:p>
      <w:pPr>
        <w:pStyle w:val="Heading2"/>
      </w:pPr>
      <w:r>
        <w:t xml:space="preserve">1 Introduction</w:t>
      </w:r>
    </w:p>
    <w:p>
      <w:pPr>
        <w:pStyle w:val="FirstParagraph"/>
      </w:pPr>
      <w:r>
        <w:t xml:space="preserve">In contemporary contexts, Thurstone’s law of comparative judgment</w:t>
      </w:r>
      <w:r>
        <w:t xml:space="preserve"> </w:t>
      </w:r>
      <w:r>
        <w:t xml:space="preserve">(1927)</w:t>
      </w:r>
      <w:r>
        <w:t xml:space="preserve"> </w:t>
      </w:r>
      <w:r>
        <w:t xml:space="preserve">primarily refers to the method of</w:t>
      </w:r>
      <w:r>
        <w:t xml:space="preserve"> </w:t>
      </w:r>
      <w:r>
        <w:rPr>
          <w:i/>
          <w:iCs/>
        </w:rPr>
        <w:t xml:space="preserve">Dichotomous</w:t>
      </w:r>
      <w:r>
        <w:t xml:space="preserve"> </w:t>
      </w:r>
      <w:r>
        <w:t xml:space="preserve">Comparative Judgment (DCJ). Within DCJ, a judge assesses the relative manifestation of a trait within a pair of stimuli. This results in a dichotomous value indicating which stimulus appears to possess a higher degree of the trait</w:t>
      </w:r>
      <w:r>
        <w:t xml:space="preserve"> </w:t>
      </w:r>
      <w:r>
        <w:t xml:space="preserve">(Pollitt 2012a, 2012b)</w:t>
      </w:r>
      <w:r>
        <w:t xml:space="preserve">. Following multiple rounds of pairwise comparisons made by different judges, an outcome vector is produced. Typically, this vector is modeled using the Bradley-Terry-Luce model</w:t>
      </w:r>
      <w:r>
        <w:t xml:space="preserve"> </w:t>
      </w:r>
      <w:r>
        <w:t xml:space="preserve">(BTL model, Bradley and Terry 1952; Luce 1959; Pollitt 2012a)</w:t>
      </w:r>
      <w:r>
        <w:t xml:space="preserve">. The set of latent variables produced by the model can then be utilized, for example, to rank the stimuli from lowest to highest, or to assess the impact of certain characteristics of the stimuli on their position in the ranking.</w:t>
      </w:r>
    </w:p>
    <w:p>
      <w:pPr>
        <w:pStyle w:val="BodyText"/>
      </w:pPr>
      <w:r>
        <w:t xml:space="preserve">DCJ has proven effective in assessing competences and traits predominantly within the educational realm, as demonstrated by the works of</w:t>
      </w:r>
      <w:r>
        <w:t xml:space="preserve"> </w:t>
      </w:r>
      <w:r>
        <w:t xml:space="preserve">Pollitt (2012b)</w:t>
      </w:r>
      <w:r>
        <w:t xml:space="preserve">,</w:t>
      </w:r>
      <w:r>
        <w:t xml:space="preserve"> </w:t>
      </w:r>
      <w:r>
        <w:t xml:space="preserve">Bartholomew et al. (2018)</w:t>
      </w:r>
      <w:r>
        <w:t xml:space="preserve">,</w:t>
      </w:r>
      <w:r>
        <w:t xml:space="preserve"> </w:t>
      </w:r>
      <w:r>
        <w:t xml:space="preserve">van Daal et al. (2019)</w:t>
      </w:r>
      <w:r>
        <w:t xml:space="preserve"> </w:t>
      </w:r>
      <w:r>
        <w:t xml:space="preserve">Lesterhuis (2018)</w:t>
      </w:r>
      <w:r>
        <w:t xml:space="preserve">, and</w:t>
      </w:r>
      <w:r>
        <w:t xml:space="preserve"> </w:t>
      </w:r>
      <w:r>
        <w:t xml:space="preserve">Bartholomew and Williams (2020)</w:t>
      </w:r>
      <w:r>
        <w:t xml:space="preserve">. However, its application transcends education, as exemplified by the work of</w:t>
      </w:r>
      <w:r>
        <w:t xml:space="preserve"> </w:t>
      </w:r>
      <w:r>
        <w:t xml:space="preserve">Boonen, Kloots, and Gillis (2020)</w:t>
      </w:r>
      <w:r>
        <w:t xml:space="preserve">. The methodology has also evolved to include multiple, as opposed to pairwise comparisons</w:t>
      </w:r>
      <w:r>
        <w:t xml:space="preserve"> </w:t>
      </w:r>
      <w:r>
        <w:t xml:space="preserve">(Luce 1959; Plackett 1975)</w:t>
      </w:r>
      <w:r>
        <w:t xml:space="preserve"> </w:t>
      </w:r>
      <w:r>
        <w:t xml:space="preserve">and to accommodate comparisons with ordinal outcomes</w:t>
      </w:r>
      <w:r>
        <w:t xml:space="preserve"> </w:t>
      </w:r>
      <w:r>
        <w:t xml:space="preserve">(Tutz 1986; Agresti 1992)</w:t>
      </w:r>
      <w:r>
        <w:t xml:space="preserve">. Overall, research suggests that DCJ offers an alternative and efficient approach to measurement and evaluation, characterized by its reliability and validity</w:t>
      </w:r>
      <w:r>
        <w:t xml:space="preserve"> </w:t>
      </w:r>
      <w:r>
        <w:t xml:space="preserve">(Lesterhuis 2018; van Daal 2020; Marshall et al. 2020)</w:t>
      </w:r>
      <w:r>
        <w:t xml:space="preserve">. Nevertheless, there has been limited investigation into the interplay of the multiple assessment factors and their contribution to the method’s reliability.</w:t>
      </w:r>
    </w:p>
    <w:p>
      <w:pPr>
        <w:pStyle w:val="BodyText"/>
      </w:pPr>
      <w:r>
        <w:t xml:space="preserve">According to</w:t>
      </w:r>
      <w:r>
        <w:t xml:space="preserve"> </w:t>
      </w:r>
      <w:r>
        <w:t xml:space="preserve">Verhavert et al. (2019)</w:t>
      </w:r>
      <w:r>
        <w:t xml:space="preserve"> </w:t>
      </w:r>
      <w:r>
        <w:t xml:space="preserve">and</w:t>
      </w:r>
      <w:r>
        <w:t xml:space="preserve"> </w:t>
      </w:r>
      <w:r>
        <w:t xml:space="preserve">van Daal (2020)</w:t>
      </w:r>
      <w:r>
        <w:t xml:space="preserve">, several assessment factors interplay and contribute to the reliability of the DCJ method. These factors include the number of stimuli, the characteristics of the stimuli, their</w:t>
      </w:r>
      <w:r>
        <w:t xml:space="preserve"> </w:t>
      </w:r>
      <w:r>
        <w:rPr>
          <w:i/>
          <w:iCs/>
        </w:rPr>
        <w:t xml:space="preserve">proximity</w:t>
      </w:r>
      <w:r>
        <w:t xml:space="preserve"> </w:t>
      </w:r>
      <w:r>
        <w:t xml:space="preserve">in terms of the assessed trait, the number of comparison per stimulus, and the pairing algorithm used. Furthermore, since the method relies on judges’ assessments, the number of judges, the characteristics of judges, their</w:t>
      </w:r>
      <w:r>
        <w:t xml:space="preserve"> </w:t>
      </w:r>
      <w:r>
        <w:rPr>
          <w:i/>
          <w:iCs/>
        </w:rPr>
        <w:t xml:space="preserve">discrimination</w:t>
      </w:r>
      <w:r>
        <w:t xml:space="preserve"> </w:t>
      </w:r>
      <w:r>
        <w:t xml:space="preserve">abilities, and the number of comparisons per judge also play pivotal roles. Additionally, in cases where the stimuli represent sub-units of higher levels units, then the number of units, the characteristics of the units, and their</w:t>
      </w:r>
      <w:r>
        <w:t xml:space="preserve"> </w:t>
      </w:r>
      <w:r>
        <w:rPr>
          <w:i/>
          <w:iCs/>
        </w:rPr>
        <w:t xml:space="preserve">proximity</w:t>
      </w:r>
      <w:r>
        <w:t xml:space="preserve"> </w:t>
      </w:r>
      <w:r>
        <w:t xml:space="preserve">in terms of the trait can also significantly influence the assessment outcome.</w:t>
      </w:r>
    </w:p>
    <w:p>
      <w:pPr>
        <w:pStyle w:val="BodyText"/>
      </w:pPr>
      <w:r>
        <w:t xml:space="preserve">The research of</w:t>
      </w:r>
      <w:r>
        <w:t xml:space="preserve"> </w:t>
      </w:r>
      <w:r>
        <w:t xml:space="preserve">Boonen, Kloots, and Gillis (2020)</w:t>
      </w:r>
      <w:r>
        <w:t xml:space="preserve"> </w:t>
      </w:r>
      <w:r>
        <w:t xml:space="preserve">offers a clear illustration of these factors and their interplay. In their study, the authors focused on assessing children’s</w:t>
      </w:r>
      <w:r>
        <w:t xml:space="preserve"> </w:t>
      </w:r>
      <w:r>
        <w:rPr>
          <w:i/>
          <w:iCs/>
        </w:rPr>
        <w:t xml:space="preserve">overall perceived speech quality</w:t>
      </w:r>
      <w:r>
        <w:t xml:space="preserve">. They evaluated this trait using six utterances (sub-units), each originating from</w:t>
      </w:r>
      <w:r>
        <w:t xml:space="preserve"> </w:t>
      </w:r>
      <m:oMath>
        <m:r>
          <m:t>21</m:t>
        </m:r>
      </m:oMath>
      <w:r>
        <w:t xml:space="preserve"> </w:t>
      </w:r>
      <w:r>
        <w:t xml:space="preserve">children (units). The utterances were derived from an imitation task, while the children were evenly distributed across three groups: those with cochlear implants, those with hearing aids, and normal hearing children. To establish pairwise comparisons for the</w:t>
      </w:r>
      <w:r>
        <w:t xml:space="preserve"> </w:t>
      </w:r>
      <m:oMath>
        <m:r>
          <m:t>126</m:t>
        </m:r>
      </m:oMath>
      <w:r>
        <w:t xml:space="preserve"> </w:t>
      </w:r>
      <w:r>
        <w:t xml:space="preserve">stimuli, a random pairing algorithm was employed, with</w:t>
      </w:r>
      <w:r>
        <w:t xml:space="preserve"> </w:t>
      </w:r>
      <m:oMath>
        <m:r>
          <m:t>20</m:t>
        </m:r>
      </m:oMath>
      <w:r>
        <w:t xml:space="preserve"> </w:t>
      </w:r>
      <w:r>
        <w:t xml:space="preserve">comparisons per stimulus. Lastly, a total of</w:t>
      </w:r>
      <w:r>
        <w:t xml:space="preserve"> </w:t>
      </w:r>
      <m:oMath>
        <m:r>
          <m:t>60</m:t>
        </m:r>
      </m:oMath>
      <w:r>
        <w:t xml:space="preserve"> </w:t>
      </w:r>
      <w:r>
        <w:t xml:space="preserve">listeners (judges) evaluated</w:t>
      </w:r>
      <w:r>
        <w:t xml:space="preserve"> </w:t>
      </w:r>
      <m:oMath>
        <m:r>
          <m:t>65</m:t>
        </m:r>
      </m:oMath>
      <w:r>
        <w:t xml:space="preserve"> </w:t>
      </w:r>
      <w:r>
        <w:t xml:space="preserve">pairs of stimuli. The judges were selected from three distinct groups, each possessing varying degrees of experience with the speech of hearing-impaired children: audiologists, primary school teachers and inexperienced listeners. Ultimately, the authors were interested in assessing if there were differences in the</w:t>
      </w:r>
      <w:r>
        <w:t xml:space="preserve"> </w:t>
      </w:r>
      <w:r>
        <w:rPr>
          <w:i/>
          <w:iCs/>
        </w:rPr>
        <w:t xml:space="preserve">overall perceived speech quality</w:t>
      </w:r>
      <w:r>
        <w:t xml:space="preserve"> </w:t>
      </w:r>
      <w:r>
        <w:t xml:space="preserve">between groups of subjects and judges.</w:t>
      </w:r>
    </w:p>
    <w:p>
      <w:pPr>
        <w:pStyle w:val="BodyText"/>
      </w:pPr>
      <w:r>
        <w:t xml:space="preserve">Previous studies have primarily focused on examining the individual impact of assessment factors on the reliability of the method. For instance,</w:t>
      </w:r>
      <w:r>
        <w:t xml:space="preserve"> </w:t>
      </w:r>
      <w:r>
        <w:t xml:space="preserve">Bramley (2015)</w:t>
      </w:r>
      <w:r>
        <w:t xml:space="preserve"> </w:t>
      </w:r>
      <w:r>
        <w:t xml:space="preserve">conducted a simulation-based study to investigate the effects of using random versus adaptive pairing algorithms on the Scale Separation Reliability</w:t>
      </w:r>
      <w:r>
        <w:t xml:space="preserve"> </w:t>
      </w:r>
      <w:r>
        <w:t xml:space="preserve">(SSR, Pollitt 2012b)</w:t>
      </w:r>
      <w:r>
        <w:t xml:space="preserve">. Similarly,</w:t>
      </w:r>
      <w:r>
        <w:t xml:space="preserve"> </w:t>
      </w:r>
      <w:r>
        <w:t xml:space="preserve">Bramley and Vitello (2019)</w:t>
      </w:r>
      <w:r>
        <w:t xml:space="preserve"> </w:t>
      </w:r>
      <w:r>
        <w:t xml:space="preserve">explored the influence of adaptive algorithms on the SSR using autobiographical essays from candidates in an English Language course, where the essays constituted half of the total marks for the final exam. In contrast,</w:t>
      </w:r>
      <w:r>
        <w:t xml:space="preserve"> </w:t>
      </w:r>
      <w:r>
        <w:t xml:space="preserve">Verhavert et al. (2019)</w:t>
      </w:r>
      <w:r>
        <w:t xml:space="preserve"> </w:t>
      </w:r>
      <w:r>
        <w:t xml:space="preserve">conducted a meta-analysis examining the individual effects of various assessment factors on the SSR, including the number of stimuli, the format of stimuli, the number of comparisons per stimulus, the number of judges, the judges’ expertise, and feedback. Conversely,</w:t>
      </w:r>
      <w:r>
        <w:t xml:space="preserve"> </w:t>
      </w:r>
      <w:r>
        <w:t xml:space="preserve">Crompvoets, Béguin, and Sijtsma (2022)</w:t>
      </w:r>
      <w:r>
        <w:t xml:space="preserve"> </w:t>
      </w:r>
      <w:r>
        <w:t xml:space="preserve">conducted a simulation-based study to investigate the bias and stability of SSR components concerning the number of comparisons per stimulus. Lastly,</w:t>
      </w:r>
      <w:r>
        <w:t xml:space="preserve"> </w:t>
      </w:r>
      <w:r>
        <w:t xml:space="preserve">van Daal et al. (2017)</w:t>
      </w:r>
      <w:r>
        <w:t xml:space="preserve"> </w:t>
      </w:r>
      <w:r>
        <w:t xml:space="preserve">and</w:t>
      </w:r>
      <w:r>
        <w:t xml:space="preserve"> </w:t>
      </w:r>
      <w:r>
        <w:t xml:space="preserve">Gijsen et al. (2021)</w:t>
      </w:r>
      <w:r>
        <w:t xml:space="preserve"> </w:t>
      </w:r>
      <w:r>
        <w:t xml:space="preserve">explored the moderating role of judges’ decision accuracy on the perceived complexity during the comparison of two stimuli.</w:t>
      </w:r>
    </w:p>
    <w:p>
      <w:pPr>
        <w:pStyle w:val="BodyText"/>
      </w:pPr>
      <w:r>
        <w:t xml:space="preserve">However, no study to the authors’ knowledge has explored in a principled manner the interplay of assessment factors and their impact on the reliability of specific research or analysis queries. Consequently, this study aims to close this gap by conducting a Bayesian simulation-based investigation. Additionally, to conceptualize DCJ, the research will introduce the framework of Structural Causal Models (SCM) and Directed Acyclic Graphs (DAG)</w:t>
      </w:r>
      <w:r>
        <w:t xml:space="preserve"> </w:t>
      </w:r>
      <w:r>
        <w:t xml:space="preserve">Cinelli, Forney, and Pearl (2022)</w:t>
      </w:r>
      <w:r>
        <w:t xml:space="preserve">. This theoretical framework facilitates the visualization and translation of the assumptions underlying the DCJ procedure into causal assumptions and statistical models. Ultimately, the results of this study will have implications for planning DCJ experiments, and will hold significance for researchers or analysts implementing DCJ procedures, as well as methodologists in education and assessment procedures.</w:t>
      </w:r>
    </w:p>
    <w:bookmarkEnd w:id="20"/>
    <w:bookmarkStart w:id="24" w:name="sec-TheoreticalFramework"/>
    <w:p>
      <w:pPr>
        <w:pStyle w:val="Heading2"/>
      </w:pPr>
      <w:r>
        <w:t xml:space="preserve">2 Theoretical framework</w:t>
      </w:r>
    </w:p>
    <w:bookmarkStart w:id="21" w:name="sec-DCJcomp"/>
    <w:p>
      <w:pPr>
        <w:pStyle w:val="Heading3"/>
      </w:pPr>
      <w:r>
        <w:t xml:space="preserve">2.1 The compexity of DCJ</w:t>
      </w:r>
    </w:p>
    <w:bookmarkEnd w:id="21"/>
    <w:bookmarkStart w:id="22" w:name="sec-DCJrethink"/>
    <w:p>
      <w:pPr>
        <w:pStyle w:val="Heading3"/>
      </w:pPr>
      <w:r>
        <w:t xml:space="preserve">2.2 Rethinking DCJ</w:t>
      </w:r>
    </w:p>
    <w:bookmarkEnd w:id="22"/>
    <w:bookmarkStart w:id="23" w:name="sec-SM"/>
    <w:p>
      <w:pPr>
        <w:pStyle w:val="Heading3"/>
      </w:pPr>
      <w:r>
        <w:t xml:space="preserve">2.3 Statistical model</w:t>
      </w:r>
    </w:p>
    <w:bookmarkEnd w:id="23"/>
    <w:bookmarkEnd w:id="24"/>
    <w:bookmarkStart w:id="25" w:name="sec-ResearchQuestions"/>
    <w:p>
      <w:pPr>
        <w:pStyle w:val="Heading2"/>
      </w:pPr>
      <w:r>
        <w:t xml:space="preserve">3 Research questions</w:t>
      </w:r>
    </w:p>
    <w:bookmarkEnd w:id="25"/>
    <w:bookmarkStart w:id="28" w:name="sec-methods"/>
    <w:p>
      <w:pPr>
        <w:pStyle w:val="Heading2"/>
      </w:pPr>
      <w:r>
        <w:t xml:space="preserve">4 Methods</w:t>
      </w:r>
    </w:p>
    <w:bookmarkStart w:id="27" w:name="bayesian-simulation-and-power-analysis"/>
    <w:p>
      <w:pPr>
        <w:pStyle w:val="Heading3"/>
      </w:pPr>
      <w:r>
        <w:t xml:space="preserve">4.1 Bayesian simulation and power analysis</w:t>
      </w:r>
    </w:p>
    <w:bookmarkStart w:id="26" w:name="sec-D"/>
    <w:p>
      <w:pPr>
        <w:pStyle w:val="Heading4"/>
      </w:pPr>
      <w:r>
        <w:t xml:space="preserve">4.1.1 Data</w:t>
      </w:r>
    </w:p>
    <w:bookmarkEnd w:id="26"/>
    <w:bookmarkEnd w:id="27"/>
    <w:bookmarkEnd w:id="28"/>
    <w:bookmarkStart w:id="32" w:name="sec-results"/>
    <w:p>
      <w:pPr>
        <w:pStyle w:val="Heading2"/>
      </w:pPr>
      <w:r>
        <w:t xml:space="preserve">5 Results</w:t>
      </w:r>
    </w:p>
    <w:bookmarkStart w:id="29" w:name="sec-RQ1"/>
    <w:p>
      <w:pPr>
        <w:pStyle w:val="Heading3"/>
      </w:pPr>
      <w:r>
        <w:t xml:space="preserve">5.1 Research question 1</w:t>
      </w:r>
    </w:p>
    <w:bookmarkEnd w:id="29"/>
    <w:bookmarkStart w:id="30" w:name="sec-RQ2"/>
    <w:p>
      <w:pPr>
        <w:pStyle w:val="Heading3"/>
      </w:pPr>
      <w:r>
        <w:t xml:space="preserve">5.2 Research question 2</w:t>
      </w:r>
    </w:p>
    <w:bookmarkEnd w:id="30"/>
    <w:bookmarkStart w:id="31" w:name="sec-RQ3"/>
    <w:p>
      <w:pPr>
        <w:pStyle w:val="Heading3"/>
      </w:pPr>
      <w:r>
        <w:t xml:space="preserve">5.3 Research question 3</w:t>
      </w:r>
    </w:p>
    <w:bookmarkEnd w:id="31"/>
    <w:bookmarkEnd w:id="32"/>
    <w:bookmarkStart w:id="34" w:name="sec-discussion"/>
    <w:p>
      <w:pPr>
        <w:pStyle w:val="Heading2"/>
      </w:pPr>
      <w:r>
        <w:t xml:space="preserve">6 Discussion</w:t>
      </w:r>
    </w:p>
    <w:bookmarkStart w:id="33" w:name="sec-LFR"/>
    <w:p>
      <w:pPr>
        <w:pStyle w:val="Heading3"/>
      </w:pPr>
      <w:r>
        <w:t xml:space="preserve">6.1 Limitations and further research</w:t>
      </w:r>
    </w:p>
    <w:bookmarkEnd w:id="33"/>
    <w:bookmarkEnd w:id="34"/>
    <w:bookmarkStart w:id="35" w:name="sec-conclusion"/>
    <w:p>
      <w:pPr>
        <w:pStyle w:val="Heading2"/>
      </w:pPr>
      <w:r>
        <w:t xml:space="preserve">7 Conclusion</w:t>
      </w:r>
    </w:p>
    <w:bookmarkEnd w:id="35"/>
    <w:bookmarkStart w:id="82" w:name="references"/>
    <w:p>
      <w:pPr>
        <w:pStyle w:val="Heading2"/>
      </w:pPr>
      <w:r>
        <w:t xml:space="preserve">References</w:t>
      </w:r>
    </w:p>
    <w:bookmarkStart w:id="81" w:name="refs"/>
    <w:bookmarkStart w:id="37" w:name="ref-Agresti_1992"/>
    <w:p>
      <w:pPr>
        <w:pStyle w:val="Bibliography"/>
      </w:pPr>
      <w:r>
        <w:t xml:space="preserve">Agresti, A. 1992.</w:t>
      </w:r>
      <w:r>
        <w:t xml:space="preserve"> </w:t>
      </w:r>
      <w:r>
        <w:t xml:space="preserve">“Analysis of Ordinal Paired Comparison Data.”</w:t>
      </w:r>
      <w:r>
        <w:t xml:space="preserve"> </w:t>
      </w:r>
      <w:r>
        <w:rPr>
          <w:i/>
          <w:iCs/>
        </w:rPr>
        <w:t xml:space="preserve">Journal of the Royal Statistical Society</w:t>
      </w:r>
      <w:r>
        <w:t xml:space="preserve"> </w:t>
      </w:r>
      <w:r>
        <w:t xml:space="preserve">41 (2): 287–97.</w:t>
      </w:r>
      <w:r>
        <w:t xml:space="preserve"> </w:t>
      </w:r>
      <w:hyperlink r:id="rId36">
        <w:r>
          <w:rPr>
            <w:rStyle w:val="Hyperlink"/>
          </w:rPr>
          <w:t xml:space="preserve">https://doi.org/10.2307/2347562</w:t>
        </w:r>
      </w:hyperlink>
      <w:r>
        <w:t xml:space="preserve">.</w:t>
      </w:r>
    </w:p>
    <w:bookmarkEnd w:id="37"/>
    <w:bookmarkStart w:id="39" w:name="ref-Bartholomew_et_al_2018"/>
    <w:p>
      <w:pPr>
        <w:pStyle w:val="Bibliography"/>
      </w:pPr>
      <w:r>
        <w:t xml:space="preserve">Bartholomew, S., L. Nadelson, W. Goodridge, and E. Reeve. 2018.</w:t>
      </w:r>
      <w:r>
        <w:t xml:space="preserve"> </w:t>
      </w:r>
      <w:r>
        <w:t xml:space="preserve">“Adaptive Comparative Judgment as a Tool for Assessing Open-Ended Design Problems and Model Eliciting Activities.”</w:t>
      </w:r>
      <w:r>
        <w:t xml:space="preserve"> </w:t>
      </w:r>
      <w:r>
        <w:rPr>
          <w:i/>
          <w:iCs/>
        </w:rPr>
        <w:t xml:space="preserve">Educational Assessment</w:t>
      </w:r>
      <w:r>
        <w:t xml:space="preserve"> </w:t>
      </w:r>
      <w:r>
        <w:t xml:space="preserve">23 (2): 85–101.</w:t>
      </w:r>
      <w:r>
        <w:t xml:space="preserve"> </w:t>
      </w:r>
      <w:hyperlink r:id="rId38">
        <w:r>
          <w:rPr>
            <w:rStyle w:val="Hyperlink"/>
          </w:rPr>
          <w:t xml:space="preserve">https://doi.org/10.1080/10627197.2018.1444986</w:t>
        </w:r>
      </w:hyperlink>
      <w:r>
        <w:t xml:space="preserve">.</w:t>
      </w:r>
    </w:p>
    <w:bookmarkEnd w:id="39"/>
    <w:bookmarkStart w:id="41" w:name="ref-Bartholomew_et_al_2020"/>
    <w:p>
      <w:pPr>
        <w:pStyle w:val="Bibliography"/>
      </w:pPr>
      <w:r>
        <w:t xml:space="preserve">Bartholomew, S., and P. Williams. 2020.</w:t>
      </w:r>
      <w:r>
        <w:t xml:space="preserve"> </w:t>
      </w:r>
      <w:r>
        <w:t xml:space="preserve">“STEM Skill Assessment: An Application of Adaptive Comparative Judgment.”</w:t>
      </w:r>
      <w:r>
        <w:t xml:space="preserve"> </w:t>
      </w:r>
      <w:r>
        <w:t xml:space="preserve">In</w:t>
      </w:r>
      <w:r>
        <w:t xml:space="preserve"> </w:t>
      </w:r>
      <w:r>
        <w:rPr>
          <w:i/>
          <w:iCs/>
        </w:rPr>
        <w:t xml:space="preserve">Integrated Approaches to STEM Education. Advances in STEM Education</w:t>
      </w:r>
      <w:r>
        <w:t xml:space="preserve">, edited by J. Anderson and Y. Li. Springer.</w:t>
      </w:r>
      <w:r>
        <w:t xml:space="preserve"> </w:t>
      </w:r>
      <w:hyperlink r:id="rId40">
        <w:r>
          <w:rPr>
            <w:rStyle w:val="Hyperlink"/>
          </w:rPr>
          <w:t xml:space="preserve">https://doi.org/10.1007/978-3-030-52229-2_18</w:t>
        </w:r>
      </w:hyperlink>
      <w:r>
        <w:t xml:space="preserve">.</w:t>
      </w:r>
    </w:p>
    <w:bookmarkEnd w:id="41"/>
    <w:bookmarkStart w:id="43" w:name="ref-Boonen_et_al_2020"/>
    <w:p>
      <w:pPr>
        <w:pStyle w:val="Bibliography"/>
      </w:pPr>
      <w:r>
        <w:t xml:space="preserve">Boonen, N., H. Kloots, and S. Gillis. 2020.</w:t>
      </w:r>
      <w:r>
        <w:t xml:space="preserve"> </w:t>
      </w:r>
      <w:r>
        <w:t xml:space="preserve">“Rating the Overall Speech Quality of Hearing-Impaired Children by Means of Comparative Judgements.”</w:t>
      </w:r>
      <w:r>
        <w:t xml:space="preserve"> </w:t>
      </w:r>
      <w:r>
        <w:rPr>
          <w:i/>
          <w:iCs/>
        </w:rPr>
        <w:t xml:space="preserve">Journal of Communication Disorders</w:t>
      </w:r>
      <w:r>
        <w:t xml:space="preserve"> </w:t>
      </w:r>
      <w:r>
        <w:t xml:space="preserve">83: 1675–87.</w:t>
      </w:r>
      <w:r>
        <w:t xml:space="preserve"> </w:t>
      </w:r>
      <w:hyperlink r:id="rId42">
        <w:r>
          <w:rPr>
            <w:rStyle w:val="Hyperlink"/>
          </w:rPr>
          <w:t xml:space="preserve">https://doi.org/10.1016/j.jcomdis.2019.105969</w:t>
        </w:r>
      </w:hyperlink>
      <w:r>
        <w:t xml:space="preserve">.</w:t>
      </w:r>
    </w:p>
    <w:bookmarkEnd w:id="43"/>
    <w:bookmarkStart w:id="45" w:name="ref-Bradley_et_al_1952"/>
    <w:p>
      <w:pPr>
        <w:pStyle w:val="Bibliography"/>
      </w:pPr>
      <w:r>
        <w:t xml:space="preserve">Bradley, R., and M. Terry. 1952.</w:t>
      </w:r>
      <w:r>
        <w:t xml:space="preserve"> </w:t>
      </w:r>
      <w:r>
        <w:t xml:space="preserve">“Rank Analysis of Incomplete Block Designs: I. The Method of Paired Comparisons.”</w:t>
      </w:r>
      <w:r>
        <w:t xml:space="preserve"> </w:t>
      </w:r>
      <w:r>
        <w:rPr>
          <w:i/>
          <w:iCs/>
        </w:rPr>
        <w:t xml:space="preserve">Biometrika</w:t>
      </w:r>
      <w:r>
        <w:t xml:space="preserve"> </w:t>
      </w:r>
      <w:r>
        <w:t xml:space="preserve">39 (3-4): 324–45.</w:t>
      </w:r>
      <w:r>
        <w:t xml:space="preserve"> </w:t>
      </w:r>
      <w:hyperlink r:id="rId44">
        <w:r>
          <w:rPr>
            <w:rStyle w:val="Hyperlink"/>
          </w:rPr>
          <w:t xml:space="preserve">https://doi.org/10.2307/2334029</w:t>
        </w:r>
      </w:hyperlink>
      <w:r>
        <w:t xml:space="preserve">.</w:t>
      </w:r>
    </w:p>
    <w:bookmarkEnd w:id="45"/>
    <w:bookmarkStart w:id="47" w:name="ref-Bramley_2015"/>
    <w:p>
      <w:pPr>
        <w:pStyle w:val="Bibliography"/>
      </w:pPr>
      <w:r>
        <w:t xml:space="preserve">Bramley, T. 2015.</w:t>
      </w:r>
      <w:r>
        <w:t xml:space="preserve"> </w:t>
      </w:r>
      <w:r>
        <w:t xml:space="preserve">“Investigating the Reliability of Adaptive Comparative Judgment.”</w:t>
      </w:r>
      <w:r>
        <w:t xml:space="preserve"> </w:t>
      </w:r>
      <w:hyperlink r:id="rId46">
        <w:r>
          <w:rPr>
            <w:rStyle w:val="Hyperlink"/>
          </w:rPr>
          <w:t xml:space="preserve">http://www.cambridgeassessment.org.uk/Images/232694-investigating-the-reliability-of-adaptive-comparative-judgment.pdf</w:t>
        </w:r>
      </w:hyperlink>
      <w:r>
        <w:t xml:space="preserve">.</w:t>
      </w:r>
    </w:p>
    <w:bookmarkEnd w:id="47"/>
    <w:bookmarkStart w:id="49" w:name="ref-Bramley_et_al_2019"/>
    <w:p>
      <w:pPr>
        <w:pStyle w:val="Bibliography"/>
      </w:pPr>
      <w:r>
        <w:t xml:space="preserve">Bramley, T., and S. Vitello. 2019.</w:t>
      </w:r>
      <w:r>
        <w:t xml:space="preserve"> </w:t>
      </w:r>
      <w:r>
        <w:t xml:space="preserve">“The Effect of Adaptivity on the Reliability Coefficient in Adaptive Comparative Judgement.”</w:t>
      </w:r>
      <w:r>
        <w:t xml:space="preserve"> </w:t>
      </w:r>
      <w:r>
        <w:rPr>
          <w:i/>
          <w:iCs/>
        </w:rPr>
        <w:t xml:space="preserve">Assessment in Education: Principles, Policy and Practice</w:t>
      </w:r>
      <w:r>
        <w:t xml:space="preserve"> </w:t>
      </w:r>
      <w:r>
        <w:t xml:space="preserve">71 (9): 1–25.</w:t>
      </w:r>
      <w:r>
        <w:t xml:space="preserve"> </w:t>
      </w:r>
      <w:hyperlink r:id="rId48">
        <w:r>
          <w:rPr>
            <w:rStyle w:val="Hyperlink"/>
          </w:rPr>
          <w:t xml:space="preserve">https://doi.org/10.1080/0969594X.2017.1418734</w:t>
        </w:r>
      </w:hyperlink>
      <w:r>
        <w:t xml:space="preserve">.</w:t>
      </w:r>
    </w:p>
    <w:bookmarkEnd w:id="49"/>
    <w:bookmarkStart w:id="51" w:name="ref-Cinelli_et_al_2021"/>
    <w:p>
      <w:pPr>
        <w:pStyle w:val="Bibliography"/>
      </w:pPr>
      <w:r>
        <w:t xml:space="preserve">Cinelli, C., A. Forney, and J. Pearl. 2022.</w:t>
      </w:r>
      <w:r>
        <w:t xml:space="preserve"> </w:t>
      </w:r>
      <w:r>
        <w:t xml:space="preserve">“A Crash Course in Good and Bad Controls.”</w:t>
      </w:r>
      <w:r>
        <w:t xml:space="preserve"> </w:t>
      </w:r>
      <w:r>
        <w:rPr>
          <w:i/>
          <w:iCs/>
        </w:rPr>
        <w:t xml:space="preserve">SSRN</w:t>
      </w:r>
      <w:r>
        <w:t xml:space="preserve">, September. https://doi.org/</w:t>
      </w:r>
      <w:hyperlink r:id="rId50">
        <w:r>
          <w:rPr>
            <w:rStyle w:val="Hyperlink"/>
          </w:rPr>
          <w:t xml:space="preserve">http://dx.doi.org/10.2139/ssrn.3689437</w:t>
        </w:r>
      </w:hyperlink>
      <w:r>
        <w:t xml:space="preserve">.</w:t>
      </w:r>
    </w:p>
    <w:bookmarkEnd w:id="51"/>
    <w:bookmarkStart w:id="53" w:name="ref-Crompvoets_et_al_2022"/>
    <w:p>
      <w:pPr>
        <w:pStyle w:val="Bibliography"/>
      </w:pPr>
      <w:r>
        <w:t xml:space="preserve">Crompvoets, Elise A. V., Anton A. Béguin, and Klaas Sijtsma. 2022.</w:t>
      </w:r>
      <w:r>
        <w:t xml:space="preserve"> </w:t>
      </w:r>
      <w:r>
        <w:t xml:space="preserve">“On the Bias and Stability of the Results of Comparative Judgment.”</w:t>
      </w:r>
      <w:r>
        <w:t xml:space="preserve"> </w:t>
      </w:r>
      <w:r>
        <w:rPr>
          <w:i/>
          <w:iCs/>
        </w:rPr>
        <w:t xml:space="preserve">Frontiers in Education</w:t>
      </w:r>
      <w:r>
        <w:t xml:space="preserve"> </w:t>
      </w:r>
      <w:r>
        <w:t xml:space="preserve">6.</w:t>
      </w:r>
      <w:r>
        <w:t xml:space="preserve"> </w:t>
      </w:r>
      <w:hyperlink r:id="rId52">
        <w:r>
          <w:rPr>
            <w:rStyle w:val="Hyperlink"/>
          </w:rPr>
          <w:t xml:space="preserve">https://doi.org/10.3389/feduc.2021.788202</w:t>
        </w:r>
      </w:hyperlink>
      <w:r>
        <w:t xml:space="preserve">.</w:t>
      </w:r>
    </w:p>
    <w:bookmarkEnd w:id="53"/>
    <w:bookmarkStart w:id="55" w:name="ref-Gijsen_et_al_2021"/>
    <w:p>
      <w:pPr>
        <w:pStyle w:val="Bibliography"/>
      </w:pPr>
      <w:r>
        <w:t xml:space="preserve">Gijsen, M., T. van Daal, Marije Lesterhuis, David Gijbels, and Sven de Maeyer. 2021.</w:t>
      </w:r>
      <w:r>
        <w:t xml:space="preserve"> </w:t>
      </w:r>
      <w:r>
        <w:t xml:space="preserve">“The Complexity of Comparative Judgments in Assessing Argumentative Writing: An Eye Tracking Study.”</w:t>
      </w:r>
      <w:r>
        <w:t xml:space="preserve"> </w:t>
      </w:r>
      <w:r>
        <w:rPr>
          <w:i/>
          <w:iCs/>
        </w:rPr>
        <w:t xml:space="preserve">Frontiers in Education</w:t>
      </w:r>
      <w:r>
        <w:t xml:space="preserve"> </w:t>
      </w:r>
      <w:r>
        <w:t xml:space="preserve">5.</w:t>
      </w:r>
      <w:r>
        <w:t xml:space="preserve"> </w:t>
      </w:r>
      <w:hyperlink r:id="rId54">
        <w:r>
          <w:rPr>
            <w:rStyle w:val="Hyperlink"/>
          </w:rPr>
          <w:t xml:space="preserve">https://doi.org/10.3389/feduc.2020.582800</w:t>
        </w:r>
      </w:hyperlink>
      <w:r>
        <w:t xml:space="preserve">.</w:t>
      </w:r>
    </w:p>
    <w:bookmarkEnd w:id="55"/>
    <w:bookmarkStart w:id="56" w:name="ref-Lesterhuis_2018"/>
    <w:p>
      <w:pPr>
        <w:pStyle w:val="Bibliography"/>
      </w:pPr>
      <w:r>
        <w:t xml:space="preserve">Lesterhuis, M. 2018.</w:t>
      </w:r>
      <w:r>
        <w:t xml:space="preserve"> </w:t>
      </w:r>
      <w:r>
        <w:t xml:space="preserve">“The Validity of Comparative Judgement for Assessing Text Quality: An Assessor’s Perspective.”</w:t>
      </w:r>
      <w:r>
        <w:t xml:space="preserve"> </w:t>
      </w:r>
      <w:r>
        <w:t xml:space="preserve">PhD thesis, University of Antwerp.</w:t>
      </w:r>
    </w:p>
    <w:bookmarkEnd w:id="56"/>
    <w:bookmarkStart w:id="58" w:name="ref-Luce_1959"/>
    <w:p>
      <w:pPr>
        <w:pStyle w:val="Bibliography"/>
      </w:pPr>
      <w:r>
        <w:t xml:space="preserve">Luce, R. 1959.</w:t>
      </w:r>
      <w:r>
        <w:t xml:space="preserve"> </w:t>
      </w:r>
      <w:r>
        <w:t xml:space="preserve">“On the Possible Psychophysical Laws.”</w:t>
      </w:r>
      <w:r>
        <w:t xml:space="preserve"> </w:t>
      </w:r>
      <w:r>
        <w:rPr>
          <w:i/>
          <w:iCs/>
        </w:rPr>
        <w:t xml:space="preserve">The Psychologcal Review</w:t>
      </w:r>
      <w:r>
        <w:t xml:space="preserve"> </w:t>
      </w:r>
      <w:r>
        <w:t xml:space="preserve">66 (2): 482–99.</w:t>
      </w:r>
      <w:r>
        <w:t xml:space="preserve"> </w:t>
      </w:r>
      <w:hyperlink r:id="rId57">
        <w:r>
          <w:rPr>
            <w:rStyle w:val="Hyperlink"/>
          </w:rPr>
          <w:t xml:space="preserve">https://doi.org/10.1037/h0043178</w:t>
        </w:r>
      </w:hyperlink>
      <w:r>
        <w:t xml:space="preserve">.</w:t>
      </w:r>
    </w:p>
    <w:bookmarkEnd w:id="58"/>
    <w:bookmarkStart w:id="60" w:name="ref-Marshall_et_al_2020"/>
    <w:p>
      <w:pPr>
        <w:pStyle w:val="Bibliography"/>
      </w:pPr>
      <w:r>
        <w:t xml:space="preserve">Marshall, N., K Shaw, J. Hunter, and I. Jones. 2020.</w:t>
      </w:r>
      <w:r>
        <w:t xml:space="preserve"> </w:t>
      </w:r>
      <w:r>
        <w:t xml:space="preserve">“Assessment by Comparative Judgement: An Application to Secondary Statistics and English in New Zealand.”</w:t>
      </w:r>
      <w:r>
        <w:t xml:space="preserve"> </w:t>
      </w:r>
      <w:r>
        <w:rPr>
          <w:i/>
          <w:iCs/>
        </w:rPr>
        <w:t xml:space="preserve">New Zealand Journal of Educational Studies</w:t>
      </w:r>
      <w:r>
        <w:t xml:space="preserve"> </w:t>
      </w:r>
      <w:r>
        <w:t xml:space="preserve">55: 49–71.</w:t>
      </w:r>
      <w:r>
        <w:t xml:space="preserve"> </w:t>
      </w:r>
      <w:hyperlink r:id="rId59">
        <w:r>
          <w:rPr>
            <w:rStyle w:val="Hyperlink"/>
          </w:rPr>
          <w:t xml:space="preserve">https://doi.org/10.1007/s40841-020-00163-3</w:t>
        </w:r>
      </w:hyperlink>
      <w:r>
        <w:t xml:space="preserve">.</w:t>
      </w:r>
    </w:p>
    <w:bookmarkEnd w:id="60"/>
    <w:bookmarkStart w:id="62" w:name="ref-Pearl_2009"/>
    <w:p>
      <w:pPr>
        <w:pStyle w:val="Bibliography"/>
      </w:pPr>
      <w:r>
        <w:t xml:space="preserve">Pearl, J. 2009.</w:t>
      </w:r>
      <w:r>
        <w:t xml:space="preserve"> </w:t>
      </w:r>
      <w:hyperlink r:id="rId61">
        <w:r>
          <w:rPr>
            <w:rStyle w:val="Hyperlink"/>
            <w:i/>
            <w:iCs/>
          </w:rPr>
          <w:t xml:space="preserve">Causality: Models, Reasoning and Inference</w:t>
        </w:r>
      </w:hyperlink>
      <w:r>
        <w:t xml:space="preserve">. Cambrige University Press.</w:t>
      </w:r>
    </w:p>
    <w:bookmarkEnd w:id="62"/>
    <w:bookmarkStart w:id="63" w:name="ref-Pearl_et_al_2016"/>
    <w:p>
      <w:pPr>
        <w:pStyle w:val="Bibliography"/>
      </w:pPr>
      <w:r>
        <w:t xml:space="preserve">Pearl, J., M. Glymour, and N. Jewell. 2016.</w:t>
      </w:r>
      <w:r>
        <w:t xml:space="preserve"> </w:t>
      </w:r>
      <w:hyperlink r:id="rId61">
        <w:r>
          <w:rPr>
            <w:rStyle w:val="Hyperlink"/>
            <w:i/>
            <w:iCs/>
          </w:rPr>
          <w:t xml:space="preserve">Causal Inference in Statistics: A Primer</w:t>
        </w:r>
      </w:hyperlink>
      <w:r>
        <w:t xml:space="preserve">. John Wiley &amp; Sons, Inc.</w:t>
      </w:r>
    </w:p>
    <w:bookmarkEnd w:id="63"/>
    <w:bookmarkStart w:id="65" w:name="ref-Placket_1975"/>
    <w:p>
      <w:pPr>
        <w:pStyle w:val="Bibliography"/>
      </w:pPr>
      <w:r>
        <w:t xml:space="preserve">Plackett, R. 1975.</w:t>
      </w:r>
      <w:r>
        <w:t xml:space="preserve"> </w:t>
      </w:r>
      <w:r>
        <w:t xml:space="preserve">“The Analysis of Permutations.”</w:t>
      </w:r>
      <w:r>
        <w:t xml:space="preserve"> </w:t>
      </w:r>
      <w:r>
        <w:rPr>
          <w:i/>
          <w:iCs/>
        </w:rPr>
        <w:t xml:space="preserve">Journal of the Royal Statistical Society</w:t>
      </w:r>
      <w:r>
        <w:t xml:space="preserve"> </w:t>
      </w:r>
      <w:r>
        <w:t xml:space="preserve">24 (2): 193–202.</w:t>
      </w:r>
      <w:r>
        <w:t xml:space="preserve"> </w:t>
      </w:r>
      <w:hyperlink r:id="rId64">
        <w:r>
          <w:rPr>
            <w:rStyle w:val="Hyperlink"/>
          </w:rPr>
          <w:t xml:space="preserve">https://doi.org/10.2307/2346567</w:t>
        </w:r>
      </w:hyperlink>
      <w:r>
        <w:t xml:space="preserve">.</w:t>
      </w:r>
    </w:p>
    <w:bookmarkEnd w:id="65"/>
    <w:bookmarkStart w:id="67" w:name="ref-Pollitt_2012a"/>
    <w:p>
      <w:pPr>
        <w:pStyle w:val="Bibliography"/>
      </w:pPr>
      <w:r>
        <w:t xml:space="preserve">Pollitt, A. 2012a.</w:t>
      </w:r>
      <w:r>
        <w:t xml:space="preserve"> </w:t>
      </w:r>
      <w:r>
        <w:t xml:space="preserve">“Comparative Judgement for Assessment.”</w:t>
      </w:r>
      <w:r>
        <w:t xml:space="preserve"> </w:t>
      </w:r>
      <w:r>
        <w:rPr>
          <w:i/>
          <w:iCs/>
        </w:rPr>
        <w:t xml:space="preserve">International Journal of Technology and Design Education</w:t>
      </w:r>
      <w:r>
        <w:t xml:space="preserve"> </w:t>
      </w:r>
      <w:r>
        <w:t xml:space="preserve">22 (2): 157--170.</w:t>
      </w:r>
      <w:r>
        <w:t xml:space="preserve"> </w:t>
      </w:r>
      <w:hyperlink r:id="rId66">
        <w:r>
          <w:rPr>
            <w:rStyle w:val="Hyperlink"/>
          </w:rPr>
          <w:t xml:space="preserve">https://doi.org/10.1007/s10798-011-9189-x</w:t>
        </w:r>
      </w:hyperlink>
      <w:r>
        <w:t xml:space="preserve">.</w:t>
      </w:r>
    </w:p>
    <w:bookmarkEnd w:id="67"/>
    <w:bookmarkStart w:id="69" w:name="ref-Pollitt_2012b"/>
    <w:p>
      <w:pPr>
        <w:pStyle w:val="Bibliography"/>
      </w:pPr>
      <w:r>
        <w:t xml:space="preserve">———. 2012b.</w:t>
      </w:r>
      <w:r>
        <w:t xml:space="preserve"> </w:t>
      </w:r>
      <w:r>
        <w:t xml:space="preserve">“The Method of Adaptive Comparative Judgement.”</w:t>
      </w:r>
      <w:r>
        <w:t xml:space="preserve"> </w:t>
      </w:r>
      <w:r>
        <w:rPr>
          <w:i/>
          <w:iCs/>
        </w:rPr>
        <w:t xml:space="preserve">Assessment in Education: Principles, Policy and Practice</w:t>
      </w:r>
      <w:r>
        <w:t xml:space="preserve"> </w:t>
      </w:r>
      <w:r>
        <w:t xml:space="preserve">19 (3): 281--300.</w:t>
      </w:r>
      <w:r>
        <w:t xml:space="preserve"> </w:t>
      </w:r>
      <w:hyperlink r:id="rId68">
        <w:r>
          <w:rPr>
            <w:rStyle w:val="Hyperlink"/>
          </w:rPr>
          <w:t xml:space="preserve">https://doi.org/10.1080/0969594X.2012.665354</w:t>
        </w:r>
      </w:hyperlink>
      <w:r>
        <w:t xml:space="preserve">.</w:t>
      </w:r>
    </w:p>
    <w:bookmarkEnd w:id="69"/>
    <w:bookmarkStart w:id="71" w:name="ref-Thurstone_1927"/>
    <w:p>
      <w:pPr>
        <w:pStyle w:val="Bibliography"/>
      </w:pPr>
      <w:r>
        <w:t xml:space="preserve">Thurstone, L. 1927.</w:t>
      </w:r>
      <w:r>
        <w:t xml:space="preserve"> </w:t>
      </w:r>
      <w:r>
        <w:t xml:space="preserve">“A Law of Comparative Judgment.”</w:t>
      </w:r>
      <w:r>
        <w:t xml:space="preserve"> </w:t>
      </w:r>
      <w:r>
        <w:rPr>
          <w:i/>
          <w:iCs/>
        </w:rPr>
        <w:t xml:space="preserve">Psychological Review</w:t>
      </w:r>
      <w:r>
        <w:t xml:space="preserve"> </w:t>
      </w:r>
      <w:r>
        <w:t xml:space="preserve">34 (4): 482–99.</w:t>
      </w:r>
      <w:r>
        <w:t xml:space="preserve"> </w:t>
      </w:r>
      <w:hyperlink r:id="rId70">
        <w:r>
          <w:rPr>
            <w:rStyle w:val="Hyperlink"/>
          </w:rPr>
          <w:t xml:space="preserve">https://doi.org/10.1037/h0070288</w:t>
        </w:r>
      </w:hyperlink>
      <w:r>
        <w:t xml:space="preserve">.</w:t>
      </w:r>
    </w:p>
    <w:bookmarkEnd w:id="71"/>
    <w:bookmarkStart w:id="73" w:name="ref-Tutz_1986"/>
    <w:p>
      <w:pPr>
        <w:pStyle w:val="Bibliography"/>
      </w:pPr>
      <w:r>
        <w:t xml:space="preserve">Tutz, G. 1986.</w:t>
      </w:r>
      <w:r>
        <w:t xml:space="preserve"> </w:t>
      </w:r>
      <w:r>
        <w:t xml:space="preserve">“Bradley-Terry-Luce Model with an Ordered Response.”</w:t>
      </w:r>
      <w:r>
        <w:t xml:space="preserve"> </w:t>
      </w:r>
      <w:r>
        <w:rPr>
          <w:i/>
          <w:iCs/>
        </w:rPr>
        <w:t xml:space="preserve">Journal of Mathemathical Psychology</w:t>
      </w:r>
      <w:r>
        <w:t xml:space="preserve"> </w:t>
      </w:r>
      <w:r>
        <w:t xml:space="preserve">30 (3): 306–16.</w:t>
      </w:r>
      <w:r>
        <w:t xml:space="preserve"> </w:t>
      </w:r>
      <w:hyperlink r:id="rId72">
        <w:r>
          <w:rPr>
            <w:rStyle w:val="Hyperlink"/>
          </w:rPr>
          <w:t xml:space="preserve">https://doi.org/10.1016/0022-2496(86)90034-9</w:t>
        </w:r>
      </w:hyperlink>
      <w:r>
        <w:t xml:space="preserve">.</w:t>
      </w:r>
    </w:p>
    <w:bookmarkEnd w:id="73"/>
    <w:bookmarkStart w:id="74" w:name="ref-vanDaal_2020"/>
    <w:p>
      <w:pPr>
        <w:pStyle w:val="Bibliography"/>
      </w:pPr>
      <w:r>
        <w:t xml:space="preserve">van Daal, T. 2020.</w:t>
      </w:r>
      <w:r>
        <w:t xml:space="preserve"> </w:t>
      </w:r>
      <w:r>
        <w:t xml:space="preserve">“Making a Choice Is Not Easy?!: Unravelling the Task Difficulty of Comparative Judgement to Assess Student Work.”</w:t>
      </w:r>
      <w:r>
        <w:t xml:space="preserve"> </w:t>
      </w:r>
      <w:r>
        <w:t xml:space="preserve">PhD thesis, University of Antwerp.</w:t>
      </w:r>
    </w:p>
    <w:bookmarkEnd w:id="74"/>
    <w:bookmarkStart w:id="76" w:name="ref-vanDaal_et_al_2016"/>
    <w:p>
      <w:pPr>
        <w:pStyle w:val="Bibliography"/>
      </w:pPr>
      <w:r>
        <w:t xml:space="preserve">van Daal, T., M. Lesterhuis, L. Coertjens, V. Donche, and S. De Maeyer. 2019.</w:t>
      </w:r>
      <w:r>
        <w:t xml:space="preserve"> </w:t>
      </w:r>
      <w:r>
        <w:t xml:space="preserve">“Validity of Comparative Judgement to Assess Academic Writing: Examining Implications of Its Holistic Character and Building on a Shared Consensus.”</w:t>
      </w:r>
      <w:r>
        <w:t xml:space="preserve"> </w:t>
      </w:r>
      <w:r>
        <w:rPr>
          <w:i/>
          <w:iCs/>
        </w:rPr>
        <w:t xml:space="preserve">Assessment in Education: Principles, Policy &amp; Practice</w:t>
      </w:r>
      <w:r>
        <w:t xml:space="preserve"> </w:t>
      </w:r>
      <w:r>
        <w:t xml:space="preserve">26 (1): 59–74.</w:t>
      </w:r>
      <w:r>
        <w:t xml:space="preserve"> </w:t>
      </w:r>
      <w:hyperlink r:id="rId75">
        <w:r>
          <w:rPr>
            <w:rStyle w:val="Hyperlink"/>
          </w:rPr>
          <w:t xml:space="preserve">https://doi.org/10.1080/0969594X.2016.1253542</w:t>
        </w:r>
      </w:hyperlink>
      <w:r>
        <w:t xml:space="preserve">.</w:t>
      </w:r>
    </w:p>
    <w:bookmarkEnd w:id="76"/>
    <w:bookmarkStart w:id="78" w:name="ref-vanDaal_et_al_2017"/>
    <w:p>
      <w:pPr>
        <w:pStyle w:val="Bibliography"/>
      </w:pPr>
      <w:r>
        <w:t xml:space="preserve">van Daal, T., M. Lesterhuis, L. Coertjens, MT. van de Kamp, V. Donche, and Sven de Maeyer. 2017.</w:t>
      </w:r>
      <w:r>
        <w:t xml:space="preserve"> </w:t>
      </w:r>
      <w:r>
        <w:t xml:space="preserve">“The Complexity of Assessing Student Work Using Comparative Judgment: The Moderating Role of Decision Accuracy.”</w:t>
      </w:r>
      <w:r>
        <w:t xml:space="preserve"> </w:t>
      </w:r>
      <w:r>
        <w:rPr>
          <w:i/>
          <w:iCs/>
        </w:rPr>
        <w:t xml:space="preserve">Frontiers in Education</w:t>
      </w:r>
      <w:r>
        <w:t xml:space="preserve"> </w:t>
      </w:r>
      <w:r>
        <w:t xml:space="preserve">2.</w:t>
      </w:r>
      <w:r>
        <w:t xml:space="preserve"> </w:t>
      </w:r>
      <w:hyperlink r:id="rId77">
        <w:r>
          <w:rPr>
            <w:rStyle w:val="Hyperlink"/>
          </w:rPr>
          <w:t xml:space="preserve">https://doi.org/10.3389/feduc.2017.00044</w:t>
        </w:r>
      </w:hyperlink>
      <w:r>
        <w:t xml:space="preserve">.</w:t>
      </w:r>
    </w:p>
    <w:bookmarkEnd w:id="78"/>
    <w:bookmarkStart w:id="80" w:name="ref-Verhavert_et_al_2019"/>
    <w:p>
      <w:pPr>
        <w:pStyle w:val="Bibliography"/>
      </w:pPr>
      <w:r>
        <w:t xml:space="preserve">Verhavert, S., R. Bouwer, V Donche, and S. De Maeyer. 2019.</w:t>
      </w:r>
      <w:r>
        <w:t xml:space="preserve"> </w:t>
      </w:r>
      <w:r>
        <w:t xml:space="preserve">“A Meta-Analysis on the Reliability of Comparative Judgement.”</w:t>
      </w:r>
      <w:r>
        <w:t xml:space="preserve"> </w:t>
      </w:r>
      <w:r>
        <w:rPr>
          <w:i/>
          <w:iCs/>
        </w:rPr>
        <w:t xml:space="preserve">Assessment in Education: Principles, Policy and Practice</w:t>
      </w:r>
      <w:r>
        <w:t xml:space="preserve"> </w:t>
      </w:r>
      <w:r>
        <w:t xml:space="preserve">26 (5): 541–62.</w:t>
      </w:r>
      <w:r>
        <w:t xml:space="preserve"> </w:t>
      </w:r>
      <w:hyperlink r:id="rId79">
        <w:r>
          <w:rPr>
            <w:rStyle w:val="Hyperlink"/>
          </w:rPr>
          <w:t xml:space="preserve">https://doi.org/10.1080/0969594X.2019.1602027</w:t>
        </w:r>
      </w:hyperlink>
      <w:r>
        <w:t xml:space="preserve">.</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 TargetMode="External" /><Relationship Type="http://schemas.openxmlformats.org/officeDocument/2006/relationships/hyperlink" Id="rId50" Target="http://dx.doi.org/10.2139/ssrn.3689437" TargetMode="External" /><Relationship Type="http://schemas.openxmlformats.org/officeDocument/2006/relationships/hyperlink" Id="rId46" Target="http://www.cambridgeassessment.org.uk/Images/232694-investigating-the-reliability-of-adaptive-comparative-judgment.pdf" TargetMode="External" /><Relationship Type="http://schemas.openxmlformats.org/officeDocument/2006/relationships/hyperlink" Id="rId40" Target="https://doi.org/10.1007/978-3-030-52229-2_18" TargetMode="External" /><Relationship Type="http://schemas.openxmlformats.org/officeDocument/2006/relationships/hyperlink" Id="rId66" Target="https://doi.org/10.1007/s10798-011-9189-x" TargetMode="External" /><Relationship Type="http://schemas.openxmlformats.org/officeDocument/2006/relationships/hyperlink" Id="rId59" Target="https://doi.org/10.1007/s40841-020-00163-3" TargetMode="External" /><Relationship Type="http://schemas.openxmlformats.org/officeDocument/2006/relationships/hyperlink" Id="rId72" Target="https://doi.org/10.1016/0022-2496(86)90034-9" TargetMode="External" /><Relationship Type="http://schemas.openxmlformats.org/officeDocument/2006/relationships/hyperlink" Id="rId42" Target="https://doi.org/10.1016/j.jcomdis.2019.105969" TargetMode="External" /><Relationship Type="http://schemas.openxmlformats.org/officeDocument/2006/relationships/hyperlink" Id="rId57" Target="https://doi.org/10.1037/h0043178" TargetMode="External" /><Relationship Type="http://schemas.openxmlformats.org/officeDocument/2006/relationships/hyperlink" Id="rId70" Target="https://doi.org/10.1037/h0070288" TargetMode="External" /><Relationship Type="http://schemas.openxmlformats.org/officeDocument/2006/relationships/hyperlink" Id="rId68" Target="https://doi.org/10.1080/0969594X.2012.665354" TargetMode="External" /><Relationship Type="http://schemas.openxmlformats.org/officeDocument/2006/relationships/hyperlink" Id="rId75" Target="https://doi.org/10.1080/0969594X.2016.1253542" TargetMode="External" /><Relationship Type="http://schemas.openxmlformats.org/officeDocument/2006/relationships/hyperlink" Id="rId48" Target="https://doi.org/10.1080/0969594X.2017.1418734" TargetMode="External" /><Relationship Type="http://schemas.openxmlformats.org/officeDocument/2006/relationships/hyperlink" Id="rId79" Target="https://doi.org/10.1080/0969594X.2019.1602027" TargetMode="External" /><Relationship Type="http://schemas.openxmlformats.org/officeDocument/2006/relationships/hyperlink" Id="rId38" Target="https://doi.org/10.1080/10627197.2018.1444986" TargetMode="External" /><Relationship Type="http://schemas.openxmlformats.org/officeDocument/2006/relationships/hyperlink" Id="rId44" Target="https://doi.org/10.2307/2334029" TargetMode="External" /><Relationship Type="http://schemas.openxmlformats.org/officeDocument/2006/relationships/hyperlink" Id="rId64" Target="https://doi.org/10.2307/2346567" TargetMode="External" /><Relationship Type="http://schemas.openxmlformats.org/officeDocument/2006/relationships/hyperlink" Id="rId36" Target="https://doi.org/10.2307/2347562" TargetMode="External" /><Relationship Type="http://schemas.openxmlformats.org/officeDocument/2006/relationships/hyperlink" Id="rId77" Target="https://doi.org/10.3389/feduc.2017.00044" TargetMode="External" /><Relationship Type="http://schemas.openxmlformats.org/officeDocument/2006/relationships/hyperlink" Id="rId54" Target="https://doi.org/10.3389/feduc.2020.582800" TargetMode="External" /><Relationship Type="http://schemas.openxmlformats.org/officeDocument/2006/relationships/hyperlink" Id="rId52" Target="https://doi.org/10.3389/feduc.2021.788202" TargetMode="External" /></Relationships>
</file>

<file path=word/_rels/footnotes.xml.rels><?xml version="1.0" encoding="UTF-8"?><Relationships xmlns="http://schemas.openxmlformats.org/package/2006/relationships"><Relationship Type="http://schemas.openxmlformats.org/officeDocument/2006/relationships/hyperlink" Id="rId61" Target="" TargetMode="External" /><Relationship Type="http://schemas.openxmlformats.org/officeDocument/2006/relationships/hyperlink" Id="rId50" Target="http://dx.doi.org/10.2139/ssrn.3689437" TargetMode="External" /><Relationship Type="http://schemas.openxmlformats.org/officeDocument/2006/relationships/hyperlink" Id="rId46" Target="http://www.cambridgeassessment.org.uk/Images/232694-investigating-the-reliability-of-adaptive-comparative-judgment.pdf" TargetMode="External" /><Relationship Type="http://schemas.openxmlformats.org/officeDocument/2006/relationships/hyperlink" Id="rId40" Target="https://doi.org/10.1007/978-3-030-52229-2_18" TargetMode="External" /><Relationship Type="http://schemas.openxmlformats.org/officeDocument/2006/relationships/hyperlink" Id="rId66" Target="https://doi.org/10.1007/s10798-011-9189-x" TargetMode="External" /><Relationship Type="http://schemas.openxmlformats.org/officeDocument/2006/relationships/hyperlink" Id="rId59" Target="https://doi.org/10.1007/s40841-020-00163-3" TargetMode="External" /><Relationship Type="http://schemas.openxmlformats.org/officeDocument/2006/relationships/hyperlink" Id="rId72" Target="https://doi.org/10.1016/0022-2496(86)90034-9" TargetMode="External" /><Relationship Type="http://schemas.openxmlformats.org/officeDocument/2006/relationships/hyperlink" Id="rId42" Target="https://doi.org/10.1016/j.jcomdis.2019.105969" TargetMode="External" /><Relationship Type="http://schemas.openxmlformats.org/officeDocument/2006/relationships/hyperlink" Id="rId57" Target="https://doi.org/10.1037/h0043178" TargetMode="External" /><Relationship Type="http://schemas.openxmlformats.org/officeDocument/2006/relationships/hyperlink" Id="rId70" Target="https://doi.org/10.1037/h0070288" TargetMode="External" /><Relationship Type="http://schemas.openxmlformats.org/officeDocument/2006/relationships/hyperlink" Id="rId68" Target="https://doi.org/10.1080/0969594X.2012.665354" TargetMode="External" /><Relationship Type="http://schemas.openxmlformats.org/officeDocument/2006/relationships/hyperlink" Id="rId75" Target="https://doi.org/10.1080/0969594X.2016.1253542" TargetMode="External" /><Relationship Type="http://schemas.openxmlformats.org/officeDocument/2006/relationships/hyperlink" Id="rId48" Target="https://doi.org/10.1080/0969594X.2017.1418734" TargetMode="External" /><Relationship Type="http://schemas.openxmlformats.org/officeDocument/2006/relationships/hyperlink" Id="rId79" Target="https://doi.org/10.1080/0969594X.2019.1602027" TargetMode="External" /><Relationship Type="http://schemas.openxmlformats.org/officeDocument/2006/relationships/hyperlink" Id="rId38" Target="https://doi.org/10.1080/10627197.2018.1444986" TargetMode="External" /><Relationship Type="http://schemas.openxmlformats.org/officeDocument/2006/relationships/hyperlink" Id="rId44" Target="https://doi.org/10.2307/2334029" TargetMode="External" /><Relationship Type="http://schemas.openxmlformats.org/officeDocument/2006/relationships/hyperlink" Id="rId64" Target="https://doi.org/10.2307/2346567" TargetMode="External" /><Relationship Type="http://schemas.openxmlformats.org/officeDocument/2006/relationships/hyperlink" Id="rId36" Target="https://doi.org/10.2307/2347562" TargetMode="External" /><Relationship Type="http://schemas.openxmlformats.org/officeDocument/2006/relationships/hyperlink" Id="rId77" Target="https://doi.org/10.3389/feduc.2017.00044" TargetMode="External" /><Relationship Type="http://schemas.openxmlformats.org/officeDocument/2006/relationships/hyperlink" Id="rId54" Target="https://doi.org/10.3389/feduc.2020.582800" TargetMode="External" /><Relationship Type="http://schemas.openxmlformats.org/officeDocument/2006/relationships/hyperlink" Id="rId52" Target="https://doi.org/10.3389/feduc.2021.7882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analysis for Dichotomous Comparative Judgment experiments (DCJ)</dc:title>
  <dc:creator>Jose Manuel Rivera Espejo; Sven de Maeyer; Steven Gillis</dc:creator>
  <cp:keywords>power analysis, comparative judgment, bayesian analysis, simulation</cp:keywords>
  <dcterms:created xsi:type="dcterms:W3CDTF">2024-03-18T16:36:09Z</dcterms:created>
  <dcterms:modified xsi:type="dcterms:W3CDTF">2024-03-18T16:36:09Z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do)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2024-03-18</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ey-points">
    <vt:lpwstr/>
  </property>
  <property fmtid="{D5CDD505-2E9C-101B-9397-08002B2CF9AE}" pid="18" name="labels">
    <vt:lpwstr/>
  </property>
  <property fmtid="{D5CDD505-2E9C-101B-9397-08002B2CF9AE}" pid="19" name="licence">
    <vt:lpwstr>CC BY-SA</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quarto installage-summary">
    <vt:lpwstr>(to do) …</vt:lpwstr>
  </property>
  <property fmtid="{D5CDD505-2E9C-101B-9397-08002B2CF9AE}" pid="24" name="quarto-internal">
    <vt:lpwstr/>
  </property>
  <property fmtid="{D5CDD505-2E9C-101B-9397-08002B2CF9AE}" pid="25" name="remove-hidden">
    <vt:lpwstr>all</vt:lpwstr>
  </property>
  <property fmtid="{D5CDD505-2E9C-101B-9397-08002B2CF9AE}" pid="26" name="subtitle">
    <vt:lpwstr>A Bayesian simulation-based study exploring the assessment factors that impact DCJ</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