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method’s</w:t>
      </w:r>
      <w:r>
        <w:t xml:space="preserve"> </w:t>
      </w:r>
      <w:r>
        <w:t xml:space="preserve">reliability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2024-03-23</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w:t>
      </w:r>
      <w:r>
        <w:t xml:space="preserve"> </w:t>
      </w:r>
      <w:r>
        <w:t xml:space="preserve">(DCJ, Pollitt 2012a, 2012b)</w:t>
      </w:r>
      <w:r>
        <w:t xml:space="preserve">. Within DCJ, a judge assesses the relative manifestation of a trait within a pair of stimuli. This results in a dichotomous value indicating which stimulus appears to possess a higher degree of the trait.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latent variable generated by the model can then be employed to rank the stimuli from lowest to highest or to evaluate the influence of specific characteristics of the stimuli on their positions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interact and contribute to the reliability of the DCJ method. These factors include the number and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and characteristics of judges, their</w:t>
      </w:r>
      <w:r>
        <w:t xml:space="preserve"> </w:t>
      </w:r>
      <w:r>
        <w:rPr>
          <w:i/>
          <w:iCs/>
        </w:rPr>
        <w:t xml:space="preserve">discrimination</w:t>
      </w:r>
      <w:r>
        <w:t xml:space="preserve"> </w:t>
      </w:r>
      <w:r>
        <w:t xml:space="preserve">abilities, and the number of comparisons per judge also play pivotal roles. Moreover, in cases where the stimuli represent sub-units of higher-levels units, factors such as the number and characteristics of these units, along with their</w:t>
      </w:r>
      <w:r>
        <w:t xml:space="preserve"> </w:t>
      </w:r>
      <w:r>
        <w:rPr>
          <w:i/>
          <w:iCs/>
        </w:rPr>
        <w:t xml:space="preserve">proximity</w:t>
      </w:r>
      <w:r>
        <w:t xml:space="preserve"> </w:t>
      </w:r>
      <w:r>
        <w:t xml:space="preserve">in terms of the assessed trait, can significantly influence the assessment outcome. An example of the latter can be found in the work of</w:t>
      </w:r>
      <w:r>
        <w:t xml:space="preserve"> </w:t>
      </w:r>
      <w:r>
        <w:t xml:space="preserve">Boonen, Kloots, and Gillis (2020)</w:t>
      </w:r>
      <w:r>
        <w:t xml:space="preserve">. The study evaluated the</w:t>
      </w:r>
      <w:r>
        <w:t xml:space="preserve"> </w:t>
      </w:r>
      <w:r>
        <w:rPr>
          <w:i/>
          <w:iCs/>
        </w:rPr>
        <w:t xml:space="preserve">overall perceived speech quality</w:t>
      </w:r>
      <w:r>
        <w:t xml:space="preserve"> </w:t>
      </w:r>
      <w:r>
        <w:t xml:space="preserve">within a pair of stimuli. The stimuli comprised multiple utterances (sub-units) originating from multiple children (units). Ultimately, the research aimed to assess potential trait differences not among stimuli, but rather among groups of units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random versus adaptive pairing algorithms on the Scale Separation Reliability</w:t>
      </w:r>
      <w:r>
        <w:t xml:space="preserve"> </w:t>
      </w:r>
      <w:r>
        <w:t xml:space="preserve">(SSR, Pollitt 2012b)</w:t>
      </w:r>
      <w:r>
        <w:t xml:space="preserve">. Similarly,</w:t>
      </w:r>
      <w:r>
        <w:t xml:space="preserve"> </w:t>
      </w:r>
      <w:r>
        <w:t xml:space="preserve">Bramley and Vitello (2019)</w:t>
      </w:r>
      <w:r>
        <w:t xml:space="preserve"> </w:t>
      </w:r>
      <w:r>
        <w:t xml:space="preserve">explored the influence of adaptive algorithms on the SSR using autobiographical essays from candidates in an English Language course.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Lastly,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the interplay of the different relevant assessment factors and their contribution to the reliability of the method.</w:t>
      </w:r>
    </w:p>
    <w:p>
      <w:pPr>
        <w:pStyle w:val="BodyText"/>
      </w:pPr>
      <w:r>
        <w:t xml:space="preserve">This study aims to address this gap by conducting a Bayesian simulation-based power analysis. Initially, it defines the different targets of inference, which form the basis for evaluating the reliability of the DCJ method. The targets are articulated through three research questions. Subsequently, the research constructs a</w:t>
      </w:r>
      <w:r>
        <w:t xml:space="preserve"> </w:t>
      </w:r>
      <w:r>
        <w:rPr>
          <w:i/>
          <w:iCs/>
        </w:rPr>
        <w:t xml:space="preserve">scientific model</w:t>
      </w:r>
      <w:r>
        <w:t xml:space="preserve"> </w:t>
      </w:r>
      <w:r>
        <w:t xml:space="preserve">for the DCJ procedure, elucidating the causal assumptions and mechanisms underlying the system, aiding in drawing inferences about causal relationships from DCJ data. Next, the study translates the scientific model into a probabilistic statistical model to derive a</w:t>
      </w:r>
      <w:r>
        <w:t xml:space="preserve"> </w:t>
      </w:r>
      <w:r>
        <w:rPr>
          <w:i/>
          <w:iCs/>
        </w:rPr>
        <w:t xml:space="preserve">statistical estimand</w:t>
      </w:r>
      <w:r>
        <w:t xml:space="preserve"> </w:t>
      </w:r>
      <w:r>
        <w:t xml:space="preserve">for the various inference targets. Bayesian statistical methods offer an intuitive approach for the task. Finally, employing multiple simulated datasets for different combinations of the relevant assessment factors, the study generates multiple</w:t>
      </w:r>
      <w:r>
        <w:t xml:space="preserve"> </w:t>
      </w:r>
      <w:r>
        <w:rPr>
          <w:i/>
          <w:iCs/>
        </w:rPr>
        <w:t xml:space="preserve">estimates</w:t>
      </w:r>
      <w:r>
        <w:t xml:space="preserve"> </w:t>
      </w:r>
      <w:r>
        <w:t xml:space="preserve">for the statistical estimands. Notably, the statistical estimands in simulated data are known, enabling the study to assess the reliability of DCJ by evaluating the</w:t>
      </w:r>
      <w:r>
        <w:t xml:space="preserve"> </w:t>
      </w:r>
      <w:r>
        <w:rPr>
          <w:i/>
          <w:iCs/>
        </w:rPr>
        <w:t xml:space="preserve">proximity</w:t>
      </w:r>
      <w:r>
        <w:t xml:space="preserve"> </w:t>
      </w:r>
      <w:r>
        <w:t xml:space="preserve">of these estimands to the generated estimates, resembling a power analysis. Ultimately, the outcomes of this study will inform the planning of DCJ experiments and hold significance for researchers or analysts involved in education and assessment procedures who implement the DCJ methodology.</w:t>
      </w:r>
    </w:p>
    <w:bookmarkEnd w:id="20"/>
    <w:bookmarkStart w:id="33" w:name="sec-TheoreticalFramework"/>
    <w:p>
      <w:pPr>
        <w:pStyle w:val="Heading2"/>
      </w:pPr>
      <w:r>
        <w:t xml:space="preserve">Theoretical framework</w:t>
      </w:r>
    </w:p>
    <w:p>
      <w:pPr>
        <w:pStyle w:val="FirstParagraph"/>
      </w:pPr>
      <w:r>
        <w:t xml:space="preserve">To evaluate the reliability of the DCJ method, this study first define specific terminology.</w:t>
      </w:r>
    </w:p>
    <w:tbl>
      <w:tblPr>
        <w:tblStyle w:val="Table"/>
        <w:tblW w:type="pct" w:w="5000"/>
        <w:jc w:val="left"/>
        <w:tblLayout w:type="fixed"/>
        <w:tblLook w:firstRow="0" w:lastRow="0" w:firstColumn="0" w:lastColumn="0" w:noHBand="0" w:noVBand="0" w:val="0000"/>
      </w:tblPr>
      <w:tblGrid>
        <w:gridCol w:w="7920"/>
      </w:tblGrid>
      <w:tr>
        <w:tc>
          <w:tcPr/>
          <w:bookmarkStart w:id="24" w:name="fig-IEflowchart"/>
          <w:p>
            <w:pPr>
              <w:pStyle w:val="Compact"/>
              <w:jc w:val="center"/>
            </w:pPr>
            <w:r>
              <w:drawing>
                <wp:inline>
                  <wp:extent cx="2448628" cy="1724472"/>
                  <wp:effectExtent b="0" l="0" r="0" t="0"/>
                  <wp:docPr descr="" title="" id="22" name="Picture"/>
                  <a:graphic>
                    <a:graphicData uri="http://schemas.openxmlformats.org/drawingml/2006/picture">
                      <pic:pic>
                        <pic:nvPicPr>
                          <pic:cNvPr descr="images/tex/IEflowchart.png" id="23" name="Picture"/>
                          <pic:cNvPicPr>
                            <a:picLocks noChangeArrowheads="1" noChangeAspect="1"/>
                          </pic:cNvPicPr>
                        </pic:nvPicPr>
                        <pic:blipFill>
                          <a:blip r:embed="rId21"/>
                          <a:stretch>
                            <a:fillRect/>
                          </a:stretch>
                        </pic:blipFill>
                        <pic:spPr bwMode="auto">
                          <a:xfrm>
                            <a:off x="0" y="0"/>
                            <a:ext cx="2448628" cy="1724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Identification-Estimation flowchart. Extracted from</w:t>
            </w:r>
            <w:r>
              <w:t xml:space="preserve"> </w:t>
            </w:r>
            <w:r>
              <w:t xml:space="preserve">Neal (2020, 32)</w:t>
            </w:r>
          </w:p>
          <w:bookmarkEnd w:id="24"/>
        </w:tc>
      </w:tr>
    </w:tbl>
    <w:bookmarkStart w:id="25" w:name="sec-ResearchQuestions"/>
    <w:p>
      <w:pPr>
        <w:pStyle w:val="Heading3"/>
      </w:pPr>
      <w:r>
        <w:t xml:space="preserve">Research questions and their estimands</w:t>
      </w:r>
    </w:p>
    <w:bookmarkEnd w:id="25"/>
    <w:bookmarkStart w:id="31" w:name="sec-SciMod"/>
    <w:p>
      <w:pPr>
        <w:pStyle w:val="Heading3"/>
      </w:pPr>
      <w:r>
        <w:t xml:space="preserve">A scientific model for the DCJ procedure</w:t>
      </w:r>
    </w:p>
    <w:p>
      <w:pPr>
        <w:pStyle w:val="FirstParagraph"/>
      </w:pPr>
      <w:r>
        <w:t xml:space="preserve">A</w:t>
      </w:r>
      <w:r>
        <w:t xml:space="preserve"> </w:t>
      </w:r>
      <w:r>
        <w:rPr>
          <w:i/>
          <w:iCs/>
        </w:rPr>
        <w:t xml:space="preserve">scientific (causal) model</w:t>
      </w:r>
      <w:r>
        <w:t xml:space="preserve"> </w:t>
      </w:r>
      <w:r>
        <w:t xml:space="preserve">describe the causal assumptions and mechanisms underlying a system, and facilitate inferences about causal relationships from data</w:t>
      </w:r>
      <w:r>
        <w:t xml:space="preserve"> </w:t>
      </w:r>
      <w:r>
        <w:t xml:space="preserve">(Hitchcock 2023)</w:t>
      </w:r>
      <w:r>
        <w:t xml:space="preserve">.</w:t>
      </w:r>
    </w:p>
    <w:p>
      <w:pPr>
        <w:pStyle w:val="BodyText"/>
      </w:pPr>
      <w:r>
        <w:t xml:space="preserve">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DAG are</w:t>
      </w:r>
      <w:r>
        <w:t xml:space="preserve"> </w:t>
      </w:r>
      <w:r>
        <w:t xml:space="preserve">(…)</w:t>
      </w:r>
      <w:r>
        <w:t xml:space="preserve">. While SCM are</w:t>
      </w:r>
      <w:r>
        <w:t xml:space="preserve"> </w:t>
      </w:r>
      <w:r>
        <w:t xml:space="preserve">(…)</w:t>
      </w:r>
      <w:r>
        <w:t xml:space="preserve">.</w:t>
      </w:r>
    </w:p>
    <w:tbl>
      <w:tblPr>
        <w:tblStyle w:val="Table"/>
        <w:tblW w:type="pct" w:w="5000"/>
        <w:jc w:val="left"/>
        <w:tblLayout w:type="fixed"/>
        <w:tblLook w:firstRow="0" w:lastRow="0" w:firstColumn="0" w:lastColumn="0" w:noHBand="0" w:noVBand="0" w:val="0000"/>
      </w:tblPr>
      <w:tblGrid>
        <w:gridCol w:w="7920"/>
      </w:tblGrid>
      <w:tr>
        <w:tc>
          <w:tcPr/>
          <w:bookmarkStart w:id="29" w:name="fig-IEflowchart"/>
          <w:p>
            <w:pPr>
              <w:pStyle w:val="Compact"/>
              <w:jc w:val="center"/>
            </w:pPr>
            <w:r>
              <w:drawing>
                <wp:inline>
                  <wp:extent cx="2595914" cy="1742883"/>
                  <wp:effectExtent b="0" l="0" r="0" t="0"/>
                  <wp:docPr descr="" title="" id="27" name="Picture"/>
                  <a:graphic>
                    <a:graphicData uri="http://schemas.openxmlformats.org/drawingml/2006/picture">
                      <pic:pic>
                        <pic:nvPicPr>
                          <pic:cNvPr descr="images/tex/SciMod.png" id="28" name="Picture"/>
                          <pic:cNvPicPr>
                            <a:picLocks noChangeArrowheads="1" noChangeAspect="1"/>
                          </pic:cNvPicPr>
                        </pic:nvPicPr>
                        <pic:blipFill>
                          <a:blip r:embed="rId26"/>
                          <a:stretch>
                            <a:fillRect/>
                          </a:stretch>
                        </pic:blipFill>
                        <pic:spPr bwMode="auto">
                          <a:xfrm>
                            <a:off x="0" y="0"/>
                            <a:ext cx="2595914" cy="17428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model for the DCJ method</w:t>
            </w:r>
          </w:p>
          <w:bookmarkEnd w:id="29"/>
        </w:tc>
      </w:tr>
    </w:tbl>
    <w:p>
      <w:pPr>
        <w:pStyle w:val="BodyText"/>
      </w:pPr>
      <w:r>
        <w:t xml:space="preserve">where</w:t>
      </w:r>
      <w:r>
        <w:t xml:space="preserve"> </w:t>
      </w:r>
      <m:oMath>
        <m:sSub>
          <m:e>
            <m:r>
              <m:t>X</m:t>
            </m:r>
          </m:e>
          <m:sub>
            <m:r>
              <m:t>i</m:t>
            </m:r>
          </m:sub>
        </m:sSub>
      </m:oMath>
      <w:r>
        <w:t xml:space="preserve"> </w:t>
      </w:r>
      <w:r>
        <w:t xml:space="preserve">describe the background variables for the units (</w:t>
      </w:r>
      <m:oMath>
        <m:r>
          <m:t>i</m:t>
        </m:r>
        <m:r>
          <m:rPr>
            <m:sty m:val="p"/>
          </m:rPr>
          <m:t>=</m:t>
        </m:r>
        <m:r>
          <m:t>1</m:t>
        </m:r>
        <m:r>
          <m:rPr>
            <m:sty m:val="p"/>
          </m:rPr>
          <m:t>,</m:t>
        </m:r>
        <m:r>
          <m:rPr>
            <m:sty m:val="p"/>
          </m:rPr>
          <m:t>…</m:t>
        </m:r>
        <m:r>
          <m:rPr>
            <m:sty m:val="p"/>
          </m:rPr>
          <m:t>,</m:t>
        </m:r>
        <m:r>
          <m:t>j</m:t>
        </m:r>
        <m:r>
          <m:rPr>
            <m:sty m:val="p"/>
          </m:rPr>
          <m:t>,</m:t>
        </m:r>
        <m:r>
          <m:rPr>
            <m:sty m:val="p"/>
          </m:rPr>
          <m:t>…</m:t>
        </m:r>
        <m:r>
          <m:rPr>
            <m:sty m:val="p"/>
          </m:rPr>
          <m:t>,</m:t>
        </m:r>
        <m:r>
          <m:t>N</m:t>
        </m:r>
      </m:oMath>
      <w:r>
        <w:t xml:space="preserve">),</w:t>
      </w:r>
      <w:r>
        <w:t xml:space="preserve"> </w:t>
      </w:r>
      <m:oMath>
        <m:sSub>
          <m:e>
            <m:r>
              <m:t>Z</m:t>
            </m:r>
          </m:e>
          <m:sub>
            <m:r>
              <m:t>k</m:t>
            </m:r>
          </m:sub>
        </m:sSub>
      </m:oMath>
      <w:r>
        <w:t xml:space="preserve"> </w:t>
      </w:r>
      <w:r>
        <w:t xml:space="preserve">background variables for the judges (</w:t>
      </w:r>
      <m:oMath>
        <m:r>
          <m:t>k</m:t>
        </m:r>
        <m:r>
          <m:rPr>
            <m:sty m:val="p"/>
          </m:rPr>
          <m:t>=</m:t>
        </m:r>
        <m:r>
          <m:t>1</m:t>
        </m:r>
        <m:r>
          <m:rPr>
            <m:sty m:val="p"/>
          </m:rPr>
          <m:t>,</m:t>
        </m:r>
        <m:r>
          <m:rPr>
            <m:sty m:val="p"/>
          </m:rPr>
          <m:t>…</m:t>
        </m:r>
        <m:r>
          <m:rPr>
            <m:sty m:val="p"/>
          </m:rPr>
          <m:t>,</m:t>
        </m:r>
        <m:r>
          <m:t>K</m:t>
        </m:r>
      </m:oMath>
      <w:r>
        <w:t xml:space="preserve">), and</w:t>
      </w:r>
      <w:r>
        <w:t xml:space="preserve"> </w:t>
      </w:r>
      <m:oMath>
        <m:sSub>
          <m:e>
            <m:r>
              <m:t>Y</m:t>
            </m:r>
          </m:e>
          <m:sub>
            <m:r>
              <m:t>r</m:t>
            </m:r>
          </m:sub>
        </m:sSub>
      </m:oMath>
      <w:r>
        <w:t xml:space="preserve"> </w:t>
      </w:r>
      <w:r>
        <w:t xml:space="preserve">the background variables for the sub-units (</w:t>
      </w:r>
      <m:oMath>
        <m:sSub>
          <m:e>
            <m:r>
              <m:t>r</m:t>
            </m:r>
          </m:e>
          <m:sub>
            <m:r>
              <m:t>i</m:t>
            </m:r>
          </m:sub>
        </m:sSub>
        <m:r>
          <m:rPr>
            <m:sty m:val="p"/>
          </m:rPr>
          <m:t>=</m:t>
        </m:r>
        <m:r>
          <m:t>1</m:t>
        </m:r>
        <m:r>
          <m:rPr>
            <m:sty m:val="p"/>
          </m:rPr>
          <m:t>,</m:t>
        </m:r>
        <m:r>
          <m:rPr>
            <m:sty m:val="p"/>
          </m:rPr>
          <m:t>…</m:t>
        </m:r>
        <m:r>
          <m:rPr>
            <m:sty m:val="p"/>
          </m:rPr>
          <m:t>,</m:t>
        </m:r>
        <m:sSub>
          <m:e>
            <m:r>
              <m:t>R</m:t>
            </m:r>
          </m:e>
          <m:sub>
            <m:r>
              <m:t>i</m:t>
            </m:r>
          </m:sub>
        </m:sSub>
      </m:oMath>
      <w:r>
        <w:t xml:space="preserve">). Furthermore,</w:t>
      </w:r>
      <w:r>
        <w:t xml:space="preserve"> </w:t>
      </w:r>
      <m:oMath>
        <m:sSub>
          <m:e>
            <m:r>
              <m:t>θ</m:t>
            </m:r>
          </m:e>
          <m:sub>
            <m:r>
              <m:t>i</m:t>
            </m:r>
          </m:sub>
        </m:sSub>
      </m:oMath>
      <w:r>
        <w:t xml:space="preserve"> </w:t>
      </w:r>
      <w:r>
        <w:t xml:space="preserve">denotes the trait of unit</w:t>
      </w:r>
      <w:r>
        <w:t xml:space="preserve"> </w:t>
      </w:r>
      <m:oMath>
        <m:r>
          <m:t>i</m:t>
        </m:r>
      </m:oMath>
      <w:r>
        <w:t xml:space="preserve">,</w:t>
      </w:r>
      <w:r>
        <w:t xml:space="preserve"> </w:t>
      </w:r>
      <m:oMath>
        <m:sSub>
          <m:e>
            <m:r>
              <m:t>γ</m:t>
            </m:r>
          </m:e>
          <m:sub>
            <m:r>
              <m:t>k</m:t>
            </m:r>
          </m:sub>
        </m:sSub>
      </m:oMath>
      <w:r>
        <w:t xml:space="preserve"> </w:t>
      </w:r>
      <w:r>
        <w:t xml:space="preserve">the judges’</w:t>
      </w:r>
      <w:r>
        <w:t xml:space="preserve"> </w:t>
      </w:r>
      <w:r>
        <w:rPr>
          <w:i/>
          <w:iCs/>
        </w:rPr>
        <w:t xml:space="preserve">discrimination</w:t>
      </w:r>
      <w:r>
        <w:t xml:space="preserve"> </w:t>
      </w:r>
      <w:r>
        <w:t xml:space="preserve">ability,</w:t>
      </w:r>
      <w:r>
        <w:t xml:space="preserve"> </w:t>
      </w:r>
      <m:oMath>
        <m:sSub>
          <m:e>
            <m:r>
              <m:t>θ</m:t>
            </m:r>
          </m:e>
          <m:sub>
            <m:r>
              <m:t>i</m:t>
            </m:r>
            <m:sSub>
              <m:e>
                <m:r>
                  <m:t>r</m:t>
                </m:r>
              </m:e>
              <m:sub>
                <m:r>
                  <m:t>i</m:t>
                </m:r>
              </m:sub>
            </m:sSub>
          </m:sub>
        </m:sSub>
      </m:oMath>
      <w:r>
        <w:t xml:space="preserve"> </w:t>
      </w:r>
      <w:r>
        <w:t xml:space="preserve">the trait of sub-unit</w:t>
      </w:r>
      <w:r>
        <w:t xml:space="preserve"> </w:t>
      </w:r>
      <m:oMath>
        <m:sSub>
          <m:e>
            <m:r>
              <m:t>r</m:t>
            </m:r>
          </m:e>
          <m:sub>
            <m:r>
              <m:t>i</m:t>
            </m:r>
          </m:sub>
        </m:sSub>
      </m:oMath>
      <w:r>
        <w:t xml:space="preserve"> </w:t>
      </w:r>
      <w:r>
        <w:t xml:space="preserve">from unit</w:t>
      </w:r>
      <w:r>
        <w:t xml:space="preserve"> </w:t>
      </w:r>
      <m:oMath>
        <m:r>
          <m:t>i</m:t>
        </m:r>
      </m:oMath>
      <w:r>
        <w:t xml:space="preserve">,</w:t>
      </w:r>
      <w:r>
        <w:t xml:space="preserve"> </w:t>
      </w:r>
      <m:oMath>
        <m:sSub>
          <m:e>
            <m:r>
              <m:t>δ</m:t>
            </m:r>
          </m:e>
          <m:sub>
            <m:r>
              <m:t>k</m:t>
            </m:r>
            <m:r>
              <m:t>i</m:t>
            </m:r>
            <m:r>
              <m:t>j</m:t>
            </m:r>
            <m:sSub>
              <m:e>
                <m:r>
                  <m:t>r</m:t>
                </m:r>
              </m:e>
              <m:sub>
                <m:r>
                  <m:t>i</m:t>
                </m:r>
                <m:r>
                  <m:t>j</m:t>
                </m:r>
              </m:sub>
            </m:sSub>
          </m:sub>
        </m:sSub>
      </m:oMath>
      <w:r>
        <w:t xml:space="preserve"> </w:t>
      </w:r>
      <w:r>
        <w:t xml:space="preserve">the judge</w:t>
      </w:r>
      <w:r>
        <w:t xml:space="preserve"> </w:t>
      </w:r>
      <m:oMath>
        <m:r>
          <m:t>k</m:t>
        </m:r>
      </m:oMath>
      <w:r>
        <w:t xml:space="preserve"> </w:t>
      </w:r>
      <w:r>
        <w:t xml:space="preserve">perception of trait differences between objects</w:t>
      </w:r>
      <w:r>
        <w:t xml:space="preserve"> </w:t>
      </w:r>
      <m:oMath>
        <m:sSub>
          <m:e>
            <m:r>
              <m:t>r</m:t>
            </m:r>
          </m:e>
          <m:sub>
            <m:r>
              <m:t>i</m:t>
            </m:r>
          </m:sub>
        </m:sSub>
      </m:oMath>
      <w:r>
        <w:t xml:space="preserve"> </w:t>
      </w:r>
      <w:r>
        <w:t xml:space="preserve">and</w:t>
      </w:r>
      <w:r>
        <w:t xml:space="preserve"> </w:t>
      </w:r>
      <m:oMath>
        <m:sSub>
          <m:e>
            <m:r>
              <m:t>r</m:t>
            </m:r>
          </m:e>
          <m:sub>
            <m:r>
              <m:t>j</m:t>
            </m:r>
          </m:sub>
        </m:sSub>
      </m:oMath>
      <w:r>
        <w:t xml:space="preserve">, from subjects</w:t>
      </w:r>
      <w:r>
        <w:t xml:space="preserve"> </w:t>
      </w:r>
      <m:oMath>
        <m:r>
          <m:t>i</m:t>
        </m:r>
      </m:oMath>
      <w:r>
        <w:t xml:space="preserve"> </w:t>
      </w:r>
      <w:r>
        <w:t xml:space="preserve">and</w:t>
      </w:r>
      <w:r>
        <w:t xml:space="preserve"> </w:t>
      </w:r>
      <m:oMath>
        <m:r>
          <m:t>j</m:t>
        </m:r>
      </m:oMath>
      <w:r>
        <w:t xml:space="preserve">, respectively. Additionally,</w:t>
      </w:r>
      <w:r>
        <w:t xml:space="preserve"> </w:t>
      </w:r>
      <m:oMath>
        <m:sSub>
          <m:e>
            <m:r>
              <m:t>e</m:t>
            </m:r>
          </m:e>
          <m:sub>
            <m:r>
              <m:t>k</m:t>
            </m:r>
          </m:sub>
        </m:sSub>
      </m:oMath>
      <w:r>
        <w:t xml:space="preserve">,</w:t>
      </w:r>
      <w:r>
        <w:t xml:space="preserve"> </w:t>
      </w:r>
      <m:oMath>
        <m:sSub>
          <m:e>
            <m:r>
              <m:t>e</m:t>
            </m:r>
          </m:e>
          <m:sub>
            <m:r>
              <m:t>i</m:t>
            </m:r>
          </m:sub>
        </m:sSub>
      </m:oMath>
      <w:r>
        <w:t xml:space="preserve">, and</w:t>
      </w:r>
      <w:r>
        <w:t xml:space="preserve"> </w:t>
      </w:r>
      <m:oMath>
        <m:sSub>
          <m:e>
            <m:r>
              <m:t>e</m:t>
            </m:r>
          </m:e>
          <m:sub>
            <m:sSub>
              <m:e>
                <m:r>
                  <m:t>r</m:t>
                </m:r>
              </m:e>
              <m:sub>
                <m:r>
                  <m:t>i</m:t>
                </m:r>
              </m:sub>
            </m:sSub>
          </m:sub>
        </m:sSub>
      </m:oMath>
      <w:r>
        <w:t xml:space="preserve"> </w:t>
      </w:r>
      <w:r>
        <w:t xml:space="preserve">are the judges, units and sub-units idiosyncratic deviations. Lastly,</w:t>
      </w:r>
      <w:r>
        <w:t xml:space="preserve"> </w:t>
      </w:r>
      <m:oMath>
        <m:sSub>
          <m:e>
            <m:r>
              <m:t>O</m:t>
            </m:r>
          </m:e>
          <m:sub>
            <m:r>
              <m:t>k</m:t>
            </m:r>
            <m:r>
              <m:t>i</m:t>
            </m:r>
            <m:r>
              <m:t>j</m:t>
            </m:r>
            <m:sSub>
              <m:e>
                <m:r>
                  <m:t>r</m:t>
                </m:r>
              </m:e>
              <m:sub>
                <m:r>
                  <m:t>i</m:t>
                </m:r>
                <m:r>
                  <m:t>j</m:t>
                </m:r>
              </m:sub>
            </m:sSub>
          </m:sub>
        </m:sSub>
      </m:oMath>
      <w:r>
        <w:t xml:space="preserve"> </w:t>
      </w:r>
      <w:r>
        <w:t xml:space="preserve">describes the dichotomous</w:t>
      </w:r>
      <w:r>
        <w:t xml:space="preserve"> </w:t>
      </w:r>
      <w:r>
        <w:rPr>
          <w:i/>
          <w:iCs/>
        </w:rPr>
        <w:t xml:space="preserve">observed</w:t>
      </w:r>
      <w:r>
        <w:t xml:space="preserve"> </w:t>
      </w:r>
      <w:r>
        <w:t xml:space="preserve">outcome.</w:t>
      </w:r>
    </w:p>
    <w:p>
      <w:pPr>
        <w:pStyle w:val="BodyText"/>
      </w:pPr>
      <w:r>
        <w:t xml:space="preserve">Following what it is stated by the DAG, we can transform it into an SCM, in the following way</w:t>
      </w:r>
    </w:p>
    <w:p>
      <w:pPr>
        <w:pStyle w:val="BodyText"/>
      </w:pPr>
      <w:bookmarkStart w:id="30" w:name="eq-StructuralModel"/>
      <w:r>
        <w:t xml:space="preserve">$$
\begin{aligned}
  O_{kijr_{ij}} := &amp; \; f_{O}( \delta_{kijr_{ij}} ) \\
  \delta_{kijr_{ij}} := &amp; \; f_{D}( \gamma_{k}, \theta_{ir_{i}} ) \\
  \gamma_{k} := &amp; \; f_{G}( Z_{k}, e_{k} ) \\
  \theta_{ir_{i}} := &amp; \; f_{R}( \theta_{i}, Y_{r}, e_{r_{i}} ) \\
  \theta_{i} := &amp; \; f_{T}( X_{i}, e_{i} ) \\
  &amp; \; e_{k} \perp\kern-5pt\perp e_{i} \\
  &amp; \; e_{k} \perp\kern-5pt\perp e_{r_{i}} \\
  &amp; \; e_{i} \perp\kern-5pt\perp e_{r_{i}}
\end{aligned}
 \qquad(1)$$</w:t>
      </w:r>
      <w:bookmarkEnd w:id="30"/>
    </w:p>
    <w:bookmarkEnd w:id="31"/>
    <w:bookmarkStart w:id="32" w:name="sec-Sci2StatMod"/>
    <w:p>
      <w:pPr>
        <w:pStyle w:val="Heading3"/>
      </w:pPr>
      <w:r>
        <w:t xml:space="preserve">From the scientific to the Bradley-Terry-Luce model</w:t>
      </w:r>
    </w:p>
    <w:p>
      <w:pPr>
        <w:pStyle w:val="FirstParagraph"/>
      </w:pPr>
      <w:r>
        <w:t xml:space="preserve">Bayesian Bradley-Terry-Luce model (BTL)</w:t>
      </w:r>
      <w:r>
        <w:t xml:space="preserve"> </w:t>
      </w:r>
      <w:r>
        <w:t xml:space="preserve">Turner and Firth (2012)</w:t>
      </w:r>
    </w:p>
    <w:bookmarkEnd w:id="32"/>
    <w:bookmarkEnd w:id="33"/>
    <w:bookmarkStart w:id="35" w:name="sec-methods"/>
    <w:p>
      <w:pPr>
        <w:pStyle w:val="Heading2"/>
      </w:pPr>
      <w:r>
        <w:t xml:space="preserve">Methods</w:t>
      </w:r>
    </w:p>
    <w:bookmarkStart w:id="34" w:name="bayesian-simulation-and-power-analysis"/>
    <w:p>
      <w:pPr>
        <w:pStyle w:val="Heading3"/>
      </w:pPr>
      <w:r>
        <w:t xml:space="preserve">Bayesian simulation and power analysis</w:t>
      </w:r>
    </w:p>
    <w:bookmarkEnd w:id="34"/>
    <w:bookmarkEnd w:id="35"/>
    <w:bookmarkStart w:id="39" w:name="sec-results"/>
    <w:p>
      <w:pPr>
        <w:pStyle w:val="Heading2"/>
      </w:pPr>
      <w:r>
        <w:t xml:space="preserve">Results</w:t>
      </w:r>
    </w:p>
    <w:bookmarkStart w:id="36" w:name="sec-RQ1"/>
    <w:p>
      <w:pPr>
        <w:pStyle w:val="Heading3"/>
      </w:pPr>
      <w:r>
        <w:t xml:space="preserve">Research question 1</w:t>
      </w:r>
    </w:p>
    <w:bookmarkEnd w:id="36"/>
    <w:bookmarkStart w:id="37" w:name="sec-RQ2"/>
    <w:p>
      <w:pPr>
        <w:pStyle w:val="Heading3"/>
      </w:pPr>
      <w:r>
        <w:t xml:space="preserve">Research question 2</w:t>
      </w:r>
    </w:p>
    <w:bookmarkEnd w:id="37"/>
    <w:bookmarkStart w:id="38" w:name="sec-RQ3"/>
    <w:p>
      <w:pPr>
        <w:pStyle w:val="Heading3"/>
      </w:pPr>
      <w:r>
        <w:t xml:space="preserve">Research question 3</w:t>
      </w:r>
    </w:p>
    <w:bookmarkEnd w:id="38"/>
    <w:bookmarkEnd w:id="39"/>
    <w:bookmarkStart w:id="41" w:name="sec-discussion"/>
    <w:p>
      <w:pPr>
        <w:pStyle w:val="Heading2"/>
      </w:pPr>
      <w:r>
        <w:t xml:space="preserve">Discussion</w:t>
      </w:r>
    </w:p>
    <w:bookmarkStart w:id="40" w:name="sec-LFR"/>
    <w:p>
      <w:pPr>
        <w:pStyle w:val="Heading3"/>
      </w:pPr>
      <w:r>
        <w:t xml:space="preserve">Limitations and further research</w:t>
      </w:r>
    </w:p>
    <w:bookmarkEnd w:id="40"/>
    <w:bookmarkEnd w:id="41"/>
    <w:bookmarkStart w:id="42" w:name="sec-conclusion"/>
    <w:p>
      <w:pPr>
        <w:pStyle w:val="Heading2"/>
      </w:pPr>
      <w:r>
        <w:t xml:space="preserve">Conclusion</w:t>
      </w:r>
    </w:p>
    <w:bookmarkEnd w:id="42"/>
    <w:bookmarkStart w:id="95" w:name="references"/>
    <w:p>
      <w:pPr>
        <w:pStyle w:val="Heading2"/>
      </w:pPr>
      <w:r>
        <w:t xml:space="preserve">References</w:t>
      </w:r>
    </w:p>
    <w:bookmarkStart w:id="94" w:name="refs"/>
    <w:bookmarkStart w:id="44"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43">
        <w:r>
          <w:rPr>
            <w:rStyle w:val="Hyperlink"/>
          </w:rPr>
          <w:t xml:space="preserve">https://doi.org/10.2307/2347562</w:t>
        </w:r>
      </w:hyperlink>
      <w:r>
        <w:t xml:space="preserve">.</w:t>
      </w:r>
    </w:p>
    <w:bookmarkEnd w:id="44"/>
    <w:bookmarkStart w:id="46"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45">
        <w:r>
          <w:rPr>
            <w:rStyle w:val="Hyperlink"/>
          </w:rPr>
          <w:t xml:space="preserve">https://doi.org/10.1080/10627197.2018.1444986</w:t>
        </w:r>
      </w:hyperlink>
      <w:r>
        <w:t xml:space="preserve">.</w:t>
      </w:r>
    </w:p>
    <w:bookmarkEnd w:id="46"/>
    <w:bookmarkStart w:id="48"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47">
        <w:r>
          <w:rPr>
            <w:rStyle w:val="Hyperlink"/>
          </w:rPr>
          <w:t xml:space="preserve">https://doi.org/10.1007/978-3-030-52229-2_18</w:t>
        </w:r>
      </w:hyperlink>
      <w:r>
        <w:t xml:space="preserve">.</w:t>
      </w:r>
    </w:p>
    <w:bookmarkEnd w:id="48"/>
    <w:bookmarkStart w:id="50"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9">
        <w:r>
          <w:rPr>
            <w:rStyle w:val="Hyperlink"/>
          </w:rPr>
          <w:t xml:space="preserve">https://doi.org/10.1016/j.jcomdis.2019.105969</w:t>
        </w:r>
      </w:hyperlink>
      <w:r>
        <w:t xml:space="preserve">.</w:t>
      </w:r>
    </w:p>
    <w:bookmarkEnd w:id="50"/>
    <w:bookmarkStart w:id="52"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51">
        <w:r>
          <w:rPr>
            <w:rStyle w:val="Hyperlink"/>
          </w:rPr>
          <w:t xml:space="preserve">https://doi.org/10.2307/2334029</w:t>
        </w:r>
      </w:hyperlink>
      <w:r>
        <w:t xml:space="preserve">.</w:t>
      </w:r>
    </w:p>
    <w:bookmarkEnd w:id="52"/>
    <w:bookmarkStart w:id="54" w:name="ref-Bramley_2015"/>
    <w:p>
      <w:pPr>
        <w:pStyle w:val="Bibliography"/>
      </w:pPr>
      <w:r>
        <w:t xml:space="preserve">Bramley, T. 2015.</w:t>
      </w:r>
      <w:r>
        <w:t xml:space="preserve"> </w:t>
      </w:r>
      <w:r>
        <w:t xml:space="preserve">“Investigating the Reliability of Adaptive Comparative Judgment.”</w:t>
      </w:r>
      <w:r>
        <w:t xml:space="preserve"> </w:t>
      </w:r>
      <w:hyperlink r:id="rId53">
        <w:r>
          <w:rPr>
            <w:rStyle w:val="Hyperlink"/>
          </w:rPr>
          <w:t xml:space="preserve">\url{http://www.cambridgeassessment.org.uk/Images/232694-investigating-the-reliability-of-adaptive-comparative-judgment.pdf}</w:t>
        </w:r>
      </w:hyperlink>
      <w:r>
        <w:t xml:space="preserve">.</w:t>
      </w:r>
    </w:p>
    <w:bookmarkEnd w:id="54"/>
    <w:bookmarkStart w:id="56"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55">
        <w:r>
          <w:rPr>
            <w:rStyle w:val="Hyperlink"/>
          </w:rPr>
          <w:t xml:space="preserve">https://doi.org/10.1080/0969594X.2017.1418734</w:t>
        </w:r>
      </w:hyperlink>
      <w:r>
        <w:t xml:space="preserve">.</w:t>
      </w:r>
    </w:p>
    <w:bookmarkEnd w:id="56"/>
    <w:bookmarkStart w:id="58"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57">
        <w:r>
          <w:rPr>
            <w:rStyle w:val="Hyperlink"/>
          </w:rPr>
          <w:t xml:space="preserve">http://dx.doi.org/10.2139/ssrn.3689437</w:t>
        </w:r>
      </w:hyperlink>
      <w:r>
        <w:t xml:space="preserve">.</w:t>
      </w:r>
    </w:p>
    <w:bookmarkEnd w:id="58"/>
    <w:bookmarkStart w:id="60"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9">
        <w:r>
          <w:rPr>
            <w:rStyle w:val="Hyperlink"/>
          </w:rPr>
          <w:t xml:space="preserve">https://doi.org/10.3389/feduc.2021.788202</w:t>
        </w:r>
      </w:hyperlink>
      <w:r>
        <w:t xml:space="preserve">.</w:t>
      </w:r>
    </w:p>
    <w:bookmarkEnd w:id="60"/>
    <w:bookmarkStart w:id="62"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61">
        <w:r>
          <w:rPr>
            <w:rStyle w:val="Hyperlink"/>
          </w:rPr>
          <w:t xml:space="preserve">https://doi.org/10.3389/feduc.2020.582800</w:t>
        </w:r>
      </w:hyperlink>
      <w:r>
        <w:t xml:space="preserve">.</w:t>
      </w:r>
    </w:p>
    <w:bookmarkEnd w:id="62"/>
    <w:bookmarkStart w:id="64"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63">
        <w:r>
          <w:rPr>
            <w:rStyle w:val="Hyperlink"/>
          </w:rPr>
          <w:t xml:space="preserve">https://plato.stanford.edu/archives/spr2023/entries/causal-models/</w:t>
        </w:r>
      </w:hyperlink>
      <w:r>
        <w:t xml:space="preserve">.</w:t>
      </w:r>
    </w:p>
    <w:bookmarkEnd w:id="64"/>
    <w:bookmarkStart w:id="65"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65"/>
    <w:bookmarkStart w:id="67"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66">
        <w:r>
          <w:rPr>
            <w:rStyle w:val="Hyperlink"/>
          </w:rPr>
          <w:t xml:space="preserve">https://doi.org/10.1037/h0043178</w:t>
        </w:r>
      </w:hyperlink>
      <w:r>
        <w:t xml:space="preserve">.</w:t>
      </w:r>
    </w:p>
    <w:bookmarkEnd w:id="67"/>
    <w:bookmarkStart w:id="69"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68">
        <w:r>
          <w:rPr>
            <w:rStyle w:val="Hyperlink"/>
          </w:rPr>
          <w:t xml:space="preserve">https://doi.org/10.1007/s40841-020-00163-3</w:t>
        </w:r>
      </w:hyperlink>
      <w:r>
        <w:t xml:space="preserve">.</w:t>
      </w:r>
    </w:p>
    <w:bookmarkEnd w:id="69"/>
    <w:bookmarkStart w:id="71" w:name="ref-Neal_2020"/>
    <w:p>
      <w:pPr>
        <w:pStyle w:val="Bibliography"/>
      </w:pPr>
      <w:r>
        <w:t xml:space="preserve">Neal, B. 2020.</w:t>
      </w:r>
      <w:r>
        <w:t xml:space="preserve"> </w:t>
      </w:r>
      <w:r>
        <w:t xml:space="preserve">“Introduction to Causal Inference from a Machine Learning Perspective.”</w:t>
      </w:r>
      <w:r>
        <w:t xml:space="preserve"> </w:t>
      </w:r>
      <w:hyperlink r:id="rId70">
        <w:r>
          <w:rPr>
            <w:rStyle w:val="Hyperlink"/>
          </w:rPr>
          <w:t xml:space="preserve">\url{https://www.bradyneal.com/Introduction_to_Causal_Inference-Dec17_2020-Neal.pdf}</w:t>
        </w:r>
      </w:hyperlink>
      <w:r>
        <w:t xml:space="preserve">.</w:t>
      </w:r>
    </w:p>
    <w:bookmarkEnd w:id="71"/>
    <w:bookmarkStart w:id="73" w:name="ref-Pearl_2009"/>
    <w:p>
      <w:pPr>
        <w:pStyle w:val="Bibliography"/>
      </w:pPr>
      <w:r>
        <w:t xml:space="preserve">Pearl, J. 2009.</w:t>
      </w:r>
      <w:r>
        <w:t xml:space="preserve"> </w:t>
      </w:r>
      <w:hyperlink r:id="rId72">
        <w:r>
          <w:rPr>
            <w:rStyle w:val="Hyperlink"/>
            <w:i/>
            <w:iCs/>
          </w:rPr>
          <w:t xml:space="preserve">Causality: Models, Reasoning and Inference</w:t>
        </w:r>
      </w:hyperlink>
      <w:r>
        <w:t xml:space="preserve">. Cambrige University Press.</w:t>
      </w:r>
    </w:p>
    <w:bookmarkEnd w:id="73"/>
    <w:bookmarkStart w:id="74" w:name="ref-Pearl_et_al_2016"/>
    <w:p>
      <w:pPr>
        <w:pStyle w:val="Bibliography"/>
      </w:pPr>
      <w:r>
        <w:t xml:space="preserve">Pearl, J., M. Glymour, and N. Jewell. 2016.</w:t>
      </w:r>
      <w:r>
        <w:t xml:space="preserve"> </w:t>
      </w:r>
      <w:hyperlink r:id="rId72">
        <w:r>
          <w:rPr>
            <w:rStyle w:val="Hyperlink"/>
            <w:i/>
            <w:iCs/>
          </w:rPr>
          <w:t xml:space="preserve">Causal Inference in Statistics: A Primer</w:t>
        </w:r>
      </w:hyperlink>
      <w:r>
        <w:t xml:space="preserve">. John Wiley &amp; Sons, Inc.</w:t>
      </w:r>
    </w:p>
    <w:bookmarkEnd w:id="74"/>
    <w:bookmarkStart w:id="76"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75">
        <w:r>
          <w:rPr>
            <w:rStyle w:val="Hyperlink"/>
          </w:rPr>
          <w:t xml:space="preserve">https://doi.org/10.2307/2346567</w:t>
        </w:r>
      </w:hyperlink>
      <w:r>
        <w:t xml:space="preserve">.</w:t>
      </w:r>
    </w:p>
    <w:bookmarkEnd w:id="76"/>
    <w:bookmarkStart w:id="78"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77">
        <w:r>
          <w:rPr>
            <w:rStyle w:val="Hyperlink"/>
          </w:rPr>
          <w:t xml:space="preserve">https://doi.org/10.1007/s10798-011-9189-x</w:t>
        </w:r>
      </w:hyperlink>
      <w:r>
        <w:t xml:space="preserve">.</w:t>
      </w:r>
    </w:p>
    <w:bookmarkEnd w:id="78"/>
    <w:bookmarkStart w:id="80"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9">
        <w:r>
          <w:rPr>
            <w:rStyle w:val="Hyperlink"/>
          </w:rPr>
          <w:t xml:space="preserve">https://doi.org/10.1080/0969594X.2012.665354</w:t>
        </w:r>
      </w:hyperlink>
      <w:r>
        <w:t xml:space="preserve">.</w:t>
      </w:r>
    </w:p>
    <w:bookmarkEnd w:id="80"/>
    <w:bookmarkStart w:id="82"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81">
        <w:r>
          <w:rPr>
            <w:rStyle w:val="Hyperlink"/>
          </w:rPr>
          <w:t xml:space="preserve">https://doi.org/10.1037/h0070288</w:t>
        </w:r>
      </w:hyperlink>
      <w:r>
        <w:t xml:space="preserve">.</w:t>
      </w:r>
    </w:p>
    <w:bookmarkEnd w:id="82"/>
    <w:bookmarkStart w:id="84" w:name="ref-BradleyTerry2_2012"/>
    <w:p>
      <w:pPr>
        <w:pStyle w:val="Bibliography"/>
      </w:pPr>
      <w:r>
        <w:t xml:space="preserve">Turner, H., and D. Firth. 2012.</w:t>
      </w:r>
      <w:r>
        <w:t xml:space="preserve"> </w:t>
      </w:r>
      <w:r>
        <w:rPr>
          <w:i/>
          <w:iCs/>
        </w:rPr>
        <w:t xml:space="preserve">Bradley-Terry Models in r: The BradleyTerry2 Package</w:t>
      </w:r>
      <w:r>
        <w:t xml:space="preserve">. University of Warwick.</w:t>
      </w:r>
      <w:r>
        <w:t xml:space="preserve"> </w:t>
      </w:r>
      <w:hyperlink r:id="rId83">
        <w:r>
          <w:rPr>
            <w:rStyle w:val="Hyperlink"/>
          </w:rPr>
          <w:t xml:space="preserve">\url{https://cran.r-project.org/web/packages/BradleyTerry2/vignettes/BradleyTerry.pdf}</w:t>
        </w:r>
      </w:hyperlink>
      <w:r>
        <w:t xml:space="preserve">.</w:t>
      </w:r>
    </w:p>
    <w:bookmarkEnd w:id="84"/>
    <w:bookmarkStart w:id="8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85">
        <w:r>
          <w:rPr>
            <w:rStyle w:val="Hyperlink"/>
          </w:rPr>
          <w:t xml:space="preserve">https://doi.org/10.1016/0022-2496(86)90034-9</w:t>
        </w:r>
      </w:hyperlink>
      <w:r>
        <w:t xml:space="preserve">.</w:t>
      </w:r>
    </w:p>
    <w:bookmarkEnd w:id="86"/>
    <w:bookmarkStart w:id="8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87"/>
    <w:bookmarkStart w:id="8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88">
        <w:r>
          <w:rPr>
            <w:rStyle w:val="Hyperlink"/>
          </w:rPr>
          <w:t xml:space="preserve">https://doi.org/10.1080/0969594X.2016.1253542</w:t>
        </w:r>
      </w:hyperlink>
      <w:r>
        <w:t xml:space="preserve">.</w:t>
      </w:r>
    </w:p>
    <w:bookmarkEnd w:id="89"/>
    <w:bookmarkStart w:id="9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90">
        <w:r>
          <w:rPr>
            <w:rStyle w:val="Hyperlink"/>
          </w:rPr>
          <w:t xml:space="preserve">https://doi.org/10.3389/feduc.2017.00044</w:t>
        </w:r>
      </w:hyperlink>
      <w:r>
        <w:t xml:space="preserve">.</w:t>
      </w:r>
    </w:p>
    <w:bookmarkEnd w:id="91"/>
    <w:bookmarkStart w:id="9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92">
        <w:r>
          <w:rPr>
            <w:rStyle w:val="Hyperlink"/>
          </w:rPr>
          <w:t xml:space="preserve">https://doi.org/10.1080/0969594X.2019.1602027</w:t>
        </w:r>
      </w:hyperlink>
      <w:r>
        <w:t xml:space="preserve">.</w:t>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72" Target="" TargetMode="External" /><Relationship Type="http://schemas.openxmlformats.org/officeDocument/2006/relationships/hyperlink" Id="rId53" Target="\url{http://www.cambridgeassessment.org.uk/Images/232694-investigating-the-reliability-of-adaptive-comparative-judgment.pdf}" TargetMode="External" /><Relationship Type="http://schemas.openxmlformats.org/officeDocument/2006/relationships/hyperlink" Id="rId83" Target="\url{https://cran.r-project.org/web/packages/BradleyTerry2/vignettes/BradleyTerry.pdf}" TargetMode="External" /><Relationship Type="http://schemas.openxmlformats.org/officeDocument/2006/relationships/hyperlink" Id="rId70" Target="\url{https://www.bradyneal.com/Introduction_to_Causal_Inference-Dec17_2020-Neal.pdf}" TargetMode="External" /><Relationship Type="http://schemas.openxmlformats.org/officeDocument/2006/relationships/hyperlink" Id="rId57" Target="http://dx.doi.org/10.2139/ssrn.3689437" TargetMode="External" /><Relationship Type="http://schemas.openxmlformats.org/officeDocument/2006/relationships/hyperlink" Id="rId47" Target="https://doi.org/10.1007/978-3-030-52229-2_18" TargetMode="External" /><Relationship Type="http://schemas.openxmlformats.org/officeDocument/2006/relationships/hyperlink" Id="rId77" Target="https://doi.org/10.1007/s10798-011-9189-x" TargetMode="External" /><Relationship Type="http://schemas.openxmlformats.org/officeDocument/2006/relationships/hyperlink" Id="rId68" Target="https://doi.org/10.1007/s40841-020-00163-3" TargetMode="External" /><Relationship Type="http://schemas.openxmlformats.org/officeDocument/2006/relationships/hyperlink" Id="rId85" Target="https://doi.org/10.1016/0022-2496(86)90034-9" TargetMode="External" /><Relationship Type="http://schemas.openxmlformats.org/officeDocument/2006/relationships/hyperlink" Id="rId49" Target="https://doi.org/10.1016/j.jcomdis.2019.105969" TargetMode="External" /><Relationship Type="http://schemas.openxmlformats.org/officeDocument/2006/relationships/hyperlink" Id="rId66" Target="https://doi.org/10.1037/h0043178" TargetMode="External" /><Relationship Type="http://schemas.openxmlformats.org/officeDocument/2006/relationships/hyperlink" Id="rId81" Target="https://doi.org/10.1037/h0070288" TargetMode="External" /><Relationship Type="http://schemas.openxmlformats.org/officeDocument/2006/relationships/hyperlink" Id="rId79" Target="https://doi.org/10.1080/0969594X.2012.665354" TargetMode="External" /><Relationship Type="http://schemas.openxmlformats.org/officeDocument/2006/relationships/hyperlink" Id="rId88" Target="https://doi.org/10.1080/0969594X.2016.1253542" TargetMode="External" /><Relationship Type="http://schemas.openxmlformats.org/officeDocument/2006/relationships/hyperlink" Id="rId55" Target="https://doi.org/10.1080/0969594X.2017.1418734" TargetMode="External" /><Relationship Type="http://schemas.openxmlformats.org/officeDocument/2006/relationships/hyperlink" Id="rId92" Target="https://doi.org/10.1080/0969594X.2019.1602027" TargetMode="External" /><Relationship Type="http://schemas.openxmlformats.org/officeDocument/2006/relationships/hyperlink" Id="rId45" Target="https://doi.org/10.1080/10627197.2018.1444986" TargetMode="External" /><Relationship Type="http://schemas.openxmlformats.org/officeDocument/2006/relationships/hyperlink" Id="rId51" Target="https://doi.org/10.2307/2334029" TargetMode="External" /><Relationship Type="http://schemas.openxmlformats.org/officeDocument/2006/relationships/hyperlink" Id="rId75" Target="https://doi.org/10.2307/2346567" TargetMode="External" /><Relationship Type="http://schemas.openxmlformats.org/officeDocument/2006/relationships/hyperlink" Id="rId43" Target="https://doi.org/10.2307/2347562" TargetMode="External" /><Relationship Type="http://schemas.openxmlformats.org/officeDocument/2006/relationships/hyperlink" Id="rId90" Target="https://doi.org/10.3389/feduc.2017.00044" TargetMode="External" /><Relationship Type="http://schemas.openxmlformats.org/officeDocument/2006/relationships/hyperlink" Id="rId61" Target="https://doi.org/10.3389/feduc.2020.582800" TargetMode="External" /><Relationship Type="http://schemas.openxmlformats.org/officeDocument/2006/relationships/hyperlink" Id="rId59" Target="https://doi.org/10.3389/feduc.2021.788202" TargetMode="External" /><Relationship Type="http://schemas.openxmlformats.org/officeDocument/2006/relationships/hyperlink" Id="rId63" Target="https://plato.stanford.edu/archives/spr2023/entries/causal-models/" TargetMode="External" /></Relationships>
</file>

<file path=word/_rels/footnotes.xml.rels><?xml version="1.0" encoding="UTF-8"?><Relationships xmlns="http://schemas.openxmlformats.org/package/2006/relationships"><Relationship Type="http://schemas.openxmlformats.org/officeDocument/2006/relationships/hyperlink" Id="rId72" Target="" TargetMode="External" /><Relationship Type="http://schemas.openxmlformats.org/officeDocument/2006/relationships/hyperlink" Id="rId53" Target="\url{http://www.cambridgeassessment.org.uk/Images/232694-investigating-the-reliability-of-adaptive-comparative-judgment.pdf}" TargetMode="External" /><Relationship Type="http://schemas.openxmlformats.org/officeDocument/2006/relationships/hyperlink" Id="rId83" Target="\url{https://cran.r-project.org/web/packages/BradleyTerry2/vignettes/BradleyTerry.pdf}" TargetMode="External" /><Relationship Type="http://schemas.openxmlformats.org/officeDocument/2006/relationships/hyperlink" Id="rId70" Target="\url{https://www.bradyneal.com/Introduction_to_Causal_Inference-Dec17_2020-Neal.pdf}" TargetMode="External" /><Relationship Type="http://schemas.openxmlformats.org/officeDocument/2006/relationships/hyperlink" Id="rId57" Target="http://dx.doi.org/10.2139/ssrn.3689437" TargetMode="External" /><Relationship Type="http://schemas.openxmlformats.org/officeDocument/2006/relationships/hyperlink" Id="rId47" Target="https://doi.org/10.1007/978-3-030-52229-2_18" TargetMode="External" /><Relationship Type="http://schemas.openxmlformats.org/officeDocument/2006/relationships/hyperlink" Id="rId77" Target="https://doi.org/10.1007/s10798-011-9189-x" TargetMode="External" /><Relationship Type="http://schemas.openxmlformats.org/officeDocument/2006/relationships/hyperlink" Id="rId68" Target="https://doi.org/10.1007/s40841-020-00163-3" TargetMode="External" /><Relationship Type="http://schemas.openxmlformats.org/officeDocument/2006/relationships/hyperlink" Id="rId85" Target="https://doi.org/10.1016/0022-2496(86)90034-9" TargetMode="External" /><Relationship Type="http://schemas.openxmlformats.org/officeDocument/2006/relationships/hyperlink" Id="rId49" Target="https://doi.org/10.1016/j.jcomdis.2019.105969" TargetMode="External" /><Relationship Type="http://schemas.openxmlformats.org/officeDocument/2006/relationships/hyperlink" Id="rId66" Target="https://doi.org/10.1037/h0043178" TargetMode="External" /><Relationship Type="http://schemas.openxmlformats.org/officeDocument/2006/relationships/hyperlink" Id="rId81" Target="https://doi.org/10.1037/h0070288" TargetMode="External" /><Relationship Type="http://schemas.openxmlformats.org/officeDocument/2006/relationships/hyperlink" Id="rId79" Target="https://doi.org/10.1080/0969594X.2012.665354" TargetMode="External" /><Relationship Type="http://schemas.openxmlformats.org/officeDocument/2006/relationships/hyperlink" Id="rId88" Target="https://doi.org/10.1080/0969594X.2016.1253542" TargetMode="External" /><Relationship Type="http://schemas.openxmlformats.org/officeDocument/2006/relationships/hyperlink" Id="rId55" Target="https://doi.org/10.1080/0969594X.2017.1418734" TargetMode="External" /><Relationship Type="http://schemas.openxmlformats.org/officeDocument/2006/relationships/hyperlink" Id="rId92" Target="https://doi.org/10.1080/0969594X.2019.1602027" TargetMode="External" /><Relationship Type="http://schemas.openxmlformats.org/officeDocument/2006/relationships/hyperlink" Id="rId45" Target="https://doi.org/10.1080/10627197.2018.1444986" TargetMode="External" /><Relationship Type="http://schemas.openxmlformats.org/officeDocument/2006/relationships/hyperlink" Id="rId51" Target="https://doi.org/10.2307/2334029" TargetMode="External" /><Relationship Type="http://schemas.openxmlformats.org/officeDocument/2006/relationships/hyperlink" Id="rId75" Target="https://doi.org/10.2307/2346567" TargetMode="External" /><Relationship Type="http://schemas.openxmlformats.org/officeDocument/2006/relationships/hyperlink" Id="rId43" Target="https://doi.org/10.2307/2347562" TargetMode="External" /><Relationship Type="http://schemas.openxmlformats.org/officeDocument/2006/relationships/hyperlink" Id="rId90" Target="https://doi.org/10.3389/feduc.2017.00044" TargetMode="External" /><Relationship Type="http://schemas.openxmlformats.org/officeDocument/2006/relationships/hyperlink" Id="rId61" Target="https://doi.org/10.3389/feduc.2020.582800" TargetMode="External" /><Relationship Type="http://schemas.openxmlformats.org/officeDocument/2006/relationships/hyperlink" Id="rId59" Target="https://doi.org/10.3389/feduc.2021.788202" TargetMode="External" /><Relationship Type="http://schemas.openxmlformats.org/officeDocument/2006/relationships/hyperlink" Id="rId63" Target="https://plato.stanford.edu/archives/spr2023/entries/caus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2024-03-23T16:26:33Z</dcterms:created>
  <dcterms:modified xsi:type="dcterms:W3CDTF">2024-03-23T16:26:33Z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quarto installage-summary">
    <vt:lpwstr>(to do)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A Bayesian simulation-based power analysis exploring their impacts on the method’s reliability</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