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Dichotomous</w:t>
      </w:r>
      <w:r>
        <w:t xml:space="preserve"> </w:t>
      </w:r>
      <w:r>
        <w:t xml:space="preserve">Comparative</w:t>
      </w:r>
      <w:r>
        <w:t xml:space="preserve"> </w:t>
      </w:r>
      <w:r>
        <w:t xml:space="preserve">Judgment</w:t>
      </w:r>
      <w:r>
        <w:t xml:space="preserve"> </w:t>
      </w:r>
      <w:r>
        <w:t xml:space="preserve">experiments</w:t>
      </w:r>
      <w:r>
        <w:t xml:space="preserve"> </w:t>
      </w:r>
      <w:r>
        <w:t xml:space="preserve">(DCJ)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Bayesian</w:t>
      </w:r>
      <w:r>
        <w:t xml:space="preserve"> </w:t>
      </w:r>
      <w:r>
        <w:t xml:space="preserve">simulation-based</w:t>
      </w:r>
      <w:r>
        <w:t xml:space="preserve"> </w:t>
      </w:r>
      <w:r>
        <w:t xml:space="preserve">study</w:t>
      </w:r>
      <w:r>
        <w:t xml:space="preserve"> </w:t>
      </w:r>
      <w:r>
        <w:t xml:space="preserve">exploring</w:t>
      </w:r>
      <w:r>
        <w:t xml:space="preserve"> </w:t>
      </w:r>
      <w:r>
        <w:t xml:space="preserve">the</w:t>
      </w:r>
      <w:r>
        <w:t xml:space="preserve"> </w:t>
      </w:r>
      <w:r>
        <w:t xml:space="preserve">factors</w:t>
      </w:r>
      <w:r>
        <w:t xml:space="preserve"> </w:t>
      </w:r>
      <w:r>
        <w:t xml:space="preserve">that</w:t>
      </w:r>
      <w:r>
        <w:t xml:space="preserve"> </w:t>
      </w:r>
      <w:r>
        <w:t xml:space="preserve">impact</w:t>
      </w:r>
      <w:r>
        <w:t xml:space="preserve"> </w:t>
      </w:r>
      <w:r>
        <w:t xml:space="preserve">DCJ</w:t>
      </w:r>
    </w:p>
    <w:p>
      <w:pPr>
        <w:pStyle w:val="Author"/>
      </w:pPr>
      <w:r>
        <w:t xml:space="preserve">Jose</w:t>
      </w:r>
      <w:r>
        <w:t xml:space="preserve"> </w:t>
      </w:r>
      <w:r>
        <w:t xml:space="preserve">Manuel</w:t>
      </w:r>
      <w:r>
        <w:t xml:space="preserve"> </w:t>
      </w:r>
      <w:r>
        <w:t xml:space="preserve">Rivera</w:t>
      </w:r>
      <w:r>
        <w:t xml:space="preserve"> </w:t>
      </w:r>
      <w:r>
        <w:t xml:space="preserve">Espejo</w:t>
      </w:r>
    </w:p>
    <w:p>
      <w:pPr>
        <w:pStyle w:val="Author"/>
      </w:pPr>
      <w:r>
        <w:t xml:space="preserve">Sven</w:t>
      </w:r>
      <w:r>
        <w:t xml:space="preserve"> </w:t>
      </w:r>
      <w:r>
        <w:t xml:space="preserve">de</w:t>
      </w:r>
      <w:r>
        <w:t xml:space="preserve"> </w:t>
      </w:r>
      <w:r>
        <w:t xml:space="preserve">Maeyer</w:t>
      </w:r>
    </w:p>
    <w:p>
      <w:pPr>
        <w:pStyle w:val="Author"/>
      </w:pPr>
      <w:r>
        <w:t xml:space="preserve">Steven</w:t>
      </w:r>
      <w:r>
        <w:t xml:space="preserve"> </w:t>
      </w:r>
      <w:r>
        <w:t xml:space="preserve">Gillis</w:t>
      </w:r>
    </w:p>
    <w:p>
      <w:pPr>
        <w:pStyle w:val="Date"/>
      </w:pPr>
      <w:r>
        <w:t xml:space="preserve">2024-03-12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(to</w:t>
      </w:r>
      <w:r>
        <w:t xml:space="preserve"> </w:t>
      </w:r>
      <w:r>
        <w:t xml:space="preserve">do)</w:t>
      </w:r>
      <w:r>
        <w:t xml:space="preserve"> </w:t>
      </w:r>
      <w:r>
        <w:t xml:space="preserve">…</w:t>
      </w:r>
    </w:p>
    <w:bookmarkStart w:id="20" w:name="sec-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contemporary contexts, Comparative Judgment (CJ), as stated by Thurstone</w:t>
      </w:r>
      <w:r>
        <w:t xml:space="preserve"> </w:t>
      </w:r>
      <w:r>
        <w:t xml:space="preserve">(1927)</w:t>
      </w:r>
      <w:r>
        <w:t xml:space="preserve">, is primarily associated with the method of</w:t>
      </w:r>
      <w:r>
        <w:t xml:space="preserve"> </w:t>
      </w:r>
      <w:r>
        <w:rPr>
          <w:i/>
          <w:iCs/>
        </w:rPr>
        <w:t xml:space="preserve">Dichotomous</w:t>
      </w:r>
      <w:r>
        <w:t xml:space="preserve"> </w:t>
      </w:r>
      <w:r>
        <w:t xml:space="preserve">Comparative Judgment (DCJ). Within this approach, a panel of judges evaluates the relative manifestation of a particular trait or quality within a pair of stimuli. The result of this evaluation produces a dichotomous value, indicating which stimulus in the pair has a higher degree of the trait or quality</w:t>
      </w:r>
      <w:r>
        <w:t xml:space="preserve"> </w:t>
      </w:r>
      <w:r>
        <w:t xml:space="preserve">(Pollitt 2012a, 2012b)</w:t>
      </w:r>
      <w:r>
        <w:t xml:space="preserve">. It has been shown that DCJ produces reliable and valid measures of the assessed traits and qualities</w:t>
      </w:r>
      <w:r>
        <w:t xml:space="preserve"> </w:t>
      </w:r>
      <w:r>
        <w:t xml:space="preserve">(Lesterhuis 2018; van Daal 2020)</w:t>
      </w:r>
      <w:r>
        <w:t xml:space="preserve">. Consequently, DCJ have been successfully employed to assess competences and traits in various domains, including education</w:t>
      </w:r>
      <w:r>
        <w:t xml:space="preserve"> </w:t>
      </w:r>
      <w:r>
        <w:t xml:space="preserve">(Bartholomew et al. 2018; Lesterhuis 2018; Pollitt 2012b; van Daal 2020; Bartholomew and Williams 2020)</w:t>
      </w:r>
      <w:r>
        <w:t xml:space="preserve">, linguistics</w:t>
      </w:r>
      <w:r>
        <w:t xml:space="preserve"> </w:t>
      </w:r>
      <w:r>
        <w:t xml:space="preserve">(Boonen, Kloots, and Gillis 2020)</w:t>
      </w:r>
      <w:r>
        <w:t xml:space="preserve">, and psychology</w:t>
      </w:r>
      <w:r>
        <w:t xml:space="preserve"> </w:t>
      </w:r>
      <w:r>
        <w:t xml:space="preserve">(citation needed)</w:t>
      </w:r>
      <w:r>
        <w:t xml:space="preserve">. In summary, DCJ presents itself as an alternative and efficient approach to measurement and evaluation that is reliable and valid across diverse domains.</w:t>
      </w:r>
    </w:p>
    <w:bookmarkEnd w:id="20"/>
    <w:bookmarkStart w:id="21" w:name="sec-ResearchQuestions"/>
    <w:p>
      <w:pPr>
        <w:pStyle w:val="Heading2"/>
      </w:pPr>
      <w:r>
        <w:t xml:space="preserve">2 Research questions</w:t>
      </w:r>
    </w:p>
    <w:bookmarkEnd w:id="21"/>
    <w:bookmarkStart w:id="27" w:name="sec-methods"/>
    <w:p>
      <w:pPr>
        <w:pStyle w:val="Heading2"/>
      </w:pPr>
      <w:r>
        <w:t xml:space="preserve">3 Methods</w:t>
      </w:r>
    </w:p>
    <w:bookmarkStart w:id="22" w:name="sec-TF"/>
    <w:p>
      <w:pPr>
        <w:pStyle w:val="Heading3"/>
      </w:pPr>
      <w:r>
        <w:t xml:space="preserve">3.1 Theoretical framework</w:t>
      </w:r>
    </w:p>
    <w:bookmarkEnd w:id="22"/>
    <w:bookmarkStart w:id="23" w:name="sec-SM"/>
    <w:p>
      <w:pPr>
        <w:pStyle w:val="Heading3"/>
      </w:pPr>
      <w:r>
        <w:t xml:space="preserve">3.2 Statistical model</w:t>
      </w:r>
    </w:p>
    <w:bookmarkEnd w:id="23"/>
    <w:bookmarkStart w:id="26" w:name="power-analysis"/>
    <w:p>
      <w:pPr>
        <w:pStyle w:val="Heading3"/>
      </w:pPr>
      <w:r>
        <w:t xml:space="preserve">3.3 Power analysis</w:t>
      </w:r>
    </w:p>
    <w:bookmarkStart w:id="24" w:name="sec-FI"/>
    <w:p>
      <w:pPr>
        <w:pStyle w:val="Heading4"/>
      </w:pPr>
      <w:r>
        <w:t xml:space="preserve">3.3.1 Factors of interest</w:t>
      </w:r>
    </w:p>
    <w:bookmarkEnd w:id="24"/>
    <w:bookmarkStart w:id="25" w:name="sec-D"/>
    <w:p>
      <w:pPr>
        <w:pStyle w:val="Heading4"/>
      </w:pPr>
      <w:r>
        <w:t xml:space="preserve">3.3.2 Data</w:t>
      </w:r>
    </w:p>
    <w:bookmarkEnd w:id="25"/>
    <w:bookmarkEnd w:id="26"/>
    <w:bookmarkEnd w:id="27"/>
    <w:bookmarkStart w:id="31" w:name="sec-results"/>
    <w:p>
      <w:pPr>
        <w:pStyle w:val="Heading2"/>
      </w:pPr>
      <w:r>
        <w:t xml:space="preserve">4 Results</w:t>
      </w:r>
    </w:p>
    <w:bookmarkStart w:id="28" w:name="sec-RQ1"/>
    <w:p>
      <w:pPr>
        <w:pStyle w:val="Heading3"/>
      </w:pPr>
      <w:r>
        <w:t xml:space="preserve">4.1 Research question 1</w:t>
      </w:r>
    </w:p>
    <w:bookmarkEnd w:id="28"/>
    <w:bookmarkStart w:id="29" w:name="sec-RQ2"/>
    <w:p>
      <w:pPr>
        <w:pStyle w:val="Heading3"/>
      </w:pPr>
      <w:r>
        <w:t xml:space="preserve">4.2 Research question 2</w:t>
      </w:r>
    </w:p>
    <w:bookmarkEnd w:id="29"/>
    <w:bookmarkStart w:id="30" w:name="sec-RQ3"/>
    <w:p>
      <w:pPr>
        <w:pStyle w:val="Heading3"/>
      </w:pPr>
      <w:r>
        <w:t xml:space="preserve">4.3 Research question 3</w:t>
      </w:r>
    </w:p>
    <w:bookmarkEnd w:id="30"/>
    <w:bookmarkEnd w:id="31"/>
    <w:bookmarkStart w:id="33" w:name="sec-discussion"/>
    <w:p>
      <w:pPr>
        <w:pStyle w:val="Heading2"/>
      </w:pPr>
      <w:r>
        <w:t xml:space="preserve">5 Discussion</w:t>
      </w:r>
    </w:p>
    <w:bookmarkStart w:id="32" w:name="sec-LFR"/>
    <w:p>
      <w:pPr>
        <w:pStyle w:val="Heading3"/>
      </w:pPr>
      <w:r>
        <w:t xml:space="preserve">5.1 Limitations and further research</w:t>
      </w:r>
    </w:p>
    <w:bookmarkEnd w:id="32"/>
    <w:bookmarkEnd w:id="33"/>
    <w:bookmarkStart w:id="34" w:name="sec-conclusion"/>
    <w:p>
      <w:pPr>
        <w:pStyle w:val="Heading2"/>
      </w:pPr>
      <w:r>
        <w:t xml:space="preserve">6 Conclusion</w:t>
      </w:r>
    </w:p>
    <w:bookmarkEnd w:id="34"/>
    <w:bookmarkStart w:id="50" w:name="references"/>
    <w:p>
      <w:pPr>
        <w:pStyle w:val="Heading2"/>
      </w:pPr>
      <w:r>
        <w:t xml:space="preserve">References</w:t>
      </w:r>
    </w:p>
    <w:bookmarkStart w:id="49" w:name="refs"/>
    <w:bookmarkStart w:id="36" w:name="ref-Bartholomew_et_al_2018"/>
    <w:p>
      <w:pPr>
        <w:pStyle w:val="Bibliography"/>
      </w:pPr>
      <w:r>
        <w:t xml:space="preserve">Bartholomew, S., L. Nadelson, W. Goodridge, and E. Reeve. 2018.</w:t>
      </w:r>
      <w:r>
        <w:t xml:space="preserve"> </w:t>
      </w:r>
      <w:r>
        <w:t xml:space="preserve">“Adaptive Comparative Judgment as a Tool for Assessing Open-Ended Design Problems and Model Eliciting Activities.”</w:t>
      </w:r>
      <w:r>
        <w:t xml:space="preserve"> </w:t>
      </w:r>
      <w:r>
        <w:rPr>
          <w:i/>
          <w:iCs/>
        </w:rPr>
        <w:t xml:space="preserve">Educational Assessment</w:t>
      </w:r>
      <w:r>
        <w:t xml:space="preserve"> </w:t>
      </w:r>
      <w:r>
        <w:t xml:space="preserve">23 (2): 85–101.</w:t>
      </w:r>
      <w:r>
        <w:t xml:space="preserve"> </w:t>
      </w:r>
      <w:hyperlink r:id="rId35">
        <w:r>
          <w:rPr>
            <w:rStyle w:val="Hyperlink"/>
          </w:rPr>
          <w:t xml:space="preserve">https://doi.org/10.1080/10627197.2018.1444986</w:t>
        </w:r>
      </w:hyperlink>
      <w:r>
        <w:t xml:space="preserve">.</w:t>
      </w:r>
    </w:p>
    <w:bookmarkEnd w:id="36"/>
    <w:bookmarkStart w:id="38" w:name="ref-Bartholomew_et_al_2020"/>
    <w:p>
      <w:pPr>
        <w:pStyle w:val="Bibliography"/>
      </w:pPr>
      <w:r>
        <w:t xml:space="preserve">Bartholomew, S., and P. Williams. 2020.</w:t>
      </w:r>
      <w:r>
        <w:t xml:space="preserve"> </w:t>
      </w:r>
      <w:r>
        <w:t xml:space="preserve">“STEM Skill Assessment: An Application of Adaptive Comparative Judgment.”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Integrated Approaches to STEM Education. Advances in STEM Education</w:t>
      </w:r>
      <w:r>
        <w:t xml:space="preserve">, edited by J. Anderson and Y. Li.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https://doi.org/10.1007/978-3-030-52229-2_18</w:t>
        </w:r>
      </w:hyperlink>
      <w:r>
        <w:t xml:space="preserve">.</w:t>
      </w:r>
    </w:p>
    <w:bookmarkEnd w:id="38"/>
    <w:bookmarkStart w:id="40" w:name="ref-Boonen_et_al_2020"/>
    <w:p>
      <w:pPr>
        <w:pStyle w:val="Bibliography"/>
      </w:pPr>
      <w:r>
        <w:t xml:space="preserve">Boonen, N., H. Kloots, and S. Gillis. 2020.</w:t>
      </w:r>
      <w:r>
        <w:t xml:space="preserve"> </w:t>
      </w:r>
      <w:r>
        <w:t xml:space="preserve">“Rating the Overall Speech Quality of Hearing-Impaired Children by Means of Comparative Judgements.”</w:t>
      </w:r>
      <w:r>
        <w:t xml:space="preserve"> </w:t>
      </w:r>
      <w:r>
        <w:rPr>
          <w:i/>
          <w:iCs/>
        </w:rPr>
        <w:t xml:space="preserve">Journal of Communication Disorders</w:t>
      </w:r>
      <w:r>
        <w:t xml:space="preserve"> </w:t>
      </w:r>
      <w:r>
        <w:t xml:space="preserve">83: 1675–87.</w:t>
      </w:r>
      <w:r>
        <w:t xml:space="preserve"> </w:t>
      </w:r>
      <w:hyperlink r:id="rId39">
        <w:r>
          <w:rPr>
            <w:rStyle w:val="Hyperlink"/>
          </w:rPr>
          <w:t xml:space="preserve">https://doi.org/10.1016/j.jcomdis.2019.105969</w:t>
        </w:r>
      </w:hyperlink>
      <w:r>
        <w:t xml:space="preserve">.</w:t>
      </w:r>
    </w:p>
    <w:bookmarkEnd w:id="40"/>
    <w:bookmarkStart w:id="41" w:name="ref-Lesterhuis_2018"/>
    <w:p>
      <w:pPr>
        <w:pStyle w:val="Bibliography"/>
      </w:pPr>
      <w:r>
        <w:t xml:space="preserve">Lesterhuis, M. 2018.</w:t>
      </w:r>
      <w:r>
        <w:t xml:space="preserve"> </w:t>
      </w:r>
      <w:r>
        <w:t xml:space="preserve">“The Validity of Comparative Judgement for Assessing Text Quality: An Assessor’s Perspective.”</w:t>
      </w:r>
      <w:r>
        <w:t xml:space="preserve"> </w:t>
      </w:r>
      <w:r>
        <w:t xml:space="preserve">PhD thesis, University of Antwerp.</w:t>
      </w:r>
    </w:p>
    <w:bookmarkEnd w:id="41"/>
    <w:bookmarkStart w:id="43" w:name="ref-Pollitt_2012a"/>
    <w:p>
      <w:pPr>
        <w:pStyle w:val="Bibliography"/>
      </w:pPr>
      <w:r>
        <w:t xml:space="preserve">Pollitt, A. 2012a.</w:t>
      </w:r>
      <w:r>
        <w:t xml:space="preserve"> </w:t>
      </w:r>
      <w:r>
        <w:t xml:space="preserve">“Comparative Judgement for Assessment.”</w:t>
      </w:r>
      <w:r>
        <w:t xml:space="preserve"> </w:t>
      </w:r>
      <w:r>
        <w:rPr>
          <w:i/>
          <w:iCs/>
        </w:rPr>
        <w:t xml:space="preserve">International Journal of Technology and Design Education</w:t>
      </w:r>
      <w:r>
        <w:t xml:space="preserve"> </w:t>
      </w:r>
      <w:r>
        <w:t xml:space="preserve">22 (2): 157--170.</w:t>
      </w:r>
      <w:r>
        <w:t xml:space="preserve"> </w:t>
      </w:r>
      <w:hyperlink r:id="rId42">
        <w:r>
          <w:rPr>
            <w:rStyle w:val="Hyperlink"/>
          </w:rPr>
          <w:t xml:space="preserve">https://doi.org/10.1007/s10798-011-9189-x</w:t>
        </w:r>
      </w:hyperlink>
      <w:r>
        <w:t xml:space="preserve">.</w:t>
      </w:r>
    </w:p>
    <w:bookmarkEnd w:id="43"/>
    <w:bookmarkStart w:id="45" w:name="ref-Pollitt_2012b"/>
    <w:p>
      <w:pPr>
        <w:pStyle w:val="Bibliography"/>
      </w:pPr>
      <w:r>
        <w:t xml:space="preserve">———. 2012b.</w:t>
      </w:r>
      <w:r>
        <w:t xml:space="preserve"> </w:t>
      </w:r>
      <w:r>
        <w:t xml:space="preserve">“The Method of Adaptive Comparative Judgement.”</w:t>
      </w:r>
      <w:r>
        <w:t xml:space="preserve"> </w:t>
      </w:r>
      <w:r>
        <w:rPr>
          <w:i/>
          <w:iCs/>
        </w:rPr>
        <w:t xml:space="preserve">Assessment in Education: Principles, Policy and Practice</w:t>
      </w:r>
      <w:r>
        <w:t xml:space="preserve"> </w:t>
      </w:r>
      <w:r>
        <w:t xml:space="preserve">19 (3): 281--300.</w:t>
      </w:r>
      <w:r>
        <w:t xml:space="preserve"> </w:t>
      </w:r>
      <w:hyperlink r:id="rId44">
        <w:r>
          <w:rPr>
            <w:rStyle w:val="Hyperlink"/>
          </w:rPr>
          <w:t xml:space="preserve">https://doi.org/10.1080/0969594X.2012.665354</w:t>
        </w:r>
      </w:hyperlink>
      <w:r>
        <w:t xml:space="preserve">.</w:t>
      </w:r>
    </w:p>
    <w:bookmarkEnd w:id="45"/>
    <w:bookmarkStart w:id="47" w:name="ref-Thurstone_1927"/>
    <w:p>
      <w:pPr>
        <w:pStyle w:val="Bibliography"/>
      </w:pPr>
      <w:r>
        <w:t xml:space="preserve">Thurstone, L. 1927.</w:t>
      </w:r>
      <w:r>
        <w:t xml:space="preserve"> </w:t>
      </w:r>
      <w:r>
        <w:t xml:space="preserve">“A Law of Comparative Judgment.”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 </w:t>
      </w:r>
      <w:r>
        <w:t xml:space="preserve">34 (4): 482–99.</w:t>
      </w:r>
      <w:r>
        <w:t xml:space="preserve"> </w:t>
      </w:r>
      <w:hyperlink r:id="rId46">
        <w:r>
          <w:rPr>
            <w:rStyle w:val="Hyperlink"/>
          </w:rPr>
          <w:t xml:space="preserve">https://doi.org/10.1037/h0070288</w:t>
        </w:r>
      </w:hyperlink>
      <w:r>
        <w:t xml:space="preserve">.</w:t>
      </w:r>
    </w:p>
    <w:bookmarkEnd w:id="47"/>
    <w:bookmarkStart w:id="48" w:name="ref-vanDaal_2020"/>
    <w:p>
      <w:pPr>
        <w:pStyle w:val="Bibliography"/>
      </w:pPr>
      <w:r>
        <w:t xml:space="preserve">van Daal, T. 2020.</w:t>
      </w:r>
      <w:r>
        <w:t xml:space="preserve"> </w:t>
      </w:r>
      <w:r>
        <w:t xml:space="preserve">“Making a Choice Is Not Easy?!: Unravelling the Task Difficulty of Comparative Judgement to Assess Student Work.”</w:t>
      </w:r>
      <w:r>
        <w:t xml:space="preserve"> </w:t>
      </w:r>
      <w:r>
        <w:t xml:space="preserve">PhD thesis, University of Antwerp.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7/978-3-030-52229-2_18" TargetMode="External" /><Relationship Type="http://schemas.openxmlformats.org/officeDocument/2006/relationships/hyperlink" Id="rId42" Target="https://doi.org/10.1007/s10798-011-9189-x" TargetMode="External" /><Relationship Type="http://schemas.openxmlformats.org/officeDocument/2006/relationships/hyperlink" Id="rId39" Target="https://doi.org/10.1016/j.jcomdis.2019.105969" TargetMode="External" /><Relationship Type="http://schemas.openxmlformats.org/officeDocument/2006/relationships/hyperlink" Id="rId46" Target="https://doi.org/10.1037/h0070288" TargetMode="External" /><Relationship Type="http://schemas.openxmlformats.org/officeDocument/2006/relationships/hyperlink" Id="rId44" Target="https://doi.org/10.1080/0969594X.2012.665354" TargetMode="External" /><Relationship Type="http://schemas.openxmlformats.org/officeDocument/2006/relationships/hyperlink" Id="rId35" Target="https://doi.org/10.1080/10627197.2018.14449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7/978-3-030-52229-2_18" TargetMode="External" /><Relationship Type="http://schemas.openxmlformats.org/officeDocument/2006/relationships/hyperlink" Id="rId42" Target="https://doi.org/10.1007/s10798-011-9189-x" TargetMode="External" /><Relationship Type="http://schemas.openxmlformats.org/officeDocument/2006/relationships/hyperlink" Id="rId39" Target="https://doi.org/10.1016/j.jcomdis.2019.105969" TargetMode="External" /><Relationship Type="http://schemas.openxmlformats.org/officeDocument/2006/relationships/hyperlink" Id="rId46" Target="https://doi.org/10.1037/h0070288" TargetMode="External" /><Relationship Type="http://schemas.openxmlformats.org/officeDocument/2006/relationships/hyperlink" Id="rId44" Target="https://doi.org/10.1080/0969594X.2012.665354" TargetMode="External" /><Relationship Type="http://schemas.openxmlformats.org/officeDocument/2006/relationships/hyperlink" Id="rId35" Target="https://doi.org/10.1080/10627197.2018.14449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Dichotomous Comparative Judgment experiments (DCJ)</dc:title>
  <dc:creator>Jose Manuel Rivera Espejo; Sven de Maeyer; Steven Gillis</dc:creator>
  <cp:keywords>power analysis, comparative judgment, bayesian analysis, simulation</cp:keywords>
  <dcterms:created xsi:type="dcterms:W3CDTF">2024-03-12T15:37:32Z</dcterms:created>
  <dcterms:modified xsi:type="dcterms:W3CDTF">2024-03-12T15:37:32Z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(to do)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2024-03-12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cence">
    <vt:lpwstr>CC BY-SA</vt:lpwstr>
  </property>
  <property fmtid="{D5CDD505-2E9C-101B-9397-08002B2CF9AE}" pid="20" name="lightbox">
    <vt:lpwstr>auto</vt:lpwstr>
  </property>
  <property fmtid="{D5CDD505-2E9C-101B-9397-08002B2CF9AE}" pid="21" name="manuscript">
    <vt:lpwstr/>
  </property>
  <property fmtid="{D5CDD505-2E9C-101B-9397-08002B2CF9AE}" pid="22" name="notebook-preview-options">
    <vt:lpwstr/>
  </property>
  <property fmtid="{D5CDD505-2E9C-101B-9397-08002B2CF9AE}" pid="23" name="plain-languquarto installage-summary">
    <vt:lpwstr>(to do) …</vt:lpwstr>
  </property>
  <property fmtid="{D5CDD505-2E9C-101B-9397-08002B2CF9AE}" pid="24" name="quarto-internal">
    <vt:lpwstr/>
  </property>
  <property fmtid="{D5CDD505-2E9C-101B-9397-08002B2CF9AE}" pid="25" name="remove-hidden">
    <vt:lpwstr>all</vt:lpwstr>
  </property>
  <property fmtid="{D5CDD505-2E9C-101B-9397-08002B2CF9AE}" pid="26" name="subtitle">
    <vt:lpwstr>A Bayesian simulation-based study exploring the factors that impact DCJ</vt:lpwstr>
  </property>
  <property fmtid="{D5CDD505-2E9C-101B-9397-08002B2CF9AE}" pid="27" name="template-partials">
    <vt:lpwstr/>
  </property>
  <property fmtid="{D5CDD505-2E9C-101B-9397-08002B2CF9AE}" pid="28" name="theme">
    <vt:lpwstr>cosmo</vt:lpwstr>
  </property>
  <property fmtid="{D5CDD505-2E9C-101B-9397-08002B2CF9AE}" pid="29" name="title-block-style">
    <vt:lpwstr>manuscript</vt:lpwstr>
  </property>
  <property fmtid="{D5CDD505-2E9C-101B-9397-08002B2CF9AE}" pid="30" name="toc-title">
    <vt:lpwstr>Table of contents</vt:lpwstr>
  </property>
  <property fmtid="{D5CDD505-2E9C-101B-9397-08002B2CF9AE}" pid="31" name="unroll-markdown-cells">
    <vt:lpwstr>True</vt:lpwstr>
  </property>
</Properties>
</file>