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SEEKING CIVIL RIGHTS REPRESENTATION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Rivera v. Lee County Sheriff's Office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§1983 Federal Civil Rights · First &amp; Fourth Amendment · Monell Pattern/Practice · 11th Circuit Controlling Precedent</w:t>
      </w:r>
    </w:p>
    <w:p>
      <w:pPr>
        <w:pBdr>
          <w:bottom w:val="single" w:color="C9A84C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JOSEPH ANTHONY RIVERA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1435 SE 10th Ter, Cape Coral, FL 33990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(239) 220-9313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davinchicoated@gmail.com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DEFENDANT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Lee County Sheriff's Office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Deputy Rogers — Badge #22234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14750 Six Mile Cypress Pkwy, Fort Myers FL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Sheriff Carmine Marceno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THE INCIDENT — January 28, 2026</w:t>
      </w:r>
    </w:p>
    <w:p>
      <w:pPr>
        <w:pBdr>
          <w:bottom w:val="single" w:color="CCCCCC" w:sz="6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Routine traffic stop on Acorn/Sanibel Rd, San Carlos Park (Lee County). What followed was a 2–3 hour, four-officer detention with physical takedown, warrantless destructive vehicle search, Baker Act threat used as coercion, and LCSO deletion of Rivera's own phone video recording of the stop.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VIOLATIONS — 4 Actionable Claims</w:t>
      </w:r>
    </w:p>
    <w:p>
      <w:pPr>
        <w:pBdr>
          <w:bottom w:val="single" w:color="CCCCCC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CONTROLLING CASE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1st Amendment — Video Deletion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5A20"/>
                <w:sz w:val="17"/>
                <w:szCs w:val="17"/>
              </w:rPr>
              <w:t xml:space="preserve">Smith v. Cumming, 212 F.3d 1332 (11th Cir. 2000) — BINDING IN FLORIDA — Never Overturned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LCSO officer deleted Rivera's phone recording of the traffic stop. Right to record was clearly established. No qualified immunity defense available.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4th Amendment — Prolonged Detention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5A20"/>
                <w:sz w:val="17"/>
                <w:szCs w:val="17"/>
              </w:rPr>
              <w:t xml:space="preserve">Rodriguez v. U.S., 575 U.S. 348 (2015) — SCOTUS — Never Overturned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2–3 hour detention with 4-officer takedown during routine traffic stop. Far exceeds Terry/Rodriguez limits. No independent reasonable suspicion documented.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4th Amendment — Warrantless Search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5A20"/>
                <w:sz w:val="17"/>
                <w:szCs w:val="17"/>
              </w:rPr>
              <w:t xml:space="preserve">Collins v. Virginia, 584 U.S. 586 (2018) — SCOTUS — Never Overturned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physically damaged (cup holder, door panels, possible razor slashes). No warrant, no arrest, no charges. Automobile exception does not apply.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14th Amendment — Baker Act Coercion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5A20"/>
                <w:sz w:val="17"/>
                <w:szCs w:val="17"/>
              </w:rPr>
              <w:t xml:space="preserve">Zinermon v. Burch, 494 U.S. 113 (1990) — SCOTUS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Officer threatened Baker Act involuntary commitment as coercive tactic during traffic stop with no medical basis. Liberty interest violation.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MUNICIPAL LIABILITY (Monell v. Dept. of Social Services, 1978)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Six documented LCSO systemic failures from a single stop: use-of-force policy failure; evidence deletion without discipline; body cam retention failure (8 cameras purge April 28 — active litigation hold since Feb 25); Baker Act coercion; Chapter 119 records obstruction; citation discrepancy covering the same stop. Sheriff Marceno's public statements are direct policymaker evidence.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EVIDENCE INVENTORY</w:t>
      </w:r>
    </w:p>
    <w:p>
      <w:pPr>
        <w:pBdr>
          <w:bottom w:val="single" w:color="CCCCCC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Stamped LCSO receipt — Feb 25 submission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tickets T-167 + CM-112 on file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Hannah's 2 videos (on Hannah's phone — SAFE in Google Drive)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Preservation demands: BP, Circle K, Walgreens (video recorded delivery Feb 25-26)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damage photos — broken cup holder, door panels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Certified mail tracking — all 5 agencies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LCSO response letters (March 4) — paper trail complete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FDLE verbal declination documented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Clerk obstruction Feb 26 documented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case file PDF (56 docs) — attorney-ready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CRITICAL DEADLINE — APRIL 28,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8"/>
              <w:left w:val="single" w:color="8B0000" w:sz="8"/>
              <w:bottom w:val="single" w:color="8B0000" w:sz="8"/>
              <w:right w:val="single" w:color="8B0000" w:sz="8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8 LCSO body cameras purge April 28, 2026 — 55 days from today.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Litigation hold was filed in person February 25, 2026 with stamped receipt. LCSO has received formal fee waiver request and spoliation warning (Letter LR-4). An emergency TRO to compel preservation can be filed immediately if you take this case. Destruction after a documented litigation hold = Rule 37(e) sanctions + adverse inference instruction at trial.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WHAT I AM ASKING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the complete case file (56 documents, attorney-ready master PDF available immediately)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representation is offered: file emergency TRO to preserve body cam footage before April 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referral only: I will accept written referral to another civil rights firm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Contingency representation preferred — I understand this is a strong §1983 case with Monell claims</w:t>
      </w:r>
    </w:p>
    <w:p>
      <w:pPr>
        <w:pBdr>
          <w:bottom w:val="single" w:color="0A1628" w:sz="6"/>
        </w:pBdr>
        <w:spacing w:before="120" w:after="120"/>
      </w:pPr>
      <w:r>
        <w:t xml:space="preserve"/>
      </w:r>
    </w:p>
    <w:p>
      <w:pPr>
        <w:spacing w:before="60" w:after="20"/>
        <w:jc w:val="center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Joseph Anthony Rivera — (239) 220-9313 — davinchicoated@gmail.com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Complete case file available immediately upon request. I can meet at your office or provide digital copy.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2026-03-04T22:21:14.315Z</dcterms:created>
  <dcterms:modified xsi:type="dcterms:W3CDTF">2026-03-04T22:21:14.315Z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