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160"/>
      </w:pPr>
      <w:r>
        <w:rPr>
          <w:rFonts w:ascii="Georgia" w:cs="Georgia" w:eastAsia="Georgia" w:hAnsi="Georgia"/>
          <w:b/>
          <w:bCs/>
          <w:color w:val="8b0000"/>
          <w:sz w:val="24"/>
          <w:szCs w:val="24"/>
        </w:rPr>
        <w:t xml:space="preserve">COMBINED FDLE SUBMISSION — ESCALATION OF VERBAL DECLINATION + MONELL PATTERN AND PRACTICE SUPPLEMENT</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Florida Department of Law Enforcement — Office of Executive Investigations</w:t>
      </w:r>
    </w:p>
    <w:p>
      <w:pPr>
        <w:spacing w:after="80"/>
      </w:pPr>
      <w:r>
        <w:rPr>
          <w:rFonts w:ascii="Georgia" w:cs="Georgia" w:eastAsia="Georgia" w:hAnsi="Georgia"/>
          <w:b/>
          <w:bCs/>
          <w:sz w:val="22"/>
          <w:szCs w:val="22"/>
        </w:rPr>
        <w:t xml:space="preserve">Also To: </w:t>
      </w:r>
      <w:r>
        <w:rPr>
          <w:rFonts w:ascii="Georgia" w:cs="Georgia" w:eastAsia="Georgia" w:hAnsi="Georgia"/>
          <w:b w:val="false"/>
          <w:bCs w:val="false"/>
          <w:sz w:val="22"/>
          <w:szCs w:val="22"/>
        </w:rPr>
        <w:t xml:space="preserve">FDLE SW Regional Operations — 2295 Victoria Ave, Fort Myers, FL 33901</w:t>
      </w:r>
    </w:p>
    <w:p>
      <w:pPr>
        <w:spacing w:after="80"/>
      </w:pPr>
      <w:r>
        <w:rPr>
          <w:rFonts w:ascii="Georgia" w:cs="Georgia" w:eastAsia="Georgia" w:hAnsi="Georgia"/>
          <w:b/>
          <w:bCs/>
          <w:sz w:val="22"/>
          <w:szCs w:val="22"/>
        </w:rPr>
        <w:t xml:space="preserve">HQ Mail: </w:t>
      </w:r>
      <w:r>
        <w:rPr>
          <w:rFonts w:ascii="Georgia" w:cs="Georgia" w:eastAsia="Georgia" w:hAnsi="Georgia"/>
          <w:b w:val="false"/>
          <w:bCs w:val="false"/>
          <w:sz w:val="22"/>
          <w:szCs w:val="22"/>
        </w:rPr>
        <w:t xml:space="preserve">2331 Phillips Rd, Tallahassee, FL 32308</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FDLECivilRightsOffice@fdle.state.fl.us | OIG@fdle.state.fl.us</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Escalation of Verbal Declination (Feb 25, 2026) + Monell Pattern/Practice Supplement</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Rivera v. Lee County Sheriff's Office — Deputy Rogers Badge #22234 — January 28, 2026</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Dear FDLE Office of Executive Investigations:</w:t>
      </w:r>
    </w:p>
    <w:p>
      <w:pPr>
        <w:spacing w:after="160"/>
        <w:jc w:val="both"/>
      </w:pPr>
      <w:r>
        <w:rPr>
          <w:rFonts w:ascii="Georgia" w:cs="Georgia" w:eastAsia="Georgia" w:hAnsi="Georgia"/>
          <w:b w:val="false"/>
          <w:bCs w:val="false"/>
          <w:sz w:val="22"/>
          <w:szCs w:val="22"/>
        </w:rPr>
        <w:t xml:space="preserve">This combined submission serves two purposes: (1) escalation of the verbal declination received from your Lee County office on February 25, 2026; and (2) a Monell pattern and practice supplement to the formal complaint submitted that same date (stamped receipt with officer signature on file). Both are addressed together because they arise from the same incident and the same pattern of institutional non-response.</w:t>
      </w:r>
    </w:p>
    <w:p>
      <w:pPr>
        <w:pBdr>
          <w:bottom w:val="single" w:color="c9a84c" w:sz="3" w:space="1"/>
        </w:pBdr>
        <w:spacing w:before="260" w:after="80"/>
      </w:pPr>
      <w:r>
        <w:rPr>
          <w:rFonts w:ascii="Georgia" w:cs="Georgia" w:eastAsia="Georgia" w:hAnsi="Georgia"/>
          <w:b/>
          <w:bCs/>
          <w:color w:val="0a1628"/>
          <w:sz w:val="22"/>
          <w:szCs w:val="22"/>
        </w:rPr>
        <w:t xml:space="preserve">PART 1 — ESCALATION: VERBAL DECLINATION WAS LEGALLY INCORRECT</w:t>
      </w:r>
    </w:p>
    <w:p>
      <w:pPr>
        <w:spacing w:after="160"/>
        <w:jc w:val="both"/>
      </w:pPr>
      <w:r>
        <w:rPr>
          <w:rFonts w:ascii="Georgia" w:cs="Georgia" w:eastAsia="Georgia" w:hAnsi="Georgia"/>
          <w:b w:val="false"/>
          <w:bCs w:val="false"/>
          <w:sz w:val="22"/>
          <w:szCs w:val="22"/>
        </w:rPr>
        <w:t xml:space="preserve">On February 25, 2026, the undersigned submitted a formal written complaint in person at the FDLE Lee County office. A receiving officer stamped and signed the complaint. However, during the interaction, the officer verbally stated that FDLE does not investigate individual officer misconduct and that FDLE's jurisdiction is limited to agency-wide or countywide corruption. This statement is incorrect as a matter of Florida law.</w:t>
      </w:r>
    </w:p>
    <w:p>
      <w:pPr>
        <w:spacing w:after="160"/>
        <w:jc w:val="both"/>
      </w:pPr>
      <w:r>
        <w:rPr>
          <w:rFonts w:ascii="Georgia" w:cs="Georgia" w:eastAsia="Georgia" w:hAnsi="Georgia"/>
          <w:b w:val="false"/>
          <w:bCs w:val="false"/>
          <w:sz w:val="22"/>
          <w:szCs w:val="22"/>
        </w:rPr>
        <w:t xml:space="preserve">Florida Statutes §943.1395 specifically authorizes FDLE to investigate individual officer conduct and to institute decertification proceedings when an officer has failed to maintain good moral character or has violated standards established under §943.13. Individual officer misconduct — including unlawful use of force, unlawful detention, destruction of evidence, warrantless searches, and First Amendment violations — falls directly within FDLE's individual officer certification oversight authority. The verbal declination did not accurately represent FDLE's legal jurisdiction.</w:t>
      </w:r>
    </w:p>
    <w:p>
      <w:pPr>
        <w:spacing w:after="160"/>
        <w:jc w:val="both"/>
      </w:pPr>
      <w:r>
        <w:rPr>
          <w:rFonts w:ascii="Georgia" w:cs="Georgia" w:eastAsia="Georgia" w:hAnsi="Georgia"/>
          <w:b w:val="false"/>
          <w:bCs w:val="false"/>
          <w:sz w:val="22"/>
          <w:szCs w:val="22"/>
        </w:rPr>
        <w:t xml:space="preserve">I am respectfully requesting that a supervisor or the Tallahassee Office of Executive Investigations review the Lee County office's handling of this complaint and confirm whether the verbal declination accurately reflects FDLE policy. I demand a written response stating either: (a) the complaint has been accepted for investigation; or (b) the specific statutory basis for any declination.</w:t>
      </w:r>
    </w:p>
    <w:p>
      <w:pPr>
        <w:pBdr>
          <w:bottom w:val="single" w:color="c9a84c" w:sz="3" w:space="1"/>
        </w:pBdr>
        <w:spacing w:before="260" w:after="80"/>
      </w:pPr>
      <w:r>
        <w:rPr>
          <w:rFonts w:ascii="Georgia" w:cs="Georgia" w:eastAsia="Georgia" w:hAnsi="Georgia"/>
          <w:b/>
          <w:bCs/>
          <w:color w:val="0a1628"/>
          <w:sz w:val="22"/>
          <w:szCs w:val="22"/>
        </w:rPr>
        <w:t xml:space="preserve">PART 2 — MONELL PATTERN AND PRACTICE SUPPLEMENT — 34 U.S.C. §12601</w:t>
      </w:r>
    </w:p>
    <w:p>
      <w:pPr>
        <w:spacing w:after="160"/>
        <w:jc w:val="both"/>
      </w:pPr>
      <w:r>
        <w:rPr>
          <w:rFonts w:ascii="Georgia" w:cs="Georgia" w:eastAsia="Georgia" w:hAnsi="Georgia"/>
          <w:b w:val="false"/>
          <w:bCs w:val="false"/>
          <w:sz w:val="22"/>
          <w:szCs w:val="22"/>
        </w:rPr>
        <w:t xml:space="preserve">This supplement documents that the conduct on January 28, 2026 was not an isolated incident but reflects a pattern and practice of unconstitutional conduct by the Lee County Sheriff's Office. Under Monell v. Department of Social Services, 436 U.S. 658 (1978), a municipality or agency is liable under 42 U.S.C. §1983 when unconstitutional conduct results from an official policy, a custom or practice, or deliberate indifference to known constitutional violations. Under 34 U.S.C. §12601, the DOJ and cognizant state agencies may investigate and seek relief against law enforcement agencies engaged in a pattern or practice of civil rights violations.</w:t>
      </w:r>
    </w:p>
    <w:p>
      <w:pPr>
        <w:pBdr>
          <w:bottom w:val="single" w:color="c9a84c" w:sz="3" w:space="1"/>
        </w:pBdr>
        <w:spacing w:before="260" w:after="80"/>
      </w:pPr>
      <w:r>
        <w:rPr>
          <w:rFonts w:ascii="Georgia" w:cs="Georgia" w:eastAsia="Georgia" w:hAnsi="Georgia"/>
          <w:b/>
          <w:bCs/>
          <w:color w:val="0a1628"/>
          <w:sz w:val="22"/>
          <w:szCs w:val="22"/>
        </w:rPr>
        <w:t xml:space="preserve">THE JANUARY 28, 2026 INCIDENT</w:t>
      </w:r>
    </w:p>
    <w:p>
      <w:pPr>
        <w:spacing w:after="160"/>
        <w:jc w:val="both"/>
      </w:pPr>
      <w:r>
        <w:rPr>
          <w:rFonts w:ascii="Georgia" w:cs="Georgia" w:eastAsia="Georgia" w:hAnsi="Georgia"/>
          <w:b w:val="false"/>
          <w:bCs w:val="false"/>
          <w:sz w:val="22"/>
          <w:szCs w:val="22"/>
        </w:rPr>
        <w:t xml:space="preserve">On January 28, 2026, LCSO Deputy Steven Rogers (Badge #22234) and three additional unnamed deputies subjected Rivera to: a four-officer takedown disproportionate to any articulable threat; approximately two to three hours of detention without probable cause or charges; a warrantless destructive vehicle search causing physical damage (broken door panels, broken cup holder, razor slash marks on driver's seat); a coercive Baker Act threat used as a detention tool; and the deletion by an LCSO officer of a video recording made by Rivera on Rivera's own phone in violation of the First Amendment (Smith v. Cumming, 212 F.3d 1332 (11th Cir. 2000)). No charges were filed. No use-of-force report has been produced. Body camera footage is scheduled to be purged April 28, 2026 absent intervention.</w:t>
      </w:r>
    </w:p>
    <w:p>
      <w:pPr>
        <w:pBdr>
          <w:bottom w:val="single" w:color="c9a84c" w:sz="3" w:space="1"/>
        </w:pBdr>
        <w:spacing w:before="260" w:after="80"/>
      </w:pPr>
      <w:r>
        <w:rPr>
          <w:rFonts w:ascii="Georgia" w:cs="Georgia" w:eastAsia="Georgia" w:hAnsi="Georgia"/>
          <w:b/>
          <w:bCs/>
          <w:color w:val="0a1628"/>
          <w:sz w:val="22"/>
          <w:szCs w:val="22"/>
        </w:rPr>
        <w:t xml:space="preserve">EVIDENCE OF A PATTERN — POLICY AND CUSTOM</w:t>
      </w:r>
    </w:p>
    <w:p>
      <w:pPr>
        <w:spacing w:after="160"/>
        <w:jc w:val="both"/>
      </w:pPr>
      <w:r>
        <w:rPr>
          <w:rFonts w:ascii="Georgia" w:cs="Georgia" w:eastAsia="Georgia" w:hAnsi="Georgia"/>
          <w:b w:val="false"/>
          <w:bCs w:val="false"/>
          <w:sz w:val="22"/>
          <w:szCs w:val="22"/>
        </w:rPr>
        <w:t xml:space="preserve">The conduct on January 28, 2026 reflects the following LCSO policies and customs that give rise to Monell liability:</w:t>
      </w:r>
    </w:p>
    <w:p>
      <w:pPr>
        <w:pStyle w:val="ListParagraph"/>
        <w:numPr>
          <w:ilvl w:val="0"/>
          <w:numId w:val="2"/>
        </w:numPr>
        <w:spacing w:after="100"/>
      </w:pPr>
      <w:r>
        <w:rPr>
          <w:rFonts w:ascii="Georgia" w:cs="Georgia" w:eastAsia="Georgia" w:hAnsi="Georgia"/>
          <w:b w:val="false"/>
          <w:bCs w:val="false"/>
          <w:sz w:val="22"/>
          <w:szCs w:val="22"/>
        </w:rPr>
        <w:t xml:space="preserve">USE OF FORCE POLICY FAILURE: Deployment of four officers for a non-combative traffic stop suggests either a policy authorizing disproportionate force or a custom of such force tolerated without discipline.</w:t>
      </w:r>
    </w:p>
    <w:p>
      <w:pPr>
        <w:pStyle w:val="ListParagraph"/>
        <w:numPr>
          <w:ilvl w:val="0"/>
          <w:numId w:val="2"/>
        </w:numPr>
        <w:spacing w:after="100"/>
      </w:pPr>
      <w:r>
        <w:rPr>
          <w:rFonts w:ascii="Georgia" w:cs="Georgia" w:eastAsia="Georgia" w:hAnsi="Georgia"/>
          <w:b w:val="false"/>
          <w:bCs w:val="false"/>
          <w:sz w:val="22"/>
          <w:szCs w:val="22"/>
        </w:rPr>
        <w:t xml:space="preserve">EVIDENCE DELETION POLICY OR CUSTOM: An LCSO officer deleted Rivera's own phone recording during a stop. This conduct — whether pursuant to policy or tolerated custom — constitutes a First Amendment violation. No investigation or discipline is documented.</w:t>
      </w:r>
    </w:p>
    <w:p>
      <w:pPr>
        <w:pStyle w:val="ListParagraph"/>
        <w:numPr>
          <w:ilvl w:val="0"/>
          <w:numId w:val="2"/>
        </w:numPr>
        <w:spacing w:after="100"/>
      </w:pPr>
      <w:r>
        <w:rPr>
          <w:rFonts w:ascii="Georgia" w:cs="Georgia" w:eastAsia="Georgia" w:hAnsi="Georgia"/>
          <w:b w:val="false"/>
          <w:bCs w:val="false"/>
          <w:sz w:val="22"/>
          <w:szCs w:val="22"/>
        </w:rPr>
        <w:t xml:space="preserve">BODY CAMERA RETENTION POLICY FAILURE: LCSO has not automatically flagged and preserved body camera footage from a use-of-force incident despite receiving a litigation hold. The April 28 purge date suggests LCSO's retention policy is inadequate for civil rights incident footage.</w:t>
      </w:r>
    </w:p>
    <w:p>
      <w:pPr>
        <w:pStyle w:val="ListParagraph"/>
        <w:numPr>
          <w:ilvl w:val="0"/>
          <w:numId w:val="2"/>
        </w:numPr>
        <w:spacing w:after="100"/>
      </w:pPr>
      <w:r>
        <w:rPr>
          <w:rFonts w:ascii="Georgia" w:cs="Georgia" w:eastAsia="Georgia" w:hAnsi="Georgia"/>
          <w:b w:val="false"/>
          <w:bCs w:val="false"/>
          <w:sz w:val="22"/>
          <w:szCs w:val="22"/>
        </w:rPr>
        <w:t xml:space="preserve">BAKER ACT AS COERCION: Using Baker Act threat as a detention tool — without medical or psychiatric basis — reflects either a training failure or a custom of using mental health commitment threats as coercive instruments.</w:t>
      </w:r>
    </w:p>
    <w:p>
      <w:pPr>
        <w:pStyle w:val="ListParagraph"/>
        <w:numPr>
          <w:ilvl w:val="0"/>
          <w:numId w:val="2"/>
        </w:numPr>
        <w:spacing w:after="100"/>
      </w:pPr>
      <w:r>
        <w:rPr>
          <w:rFonts w:ascii="Georgia" w:cs="Georgia" w:eastAsia="Georgia" w:hAnsi="Georgia"/>
          <w:b w:val="false"/>
          <w:bCs w:val="false"/>
          <w:sz w:val="22"/>
          <w:szCs w:val="22"/>
        </w:rPr>
        <w:t xml:space="preserve">RECORDS OBSTRUCTION: LCSO merged separate records requests into a single cancellable tracking number. The Clerk of Courts improperly conditioned Chapter 119 requests on court case attachment. These institutional responses reflect a coordinated pattern of records obstruction that is inconsistent with independent agency action.</w:t>
      </w:r>
    </w:p>
    <w:p>
      <w:pPr>
        <w:pStyle w:val="ListParagraph"/>
        <w:numPr>
          <w:ilvl w:val="0"/>
          <w:numId w:val="2"/>
        </w:numPr>
        <w:spacing w:after="100"/>
      </w:pPr>
      <w:r>
        <w:rPr>
          <w:rFonts w:ascii="Georgia" w:cs="Georgia" w:eastAsia="Georgia" w:hAnsi="Georgia"/>
          <w:b w:val="false"/>
          <w:bCs w:val="false"/>
          <w:sz w:val="22"/>
          <w:szCs w:val="22"/>
        </w:rPr>
        <w:t xml:space="preserve">CITATION DISCREPANCY: The physical citation (26-051270) differs from the court docket entry (26-TR-005517) and a Clerk representative told Rivera the physical number was "wrong." This may indicate post-incident record modification.</w:t>
      </w:r>
    </w:p>
    <w:p>
      <w:pPr>
        <w:pBdr>
          <w:bottom w:val="single" w:color="c9a84c" w:sz="3" w:space="1"/>
        </w:pBdr>
        <w:spacing w:before="260" w:after="80"/>
      </w:pPr>
      <w:r>
        <w:rPr>
          <w:rFonts w:ascii="Georgia" w:cs="Georgia" w:eastAsia="Georgia" w:hAnsi="Georgia"/>
          <w:b/>
          <w:bCs/>
          <w:color w:val="0a1628"/>
          <w:sz w:val="22"/>
          <w:szCs w:val="22"/>
        </w:rPr>
        <w:t xml:space="preserve">SUPPLEMENTAL CONSTITUTIONAL CLAIMS IMPLICATED</w:t>
      </w:r>
    </w:p>
    <w:p>
      <w:pPr>
        <w:spacing w:after="160"/>
        <w:jc w:val="both"/>
      </w:pPr>
      <w:r>
        <w:rPr>
          <w:rFonts w:ascii="Georgia" w:cs="Georgia" w:eastAsia="Georgia" w:hAnsi="Georgia"/>
          <w:b w:val="false"/>
          <w:bCs w:val="false"/>
          <w:sz w:val="22"/>
          <w:szCs w:val="22"/>
        </w:rPr>
        <w:t xml:space="preserve">The pattern documented above supports the following constitutional and statutory claims: Fourth Amendment — unlawful seizure, warrantless search, excessive force; First Amendment — deletion of citizen video recording; Fourteenth Amendment Due Process — prolonged detention without charges; Fourth Amendment / Bivens — warrantless vehicle search with no exigent circumstances; First Amendment — Baker Act threat as coercive speech suppression; 42 U.S.C. §1983 — all of the above against officers individually and LCSO under Monell; 34 U.S.C. §12601 — pattern and practice by agency; Fla. Stat. §119.10 — willful Chapter 119 obstruction by Clerk representative (first degree misdemeanor).</w:t>
      </w:r>
    </w:p>
    <w:p>
      <w:pPr>
        <w:pBdr>
          <w:bottom w:val="single" w:color="c9a84c" w:sz="3" w:space="1"/>
        </w:pBdr>
        <w:spacing w:before="260" w:after="80"/>
      </w:pPr>
      <w:r>
        <w:rPr>
          <w:rFonts w:ascii="Georgia" w:cs="Georgia" w:eastAsia="Georgia" w:hAnsi="Georgia"/>
          <w:b/>
          <w:bCs/>
          <w:color w:val="0a1628"/>
          <w:sz w:val="22"/>
          <w:szCs w:val="22"/>
        </w:rPr>
        <w:t xml:space="preserve">DEMANDS</w:t>
      </w:r>
    </w:p>
    <w:p>
      <w:pPr>
        <w:pStyle w:val="ListParagraph"/>
        <w:numPr>
          <w:ilvl w:val="0"/>
          <w:numId w:val="3"/>
        </w:numPr>
        <w:spacing w:after="120"/>
        <w:jc w:val="both"/>
      </w:pPr>
      <w:r>
        <w:rPr>
          <w:rFonts w:ascii="Georgia" w:cs="Georgia" w:eastAsia="Georgia" w:hAnsi="Georgia"/>
          <w:b w:val="false"/>
          <w:bCs w:val="false"/>
          <w:sz w:val="22"/>
          <w:szCs w:val="22"/>
        </w:rPr>
        <w:t xml:space="preserve">Written response to the complaint filed February 25, 2026, stating either acceptance for investigation or specific statutory basis for declination.</w:t>
      </w:r>
    </w:p>
    <w:p>
      <w:pPr>
        <w:pStyle w:val="ListParagraph"/>
        <w:numPr>
          <w:ilvl w:val="0"/>
          <w:numId w:val="3"/>
        </w:numPr>
        <w:spacing w:after="120"/>
        <w:jc w:val="both"/>
      </w:pPr>
      <w:r>
        <w:rPr>
          <w:rFonts w:ascii="Georgia" w:cs="Georgia" w:eastAsia="Georgia" w:hAnsi="Georgia"/>
          <w:b w:val="false"/>
          <w:bCs w:val="false"/>
          <w:sz w:val="22"/>
          <w:szCs w:val="22"/>
        </w:rPr>
        <w:t xml:space="preserve">Review by the Tallahassee Office of Executive Investigations of the verbal declination made at the Lee County office on February 25, 2026.</w:t>
      </w:r>
    </w:p>
    <w:p>
      <w:pPr>
        <w:pStyle w:val="ListParagraph"/>
        <w:numPr>
          <w:ilvl w:val="0"/>
          <w:numId w:val="3"/>
        </w:numPr>
        <w:spacing w:after="120"/>
        <w:jc w:val="both"/>
      </w:pPr>
      <w:r>
        <w:rPr>
          <w:rFonts w:ascii="Georgia" w:cs="Georgia" w:eastAsia="Georgia" w:hAnsi="Georgia"/>
          <w:b w:val="false"/>
          <w:bCs w:val="false"/>
          <w:sz w:val="22"/>
          <w:szCs w:val="22"/>
        </w:rPr>
        <w:t xml:space="preserve">Initiation of FDLE inquiry into LCSO body camera retention policies and use-of-force reporting procedures as applied to the January 28, 2026 incident.</w:t>
      </w:r>
    </w:p>
    <w:p>
      <w:pPr>
        <w:pStyle w:val="ListParagraph"/>
        <w:numPr>
          <w:ilvl w:val="0"/>
          <w:numId w:val="3"/>
        </w:numPr>
        <w:spacing w:after="120"/>
        <w:jc w:val="both"/>
      </w:pPr>
      <w:r>
        <w:rPr>
          <w:rFonts w:ascii="Georgia" w:cs="Georgia" w:eastAsia="Georgia" w:hAnsi="Georgia"/>
          <w:b w:val="false"/>
          <w:bCs w:val="false"/>
          <w:sz w:val="22"/>
          <w:szCs w:val="22"/>
        </w:rPr>
        <w:t xml:space="preserve">Coordination with the DOJ Civil Rights Division regarding this complaint and the pattern and practice issues documented herein.</w:t>
      </w:r>
    </w:p>
    <w:p>
      <w:pPr>
        <w:pStyle w:val="ListParagraph"/>
        <w:numPr>
          <w:ilvl w:val="0"/>
          <w:numId w:val="3"/>
        </w:numPr>
        <w:spacing w:after="120"/>
        <w:jc w:val="both"/>
      </w:pPr>
      <w:r>
        <w:rPr>
          <w:rFonts w:ascii="Georgia" w:cs="Georgia" w:eastAsia="Georgia" w:hAnsi="Georgia"/>
          <w:b w:val="false"/>
          <w:bCs w:val="false"/>
          <w:sz w:val="22"/>
          <w:szCs w:val="22"/>
        </w:rPr>
        <w:t xml:space="preserve">Written confirmation within 10 business days of receipt of this letter that this submission has been received and assigned a case number.</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40"/>
      </w:pPr>
      <w:r>
        <w:rPr>
          <w:rFonts w:ascii="Georgia" w:cs="Georgia" w:eastAsia="Georgia" w:hAnsi="Georgia"/>
          <w:i/>
          <w:iCs/>
          <w:sz w:val="18"/>
          <w:szCs w:val="18"/>
        </w:rPr>
        <w:t xml:space="preserve">CC: DOJ Civil Rights Division — askdoj@usdoj.gov</w:t>
      </w:r>
    </w:p>
    <w:p>
      <w:pPr>
        <w:spacing w:after="40"/>
      </w:pPr>
      <w:r>
        <w:rPr>
          <w:rFonts w:ascii="Georgia" w:cs="Georgia" w:eastAsia="Georgia" w:hAnsi="Georgia"/>
          <w:i/>
          <w:iCs/>
          <w:sz w:val="18"/>
          <w:szCs w:val="18"/>
        </w:rPr>
        <w:t xml:space="preserve">CC: Florida Attorney General — citizen.services@myfloridalegal.com</w:t>
      </w:r>
    </w:p>
    <w:p>
      <w:pPr>
        <w:spacing w:after="40"/>
      </w:pPr>
      <w:r>
        <w:rPr>
          <w:rFonts w:ascii="Georgia" w:cs="Georgia" w:eastAsia="Georgia" w:hAnsi="Georgia"/>
          <w:i/>
          <w:iCs/>
          <w:sz w:val="18"/>
          <w:szCs w:val="18"/>
        </w:rPr>
        <w:t xml:space="preserve">CC: U.S. Attorney MDFL — usaflm.atty@usdoj.gov</w:t>
      </w:r>
    </w:p>
    <w:p>
      <w:pPr>
        <w:spacing w:after="40"/>
      </w:pPr>
      <w:r>
        <w:rPr>
          <w:rFonts w:ascii="Georgia" w:cs="Georgia" w:eastAsia="Georgia" w:hAnsi="Georgia"/>
          <w:i/>
          <w:iCs/>
          <w:sz w:val="18"/>
          <w:szCs w:val="18"/>
        </w:rPr>
        <w:t xml:space="preserve">CC: ACLU of Florida — info@aclufl.org</w:t>
      </w:r>
    </w:p>
    <w:p>
      <w:pPr>
        <w:spacing w:after="40"/>
      </w:pPr>
      <w:r>
        <w:rPr>
          <w:rFonts w:ascii="Georgia" w:cs="Georgia" w:eastAsia="Georgia" w:hAnsi="Georgia"/>
          <w:i/>
          <w:iCs/>
          <w:sz w:val="18"/>
          <w:szCs w:val="18"/>
        </w:rPr>
        <w:t xml:space="preserve">CC: LCSO Internal Affairs — ia@sheriffleefl.org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2026-03-04T18:23:35.903Z</dcterms:created>
  <dcterms:modified xsi:type="dcterms:W3CDTF">2026-03-04T18:23:35.904Z</dcterms:modified>
</cp:coreProperties>
</file>

<file path=docProps/custom.xml><?xml version="1.0" encoding="utf-8"?>
<Properties xmlns="http://schemas.openxmlformats.org/officeDocument/2006/custom-properties" xmlns:vt="http://schemas.openxmlformats.org/officeDocument/2006/docPropsVTypes"/>
</file>