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6"/>
        </w:pBdr>
        <w:spacing w:after="100"/>
        <w:jc w:val="center"/>
      </w:pPr>
      <w:r>
        <w:rPr>
          <w:b/>
          <w:bCs/>
          <w:sz w:val="30"/>
          <w:szCs w:val="30"/>
        </w:rPr>
        <w:t xml:space="preserve">FORMAL WRITTEN OBJECTION TO MISHANDLING OF PUBLIC RECORDS REQUEST</w:t>
      </w:r>
    </w:p>
    <w:p>
      <w:pPr>
        <w:spacing w:after="240"/>
        <w:jc w:val="center"/>
      </w:pPr>
      <w:r>
        <w:rPr>
          <w:b/>
          <w:bCs/>
          <w:sz w:val="24"/>
          <w:szCs w:val="24"/>
        </w:rPr>
        <w:t xml:space="preserve">Demand to Decouple From Closed Case — Florida Statutes Chapter 119</w:t>
      </w:r>
    </w:p>
    <w:p>
      <w:pPr>
        <w:spacing w:after="80"/>
      </w:pPr>
      <w:r>
        <w:rPr>
          <w:b/>
          <w:bCs/>
          <w:sz w:val="24"/>
          <w:szCs w:val="24"/>
        </w:rPr>
        <w:t xml:space="preserve">Date: </w:t>
      </w:r>
      <w:r>
        <w:rPr>
          <w:sz w:val="24"/>
          <w:szCs w:val="24"/>
        </w:rPr>
        <w:t xml:space="preserve">February 25, 2026</w:t>
      </w:r>
    </w:p>
    <w:p>
      <w:pPr>
        <w:spacing w:after="80"/>
      </w:pPr>
      <w:r>
        <w:rPr>
          <w:b/>
          <w:bCs/>
          <w:sz w:val="24"/>
          <w:szCs w:val="24"/>
        </w:rPr>
        <w:t xml:space="preserve">To: </w:t>
      </w:r>
      <w:r>
        <w:rPr>
          <w:sz w:val="24"/>
          <w:szCs w:val="24"/>
        </w:rPr>
        <w:t xml:space="preserve">Lee County Clerk of Courts — Custodian of Public Records</w:t>
      </w:r>
    </w:p>
    <w:p>
      <w:pPr>
        <w:spacing w:after="80"/>
      </w:pPr>
      <w:r>
        <w:rPr>
          <w:b/>
          <w:bCs/>
          <w:sz w:val="24"/>
          <w:szCs w:val="24"/>
        </w:rPr>
        <w:t xml:space="preserve">Address: </w:t>
      </w:r>
      <w:r>
        <w:rPr>
          <w:sz w:val="24"/>
          <w:szCs w:val="24"/>
        </w:rPr>
        <w:t xml:space="preserve">1700 Monroe St, Fort Myers, FL 33902</w:t>
      </w:r>
    </w:p>
    <w:p>
      <w:pPr>
        <w:spacing w:after="80"/>
      </w:pPr>
      <w:r>
        <w:rPr>
          <w:b/>
          <w:bCs/>
          <w:sz w:val="24"/>
          <w:szCs w:val="24"/>
        </w:rPr>
        <w:t xml:space="preserve">CC: </w:t>
      </w:r>
      <w:r>
        <w:rPr>
          <w:sz w:val="24"/>
          <w:szCs w:val="24"/>
        </w:rPr>
        <w:t xml:space="preserve">Cape Coral Branch, Lee County Clerk of Courts</w:t>
      </w:r>
    </w:p>
    <w:p>
      <w:pPr>
        <w:spacing w:after="80"/>
      </w:pPr>
      <w:r>
        <w:rPr>
          <w:b/>
          <w:bCs/>
          <w:sz w:val="24"/>
          <w:szCs w:val="24"/>
        </w:rPr>
        <w:t xml:space="preserve">CC: </w:t>
      </w:r>
      <w:r>
        <w:rPr>
          <w:sz w:val="24"/>
          <w:szCs w:val="24"/>
        </w:rPr>
        <w:t xml:space="preserve">Florida Attorney General — Public Records / Government-in-the-Sunshine Unit</w:t>
      </w:r>
    </w:p>
    <w:p>
      <w:pPr>
        <w:spacing w:after="120"/>
      </w:pPr>
      <w:r>
        <w:rPr>
          <w:sz w:val="24"/>
          <w:szCs w:val="24"/>
        </w:rPr>
        <w:t xml:space="preserve"/>
      </w:r>
    </w:p>
    <w:p>
      <w:pPr>
        <w:spacing w:after="80"/>
      </w:pPr>
      <w:r>
        <w:rPr>
          <w:b/>
          <w:bCs/>
          <w:sz w:val="24"/>
          <w:szCs w:val="24"/>
        </w:rPr>
        <w:t xml:space="preserve">From: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Email: </w:t>
      </w:r>
      <w:r>
        <w:rPr>
          <w:sz w:val="24"/>
          <w:szCs w:val="24"/>
        </w:rPr>
        <w:t xml:space="preserve">davinchicoated@gmail.com</w:t>
      </w:r>
    </w:p>
    <w:p>
      <w:pPr>
        <w:spacing w:after="120"/>
      </w:pPr>
      <w:r>
        <w:rPr>
          <w:sz w:val="24"/>
          <w:szCs w:val="24"/>
        </w:rPr>
        <w:t xml:space="preserve"/>
      </w:r>
    </w:p>
    <w:p>
      <w:pPr>
        <w:spacing w:before="200" w:after="100"/>
      </w:pPr>
      <w:r>
        <w:rPr>
          <w:b/>
          <w:bCs/>
          <w:sz w:val="24"/>
          <w:szCs w:val="24"/>
          <w:u w:val="single"/>
        </w:rPr>
        <w:t xml:space="preserve">BACKGROUND</w:t>
      </w:r>
    </w:p>
    <w:p>
      <w:pPr>
        <w:spacing w:after="140"/>
        <w:jc w:val="both"/>
      </w:pPr>
      <w:r>
        <w:rPr>
          <w:sz w:val="24"/>
          <w:szCs w:val="24"/>
        </w:rPr>
        <w:t xml:space="preserve">On February 25, 2026, the undersigned submitted a Florida Public Records Request under Chapter 119 at the Lee County Clerk of Courts, Cape Coral Branch. The request sought all citations, records, entries, audit logs, and related documentation processed under the undersigned's name on January 28, 2026, including any voided, cancelled, or non-submitted citations arising from a traffic stop at Sanibel Blvd and Acorn Rd, San Carlos Park, Lee County (Citation #26-051270 on file).</w:t>
      </w:r>
    </w:p>
    <w:p>
      <w:pPr>
        <w:spacing w:after="140"/>
        <w:jc w:val="both"/>
      </w:pPr>
      <w:r>
        <w:rPr>
          <w:sz w:val="24"/>
          <w:szCs w:val="24"/>
        </w:rPr>
        <w:t xml:space="preserve">A Clerk employee verbally told the undersigned the request could not "stand alone" and must be tied to a court case. The request was then tied to Citation #26-051270 — already paid and closed. No written denial was issued. No statutory exemption was cited. This is legally incorrect on every level and the undersigned formally objects.</w:t>
      </w:r>
    </w:p>
    <w:p>
      <w:pPr>
        <w:spacing w:after="120"/>
      </w:pPr>
      <w:r>
        <w:rPr>
          <w:sz w:val="24"/>
          <w:szCs w:val="24"/>
        </w:rPr>
        <w:t xml:space="preserve"/>
      </w:r>
    </w:p>
    <w:p>
      <w:pPr>
        <w:spacing w:before="200" w:after="100"/>
      </w:pPr>
      <w:r>
        <w:rPr>
          <w:b/>
          <w:bCs/>
          <w:sz w:val="24"/>
          <w:szCs w:val="24"/>
          <w:u w:val="single"/>
        </w:rPr>
        <w:t xml:space="preserve">CONTROLLING FLORIDA STATUTES</w:t>
      </w:r>
    </w:p>
    <w:p>
      <w:pPr>
        <w:spacing w:after="80"/>
      </w:pPr>
      <w:r>
        <w:rPr>
          <w:b/>
          <w:bCs/>
          <w:sz w:val="24"/>
          <w:szCs w:val="24"/>
        </w:rPr>
        <w:t xml:space="preserve">§ 119.07(1)(a), Fla. Stat.: </w:t>
      </w:r>
      <w:r>
        <w:rPr>
          <w:sz w:val="24"/>
          <w:szCs w:val="24"/>
        </w:rPr>
        <w:t xml:space="preserve">Every custodian of public records SHALL permit inspection and copying by ANY person at any reasonable time. No requirement for a pending court case exists in this provision. The word "shall" is mandatory.</w:t>
      </w:r>
    </w:p>
    <w:p>
      <w:pPr>
        <w:spacing w:after="120"/>
      </w:pPr>
      <w:r>
        <w:rPr>
          <w:sz w:val="24"/>
          <w:szCs w:val="24"/>
        </w:rPr>
        <w:t xml:space="preserve"/>
      </w:r>
    </w:p>
    <w:p>
      <w:pPr>
        <w:spacing w:after="80"/>
      </w:pPr>
      <w:r>
        <w:rPr>
          <w:b/>
          <w:bCs/>
          <w:sz w:val="24"/>
          <w:szCs w:val="24"/>
        </w:rPr>
        <w:t xml:space="preserve">§ 119.07(1)(c), Fla. Stat.: </w:t>
      </w:r>
      <w:r>
        <w:rPr>
          <w:sz w:val="24"/>
          <w:szCs w:val="24"/>
        </w:rPr>
        <w:t xml:space="preserve">When a custodian asserts an exemption, they MUST state the statutory citation in writing. A verbal misdirection does not satisfy this requirement. Failing to provide a written basis for limiting a request is itself a violation.</w:t>
      </w:r>
    </w:p>
    <w:p>
      <w:pPr>
        <w:spacing w:after="120"/>
      </w:pPr>
      <w:r>
        <w:rPr>
          <w:sz w:val="24"/>
          <w:szCs w:val="24"/>
        </w:rPr>
        <w:t xml:space="preserve"/>
      </w:r>
    </w:p>
    <w:p>
      <w:pPr>
        <w:spacing w:after="80"/>
      </w:pPr>
      <w:r>
        <w:rPr>
          <w:b/>
          <w:bCs/>
          <w:sz w:val="24"/>
          <w:szCs w:val="24"/>
        </w:rPr>
        <w:t xml:space="preserve">§ 119.011(12), Fla. Stat.: </w:t>
      </w:r>
      <w:r>
        <w:rPr>
          <w:sz w:val="24"/>
          <w:szCs w:val="24"/>
        </w:rPr>
        <w:t xml:space="preserve">Defines "public records" broadly — all materials made or received in connection with official agency business, regardless of form. Citation records, audit logs, and voided or non-submitted citations all fall within this definition.</w:t>
      </w:r>
    </w:p>
    <w:p>
      <w:pPr>
        <w:spacing w:after="120"/>
      </w:pPr>
      <w:r>
        <w:rPr>
          <w:sz w:val="24"/>
          <w:szCs w:val="24"/>
        </w:rPr>
        <w:t xml:space="preserve"/>
      </w:r>
    </w:p>
    <w:p>
      <w:pPr>
        <w:spacing w:after="80"/>
      </w:pPr>
      <w:r>
        <w:rPr>
          <w:b/>
          <w:bCs/>
          <w:sz w:val="24"/>
          <w:szCs w:val="24"/>
        </w:rPr>
        <w:t xml:space="preserve">§ 119.10(1)(b), Fla. Stat.: </w:t>
      </w:r>
      <w:r>
        <w:rPr>
          <w:sz w:val="24"/>
          <w:szCs w:val="24"/>
        </w:rPr>
        <w:t xml:space="preserve">Willful and knowing violation of Chapter 119 is a first-degree misdemeanor. Deliberately misdirecting a requestor away from their statutory rights may constitute such a violation.</w:t>
      </w:r>
    </w:p>
    <w:p>
      <w:pPr>
        <w:spacing w:after="120"/>
      </w:pPr>
      <w:r>
        <w:rPr>
          <w:sz w:val="24"/>
          <w:szCs w:val="24"/>
        </w:rPr>
        <w:t xml:space="preserve"/>
      </w:r>
    </w:p>
    <w:p>
      <w:pPr>
        <w:spacing w:after="80"/>
      </w:pPr>
      <w:r>
        <w:rPr>
          <w:b/>
          <w:bCs/>
          <w:sz w:val="24"/>
          <w:szCs w:val="24"/>
        </w:rPr>
        <w:t xml:space="preserve">§ 119.11, Fla. Stat.: </w:t>
      </w:r>
      <w:r>
        <w:rPr>
          <w:sz w:val="24"/>
          <w:szCs w:val="24"/>
        </w:rPr>
        <w:t xml:space="preserve">Establishes the right to judicial enforcement. If a court finds an agency unlawfully refused access, it SHALL assess attorney's fees and costs against the agency.</w:t>
      </w:r>
    </w:p>
    <w:p>
      <w:pPr>
        <w:spacing w:after="120"/>
      </w:pPr>
      <w:r>
        <w:rPr>
          <w:sz w:val="24"/>
          <w:szCs w:val="24"/>
        </w:rPr>
        <w:t xml:space="preserve"/>
      </w:r>
    </w:p>
    <w:p>
      <w:pPr>
        <w:spacing w:after="80"/>
      </w:pPr>
      <w:r>
        <w:rPr>
          <w:b/>
          <w:bCs/>
          <w:sz w:val="24"/>
          <w:szCs w:val="24"/>
        </w:rPr>
        <w:t xml:space="preserve">§ 28.222, Fla. Stat.: </w:t>
      </w:r>
      <w:r>
        <w:rPr>
          <w:sz w:val="24"/>
          <w:szCs w:val="24"/>
        </w:rPr>
        <w:t xml:space="preserve">The Clerk of Courts is a ministerial custodian of court records. This duty is not discretionary and does not permit the Clerk to impose conditions on access that are not authorized by statute.</w:t>
      </w:r>
    </w:p>
    <w:p>
      <w:pPr>
        <w:spacing w:after="120"/>
      </w:pPr>
      <w:r>
        <w:rPr>
          <w:sz w:val="24"/>
          <w:szCs w:val="24"/>
        </w:rPr>
        <w:t xml:space="preserve"/>
      </w:r>
    </w:p>
    <w:p>
      <w:pPr>
        <w:spacing w:before="200" w:after="100"/>
      </w:pPr>
      <w:r>
        <w:rPr>
          <w:b/>
          <w:bCs/>
          <w:sz w:val="24"/>
          <w:szCs w:val="24"/>
          <w:u w:val="single"/>
        </w:rPr>
        <w:t xml:space="preserve">CONTROLLING AND PERSUASIVE CASE LAW</w:t>
      </w:r>
    </w:p>
    <w:p>
      <w:pPr>
        <w:spacing w:after="140"/>
        <w:jc w:val="both"/>
      </w:pPr>
      <w:r>
        <w:rPr>
          <w:sz w:val="24"/>
          <w:szCs w:val="24"/>
        </w:rPr>
        <w:t xml:space="preserve">Every Florida court that has addressed this question has held that public records requests are standalone rights. No case law supports the requirement imposed on the undersigned. The following cases are directly on point:</w:t>
      </w:r>
    </w:p>
    <w:p>
      <w:pPr>
        <w:spacing w:after="120"/>
      </w:pPr>
      <w:r>
        <w:rPr>
          <w:sz w:val="24"/>
          <w:szCs w:val="24"/>
        </w:rPr>
        <w:t xml:space="preserve"/>
      </w:r>
    </w:p>
    <w:p>
      <w:pPr>
        <w:spacing w:after="120"/>
        <w:ind w:left="720"/>
        <w:jc w:val="both"/>
      </w:pPr>
      <w:r>
        <w:rPr>
          <w:i/>
          <w:iCs/>
          <w:sz w:val="24"/>
          <w:szCs w:val="24"/>
        </w:rPr>
        <w:t xml:space="preserve">Tribune Co. v. Cannella, 458 So. 2d 1075 (Fla. 1984) </w:t>
      </w:r>
      <w:r>
        <w:rPr>
          <w:sz w:val="24"/>
          <w:szCs w:val="24"/>
        </w:rPr>
        <w:t xml:space="preserve">— Florida Supreme Court — Chapter 119 must be construed LIBERALLY in favor of open government. Restrictions on access must be narrowly construed and must have explicit statutory authorization. No litigation nexus requirement was recognized.</w:t>
      </w:r>
    </w:p>
    <w:p>
      <w:pPr>
        <w:spacing w:after="120"/>
        <w:ind w:left="720"/>
        <w:jc w:val="both"/>
      </w:pPr>
      <w:r>
        <w:rPr>
          <w:i/>
          <w:iCs/>
          <w:sz w:val="24"/>
          <w:szCs w:val="24"/>
        </w:rPr>
        <w:t xml:space="preserve">Wait v. Florida Power &amp; Light Co., 372 So. 2d 420 (Fla. 1979) </w:t>
      </w:r>
      <w:r>
        <w:rPr>
          <w:sz w:val="24"/>
          <w:szCs w:val="24"/>
        </w:rPr>
        <w:t xml:space="preserve">— Florida Supreme Court — the right to inspect public records belongs to EVERY PERSON and is not contingent on demonstrating a particularized interest, legal standing, or a pending legal matter.</w:t>
      </w:r>
    </w:p>
    <w:p>
      <w:pPr>
        <w:spacing w:after="120"/>
        <w:ind w:left="720"/>
        <w:jc w:val="both"/>
      </w:pPr>
      <w:r>
        <w:rPr>
          <w:i/>
          <w:iCs/>
          <w:sz w:val="24"/>
          <w:szCs w:val="24"/>
        </w:rPr>
        <w:t xml:space="preserve">Shevin v. Byron, Harless, Schaffer, Reid and Associates, Inc., 379 So. 2d 633 (Fla. 1980) </w:t>
      </w:r>
      <w:r>
        <w:rPr>
          <w:sz w:val="24"/>
          <w:szCs w:val="24"/>
        </w:rPr>
        <w:t xml:space="preserve">— Florida Supreme Court — public records law must be interpreted with a PRESUMPTION IN FAVOR OF DISCLOSURE. Any doubt must be resolved in favor of the right to access, not in favor of the agency.</w:t>
      </w:r>
    </w:p>
    <w:p>
      <w:pPr>
        <w:spacing w:after="120"/>
        <w:ind w:left="720"/>
        <w:jc w:val="both"/>
      </w:pPr>
      <w:r>
        <w:rPr>
          <w:i/>
          <w:iCs/>
          <w:sz w:val="24"/>
          <w:szCs w:val="24"/>
        </w:rPr>
        <w:t xml:space="preserve">City of Riviera Beach v. Barfield, 642 So. 2d 1135 (Fla. 4th DCA 1994) </w:t>
      </w:r>
      <w:r>
        <w:rPr>
          <w:sz w:val="24"/>
          <w:szCs w:val="24"/>
        </w:rPr>
        <w:t xml:space="preserve">— A public agency CANNOT require a requestor to explain the purpose of a public records request, identify themselves, or demonstrate a legal interest. These conditions are expressly prohibited under Chapter 119.</w:t>
      </w:r>
    </w:p>
    <w:p>
      <w:pPr>
        <w:spacing w:after="120"/>
        <w:ind w:left="720"/>
        <w:jc w:val="both"/>
      </w:pPr>
      <w:r>
        <w:rPr>
          <w:i/>
          <w:iCs/>
          <w:sz w:val="24"/>
          <w:szCs w:val="24"/>
        </w:rPr>
        <w:t xml:space="preserve">Barfield v. City of Tallahassee, 579 So. 2d 1317 (Fla. 1st DCA 1991) </w:t>
      </w:r>
      <w:r>
        <w:rPr>
          <w:sz w:val="24"/>
          <w:szCs w:val="24"/>
        </w:rPr>
        <w:t xml:space="preserve">— A custodian of public records cannot impose CONDITIONS on access that are not authorized by statute. Requiring a pending court case as a condition is not authorized anywhere in Chapter 119.</w:t>
      </w:r>
    </w:p>
    <w:p>
      <w:pPr>
        <w:spacing w:after="120"/>
        <w:ind w:left="720"/>
        <w:jc w:val="both"/>
      </w:pPr>
      <w:r>
        <w:rPr>
          <w:i/>
          <w:iCs/>
          <w:sz w:val="24"/>
          <w:szCs w:val="24"/>
        </w:rPr>
        <w:t xml:space="preserve">Campus Communications, Inc. v. Earnhardt, 821 So. 2d 388 (Fla. 5th DCA 2002) </w:t>
      </w:r>
      <w:r>
        <w:rPr>
          <w:sz w:val="24"/>
          <w:szCs w:val="24"/>
        </w:rPr>
        <w:t xml:space="preserve">— Exemptions to Chapter 119 are to be NARROWLY CONSTRUED. The burden is on the AGENCY to justify any withholding or limitation — not on the requestor to justify access.</w:t>
      </w:r>
    </w:p>
    <w:p>
      <w:pPr>
        <w:spacing w:after="120"/>
        <w:ind w:left="720"/>
        <w:jc w:val="both"/>
      </w:pPr>
      <w:r>
        <w:rPr>
          <w:i/>
          <w:iCs/>
          <w:sz w:val="24"/>
          <w:szCs w:val="24"/>
        </w:rPr>
        <w:t xml:space="preserve">News-Press Publishing Co. v. Wisher, 345 So. 2d 646 (Fla. 1977) </w:t>
      </w:r>
      <w:r>
        <w:rPr>
          <w:sz w:val="24"/>
          <w:szCs w:val="24"/>
        </w:rPr>
        <w:t xml:space="preserve">— Florida Supreme Court — the public records statute reflects a strong legislative policy in favor of the public's right to know. Agency convenience or administrative preference does not override this right.</w:t>
      </w:r>
    </w:p>
    <w:p>
      <w:pPr>
        <w:spacing w:after="120"/>
      </w:pPr>
      <w:r>
        <w:rPr>
          <w:sz w:val="24"/>
          <w:szCs w:val="24"/>
        </w:rPr>
        <w:t xml:space="preserve"/>
      </w:r>
    </w:p>
    <w:p>
      <w:pPr>
        <w:spacing w:after="140"/>
        <w:jc w:val="both"/>
      </w:pPr>
      <w:r>
        <w:rPr>
          <w:sz w:val="24"/>
          <w:szCs w:val="24"/>
        </w:rPr>
        <w:t xml:space="preserve">SUMMARY: Not one Florida statute and not one Florida court has ever held that a public records request must be tied to an open or active court case. The Clerk's position has no legal foundation.</w:t>
      </w:r>
    </w:p>
    <w:p>
      <w:pPr>
        <w:spacing w:after="120"/>
      </w:pPr>
      <w:r>
        <w:rPr>
          <w:sz w:val="24"/>
          <w:szCs w:val="24"/>
        </w:rPr>
        <w:t xml:space="preserve"/>
      </w:r>
    </w:p>
    <w:p>
      <w:pPr>
        <w:spacing w:before="200" w:after="100"/>
      </w:pPr>
      <w:r>
        <w:rPr>
          <w:b/>
          <w:bCs/>
          <w:sz w:val="24"/>
          <w:szCs w:val="24"/>
          <w:u w:val="single"/>
        </w:rPr>
        <w:t xml:space="preserve">WHAT THE CLERK DID WRONG</w:t>
      </w:r>
    </w:p>
    <w:p>
      <w:pPr>
        <w:spacing w:before="160" w:after="60"/>
      </w:pPr>
      <w:r>
        <w:rPr>
          <w:b/>
          <w:bCs/>
          <w:sz w:val="24"/>
          <w:szCs w:val="24"/>
        </w:rPr>
        <w:t xml:space="preserve">1. No Legal Basis for Requiring an Open Court Case</w:t>
      </w:r>
    </w:p>
    <w:p>
      <w:pPr>
        <w:spacing w:after="140"/>
        <w:jc w:val="both"/>
      </w:pPr>
      <w:r>
        <w:rPr>
          <w:sz w:val="24"/>
          <w:szCs w:val="24"/>
        </w:rPr>
        <w:t xml:space="preserve">Florida Statutes § 119.07(1)(a) uses the word SHALL — meaning this is a mandatory, unconditional duty. There is no provision in Chapter 119 permitting the Clerk to require a pending court case as a condition of processing a records request. This condition was invented and has no statutory basis.</w:t>
      </w:r>
    </w:p>
    <w:p>
      <w:pPr>
        <w:spacing w:before="160" w:after="60"/>
      </w:pPr>
      <w:r>
        <w:rPr>
          <w:b/>
          <w:bCs/>
          <w:sz w:val="24"/>
          <w:szCs w:val="24"/>
        </w:rPr>
        <w:t xml:space="preserve">2. Tying the Request to a Closed Case Excluded the Most Important Records</w:t>
      </w:r>
    </w:p>
    <w:p>
      <w:pPr>
        <w:spacing w:after="140"/>
        <w:jc w:val="both"/>
      </w:pPr>
      <w:r>
        <w:rPr>
          <w:sz w:val="24"/>
          <w:szCs w:val="24"/>
        </w:rPr>
        <w:t xml:space="preserve">The undersigned received TWO citations on January 28, 2026. Only one — the insurance citation — appears in the Clerk's system. The registration citation that was the stated basis for the original traffic stop does not appear anywhere in the Clerk's records. By tying the request to the closed insurance case, the Clerk has effectively excluded the records that document this discrepancy — which is the heart of what the undersigned is seeking.</w:t>
      </w:r>
    </w:p>
    <w:p>
      <w:pPr>
        <w:spacing w:before="160" w:after="60"/>
      </w:pPr>
      <w:r>
        <w:rPr>
          <w:b/>
          <w:bCs/>
          <w:sz w:val="24"/>
          <w:szCs w:val="24"/>
        </w:rPr>
        <w:t xml:space="preserve">3. Verbal Misdirection Does Not Satisfy Chapter 119</w:t>
      </w:r>
    </w:p>
    <w:p>
      <w:pPr>
        <w:spacing w:after="140"/>
        <w:jc w:val="both"/>
      </w:pPr>
      <w:r>
        <w:rPr>
          <w:sz w:val="24"/>
          <w:szCs w:val="24"/>
        </w:rPr>
        <w:t xml:space="preserve">Under § 119.07(1)(c), any limitation or denial must be in writing with the specific statutory exemption cited. A verbal misdirection by a counter employee does not constitute a lawful denial. The Clerk is therefore in violation of Chapter 119 for failing to provide a written response.</w:t>
      </w:r>
    </w:p>
    <w:p>
      <w:pPr>
        <w:spacing w:before="160" w:after="60"/>
      </w:pPr>
      <w:r>
        <w:rPr>
          <w:b/>
          <w:bCs/>
          <w:sz w:val="24"/>
          <w:szCs w:val="24"/>
        </w:rPr>
        <w:t xml:space="preserve">4. Internal Deliberation Raises Additional Concerns</w:t>
      </w:r>
    </w:p>
    <w:p>
      <w:pPr>
        <w:spacing w:after="140"/>
        <w:jc w:val="both"/>
      </w:pPr>
      <w:r>
        <w:rPr>
          <w:sz w:val="24"/>
          <w:szCs w:val="24"/>
        </w:rPr>
        <w:t xml:space="preserve">The undersigned was informed by a Fort Myers branch employee that this request had been circulated and discussed among Clerk staff across branches because staff did not know what case to attach it to. This internal deliberation — rather than straightforward Chapter 119 processing — raises concerns about whether the Clerk's handling was influenced by the nature of the request, which involves a civil rights complaint against Lee County Sheriff's Office personnel.</w:t>
      </w:r>
    </w:p>
    <w:p>
      <w:pPr>
        <w:spacing w:before="200" w:after="100"/>
      </w:pPr>
      <w:r>
        <w:rPr>
          <w:b/>
          <w:bCs/>
          <w:sz w:val="24"/>
          <w:szCs w:val="24"/>
          <w:u w:val="single"/>
        </w:rPr>
        <w:t xml:space="preserve">DEMAND</w:t>
      </w:r>
    </w:p>
    <w:p>
      <w:pPr>
        <w:spacing w:after="140"/>
        <w:jc w:val="both"/>
      </w:pPr>
      <w:r>
        <w:rPr>
          <w:sz w:val="24"/>
          <w:szCs w:val="24"/>
        </w:rPr>
        <w:t xml:space="preserve">The undersigned hereby demands the following corrective actions within five (5) business days:</w:t>
      </w:r>
    </w:p>
    <w:p>
      <w:pPr>
        <w:spacing w:after="140"/>
        <w:jc w:val="both"/>
      </w:pPr>
      <w:r>
        <w:rPr>
          <w:sz w:val="24"/>
          <w:szCs w:val="24"/>
        </w:rPr>
        <w:t xml:space="preserve">1. Immediately decouple this public records request from Citation #26-051270 and process it as a standalone Chapter 119 request as required by law.</w:t>
      </w:r>
    </w:p>
    <w:p>
      <w:pPr>
        <w:spacing w:after="140"/>
        <w:jc w:val="both"/>
      </w:pPr>
      <w:r>
        <w:rPr>
          <w:sz w:val="24"/>
          <w:szCs w:val="24"/>
        </w:rPr>
        <w:t xml:space="preserve">2. Provide a written response identifying all records available, all records being withheld, and the specific statutory exemption for any withholding — as required by § 119.07(1)(c).</w:t>
      </w:r>
    </w:p>
    <w:p>
      <w:pPr>
        <w:spacing w:after="140"/>
        <w:jc w:val="both"/>
      </w:pPr>
      <w:r>
        <w:rPr>
          <w:sz w:val="24"/>
          <w:szCs w:val="24"/>
        </w:rPr>
        <w:t>3. Produce a complete audit trail of all citations processed, voided, cancelled, or not submitted under the name Joseph Anthony Rivera, DOB [REDACTED], driver license R215978489000, on January 28, 2026.</w:t>
      </w:r>
    </w:p>
    <w:p>
      <w:pPr>
        <w:spacing w:after="140"/>
        <w:jc w:val="both"/>
      </w:pPr>
      <w:r>
        <w:rPr>
          <w:sz w:val="24"/>
          <w:szCs w:val="24"/>
        </w:rPr>
        <w:t xml:space="preserve">4. Confirm in writing that this objection has been received and forwarded to the appropriate supervisory personnel.</w:t>
      </w:r>
    </w:p>
    <w:p>
      <w:pPr>
        <w:spacing w:after="140"/>
        <w:jc w:val="both"/>
      </w:pPr>
      <w:r>
        <w:rPr>
          <w:sz w:val="24"/>
          <w:szCs w:val="24"/>
        </w:rPr>
        <w:t xml:space="preserve">Failure to comply will result in a complaint to the Florida Attorney General's Public Records Unit and a petition for judicial enforcement under Florida Statutes § 119.11, including a request for attorney's fees and costs.</w:t>
      </w:r>
    </w:p>
    <w:p>
      <w:pPr>
        <w:spacing w:after="200"/>
      </w:pPr>
      <w:r>
        <w:rPr>
          <w:sz w:val="24"/>
          <w:szCs w:val="24"/>
        </w:rPr>
        <w:t xml:space="preserve"/>
      </w:r>
    </w:p>
    <w:p>
      <w:pPr>
        <w:pBdr>
          <w:top w:val="single" w:color="000000" w:sz="4" w:space="6"/>
        </w:pBdr>
        <w:spacing w:before="240" w:after="100"/>
      </w:pPr>
      <w:r>
        <w:rPr>
          <w:b/>
          <w:bCs/>
          <w:sz w:val="24"/>
          <w:szCs w:val="24"/>
        </w:rPr>
        <w:t xml:space="preserve">Submitted By:</w:t>
      </w:r>
    </w:p>
    <w:p>
      <w:pPr>
        <w:spacing w:after="80"/>
      </w:pPr>
      <w:r>
        <w:rPr>
          <w:b/>
          <w:bCs/>
          <w:sz w:val="24"/>
          <w:szCs w:val="24"/>
        </w:rPr>
        <w:t xml:space="preserve">Name: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Email: </w:t>
      </w:r>
      <w:r>
        <w:rPr>
          <w:sz w:val="24"/>
          <w:szCs w:val="24"/>
        </w:rPr>
        <w:t xml:space="preserve">davinchicoated@gmail.com</w:t>
      </w:r>
    </w:p>
    <w:p>
      <w:pPr>
        <w:spacing w:after="80"/>
      </w:pPr>
      <w:r>
        <w:rPr>
          <w:b/>
          <w:bCs/>
          <w:sz w:val="24"/>
          <w:szCs w:val="24"/>
        </w:rPr>
        <w:t xml:space="preserve">Phone: </w:t>
      </w:r>
      <w:r>
        <w:rPr>
          <w:sz w:val="24"/>
          <w:szCs w:val="24"/>
        </w:rPr>
        <w:t>(239) 220-9313</w:t>
      </w:r>
    </w:p>
    <w:p>
      <w:pPr>
        <w:spacing w:after="200"/>
      </w:pPr>
      <w:r>
        <w:rPr>
          <w:sz w:val="24"/>
          <w:szCs w:val="24"/>
        </w:rPr>
        <w:t xml:space="preserve"/>
      </w:r>
    </w:p>
    <w:p>
      <w:pPr>
        <w:spacing w:after="80"/>
      </w:pPr>
      <w:r>
        <w:rPr>
          <w:b/>
          <w:bCs/>
          <w:sz w:val="24"/>
          <w:szCs w:val="24"/>
        </w:rPr>
        <w:t xml:space="preserve">Signature: </w:t>
      </w:r>
      <w:r>
        <w:rPr>
          <w:sz w:val="24"/>
          <w:szCs w:val="24"/>
        </w:rPr>
        <w:t xml:space="preserve">______________________________</w:t>
      </w:r>
    </w:p>
    <w:p>
      <w:pPr>
        <w:spacing w:after="80"/>
      </w:pPr>
      <w:r>
        <w:rPr>
          <w:b/>
          <w:bCs/>
          <w:sz w:val="24"/>
          <w:szCs w:val="24"/>
        </w:rPr>
        <w:t xml:space="preserve">Date: </w:t>
      </w:r>
      <w:r>
        <w:rPr>
          <w:sz w:val="24"/>
          <w:szCs w:val="24"/>
        </w:rPr>
        <w:t xml:space="preserve">February 25,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2026-02-26T02:24:56.840Z</dcterms:created>
  <dcterms:modified xsi:type="dcterms:W3CDTF">2026-02-26T02:24:56.842Z</dcterms:modified>
</cp:coreProperties>
</file>

<file path=docProps/custom.xml><?xml version="1.0" encoding="utf-8"?>
<Properties xmlns="http://schemas.openxmlformats.org/officeDocument/2006/custom-properties" xmlns:vt="http://schemas.openxmlformats.org/officeDocument/2006/docPropsVTypes"/>
</file>