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before="0" w:after="80" w:line="276" w:lineRule="auto"/>
        <w:contextualSpacing/>
        <w:jc w:val="center"/>
      </w:pPr>
      <w:r>
        <w:rPr>
          <w:rFonts w:ascii="Arial" w:cs="Arial" w:eastAsia="Arial" w:hAnsi="Arial"/>
          <w:b/>
          <w:bCs/>
          <w:sz w:val="28"/>
          <w:szCs w:val="28"/>
        </w:rPr>
        <w:t xml:space="preserve">FORMAL COMPLAINT — PATTERN AND PRACTICE OF LAW ENFORCEMENT MISCONDUCT</w:t>
      </w:r>
    </w:p>
    <w:p>
      <w:pPr>
        <w:spacing w:before="0" w:after="80" w:line="276" w:lineRule="auto"/>
        <w:contextualSpacing/>
        <w:jc w:val="center"/>
      </w:pPr>
      <w:r>
        <w:rPr>
          <w:rFonts w:ascii="Arial" w:cs="Arial" w:eastAsia="Arial" w:hAnsi="Arial"/>
          <w:b/>
          <w:bCs/>
          <w:sz w:val="24"/>
          <w:szCs w:val="24"/>
        </w:rPr>
        <w:t xml:space="preserve">Florida Attorney General — Office of Citizen Services</w:t>
      </w:r>
    </w:p>
    <w:p>
      <w:pPr>
        <w:spacing w:before="0" w:after="80" w:line="276" w:lineRule="auto"/>
        <w:contextualSpacing/>
        <w:jc w:val="center"/>
      </w:pPr>
      <w:r>
        <w:rPr>
          <w:rFonts w:ascii="Arial" w:cs="Arial" w:eastAsia="Arial" w:hAnsi="Arial"/>
          <w:b/>
          <w:bCs/>
          <w:sz w:val="24"/>
          <w:szCs w:val="24"/>
        </w:rPr>
        <w:t xml:space="preserve">Chapter 119 Violations, Officer Misconduct Pattern, Monell Evidence</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Date: </w:t>
      </w:r>
      <w:r>
        <w:rPr>
          <w:rFonts w:ascii="Arial" w:cs="Arial" w:eastAsia="Arial" w:hAnsi="Arial"/>
          <w:sz w:val="24"/>
          <w:szCs w:val="24"/>
        </w:rPr>
        <w:t>March ___, 2026</w:t>
      </w:r>
    </w:p>
    <w:p>
      <w:pPr>
        <w:spacing w:before="0" w:after="60" w:line="276" w:lineRule="auto"/>
        <w:contextualSpacing/>
      </w:pPr>
      <w:r>
        <w:rPr>
          <w:rFonts w:ascii="Arial" w:cs="Arial" w:eastAsia="Arial" w:hAnsi="Arial"/>
          <w:b/>
          <w:bCs/>
          <w:sz w:val="24"/>
          <w:szCs w:val="24"/>
        </w:rPr>
        <w:t xml:space="preserve">To: </w:t>
      </w:r>
      <w:r>
        <w:rPr>
          <w:rFonts w:ascii="Arial" w:cs="Arial" w:eastAsia="Arial" w:hAnsi="Arial"/>
          <w:sz w:val="24"/>
          <w:szCs w:val="24"/>
        </w:rPr>
        <w:t xml:space="preserve">Florida Attorney General — Office of Citizen Services</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Office of Attorney General, The Capitol PL-01, Tallahassee, FL 32399-1050</w:t>
      </w:r>
    </w:p>
    <w:p>
      <w:pPr>
        <w:spacing w:before="0" w:after="60" w:line="276" w:lineRule="auto"/>
        <w:contextualSpacing/>
      </w:pPr>
      <w:r>
        <w:rPr>
          <w:rFonts w:ascii="Arial" w:cs="Arial" w:eastAsia="Arial" w:hAnsi="Arial"/>
          <w:b/>
          <w:bCs/>
          <w:sz w:val="24"/>
          <w:szCs w:val="24"/>
        </w:rPr>
        <w:t xml:space="preserve">Email: </w:t>
      </w:r>
      <w:r>
        <w:rPr>
          <w:rFonts w:ascii="Arial" w:cs="Arial" w:eastAsia="Arial" w:hAnsi="Arial"/>
          <w:sz w:val="24"/>
          <w:szCs w:val="24"/>
        </w:rPr>
        <w:t xml:space="preserve">citizenservices@myfloridalegal.com</w:t>
      </w:r>
    </w:p>
    <w:p>
      <w:pPr>
        <w:spacing w:before="0" w:after="60" w:line="276" w:lineRule="auto"/>
        <w:contextualSpacing/>
      </w:pPr>
      <w:r>
        <w:rPr>
          <w:rFonts w:ascii="Arial" w:cs="Arial" w:eastAsia="Arial" w:hAnsi="Arial"/>
          <w:b/>
          <w:bCs/>
          <w:sz w:val="24"/>
          <w:szCs w:val="24"/>
        </w:rPr>
        <w:t xml:space="preserve">Phone: </w:t>
      </w:r>
      <w:r>
        <w:rPr>
          <w:rFonts w:ascii="Arial" w:cs="Arial" w:eastAsia="Arial" w:hAnsi="Arial"/>
          <w:sz w:val="24"/>
          <w:szCs w:val="24"/>
        </w:rPr>
        <w:t xml:space="preserve">1-866-966-7226</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From: </w:t>
      </w:r>
      <w:r>
        <w:rPr>
          <w:rFonts w:ascii="Arial" w:cs="Arial" w:eastAsia="Arial" w:hAnsi="Arial"/>
          <w:sz w:val="24"/>
          <w:szCs w:val="24"/>
        </w:rPr>
        <w:t xml:space="preserve">Joseph Anthony Rivera</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1435 SE 10th Ter, Cape Coral, FL 33990</w:t>
      </w:r>
    </w:p>
    <w:p>
      <w:pPr>
        <w:spacing w:before="0" w:after="60" w:line="276" w:lineRule="auto"/>
        <w:contextualSpacing/>
      </w:pPr>
      <w:r>
        <w:rPr>
          <w:rFonts w:ascii="Arial" w:cs="Arial" w:eastAsia="Arial" w:hAnsi="Arial"/>
          <w:b/>
          <w:bCs/>
          <w:sz w:val="24"/>
          <w:szCs w:val="24"/>
        </w:rPr>
        <w:t xml:space="preserve">Phone: </w:t>
      </w:r>
      <w:r>
        <w:rPr>
          <w:rFonts w:ascii="Arial" w:cs="Arial" w:eastAsia="Arial" w:hAnsi="Arial"/>
          <w:sz w:val="24"/>
          <w:szCs w:val="24"/>
        </w:rPr>
        <w:t xml:space="preserve">(239) 220-9313</w:t>
      </w:r>
    </w:p>
    <w:p>
      <w:pPr>
        <w:spacing w:before="0" w:after="60" w:line="276" w:lineRule="auto"/>
        <w:contextualSpacing/>
      </w:pPr>
      <w:r>
        <w:rPr>
          <w:rFonts w:ascii="Arial" w:cs="Arial" w:eastAsia="Arial" w:hAnsi="Arial"/>
          <w:b/>
          <w:bCs/>
          <w:sz w:val="24"/>
          <w:szCs w:val="24"/>
        </w:rPr>
        <w:t xml:space="preserve">Email: </w:t>
      </w:r>
      <w:r>
        <w:rPr>
          <w:rFonts w:ascii="Arial" w:cs="Arial" w:eastAsia="Arial" w:hAnsi="Arial"/>
          <w:sz w:val="24"/>
          <w:szCs w:val="24"/>
        </w:rPr>
        <w:t xml:space="preserve">davinchicoated@gmail.com</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PURPOSE OF THIS COMPLAINT</w:t>
      </w:r>
    </w:p>
    <w:p>
      <w:pPr>
        <w:spacing w:before="0" w:after="100" w:line="276" w:lineRule="auto"/>
        <w:contextualSpacing/>
        <w:jc w:val="both"/>
      </w:pPr>
      <w:r>
        <w:rPr>
          <w:rFonts w:ascii="Arial" w:cs="Arial" w:eastAsia="Arial" w:hAnsi="Arial"/>
          <w:sz w:val="24"/>
          <w:szCs w:val="24"/>
        </w:rPr>
        <w:t xml:space="preserve">The undersigned files this formal complaint with the Florida Attorney General's Office of Citizen Services regarding two distinct categories of government misconduct: first, a pattern of constitutional violations by the Lee County Sheriff's Office documented across multiple years and multiple victims; and second, documented violations of Florida Statutes Chapter 119 by three separate Lee County government agencies following the undersigned's formal public records requests.</w:t>
      </w:r>
    </w:p>
    <w:p>
      <w:pPr>
        <w:spacing w:before="0" w:after="100" w:line="276" w:lineRule="auto"/>
        <w:contextualSpacing/>
        <w:jc w:val="both"/>
      </w:pPr>
      <w:r>
        <w:rPr>
          <w:rFonts w:ascii="Arial" w:cs="Arial" w:eastAsia="Arial" w:hAnsi="Arial"/>
          <w:sz w:val="24"/>
          <w:szCs w:val="24"/>
        </w:rPr>
        <w:t xml:space="preserve">The Florida Attorney General is the chief legal officer of the State of Florida and has authority to investigate state and local government agencies for violations of Florida law including Chapter 119, Florida's public records law. The multi-agency Chapter 119 obstruction documented below, combined with the broader pattern of LCSO misconduct, warrants the Attorney General's attention and formal investigation.</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INCIDENT SUMMARY — JANUARY 28, 2026</w:t>
      </w:r>
    </w:p>
    <w:p>
      <w:pPr>
        <w:spacing w:before="0" w:after="100" w:line="276" w:lineRule="auto"/>
        <w:contextualSpacing/>
        <w:jc w:val="both"/>
      </w:pPr>
      <w:r>
        <w:rPr>
          <w:rFonts w:ascii="Arial" w:cs="Arial" w:eastAsia="Arial" w:hAnsi="Arial"/>
          <w:sz w:val="24"/>
          <w:szCs w:val="24"/>
        </w:rPr>
        <w:t xml:space="preserve">On January 28, 2026, at approximately 3:40 PM, LCSO Deputy Steven Rogers (Badge #22234) conducted a pretextual traffic stop of Mr. Rivera at Sanibel Boulevard and Acorn Road, San Carlos Park, Lee County, Florida. Four deputies physically removed Mr. Rivera from his vehicle, took him to the ground, handcuffed him, and detained him in a patrol vehicle for approximately two to three hours. No charges were ever filed. A warrantless destructive vehicle search caused documented property damage. An officer seized Mr. Rivera's iPhone and deleted video footage he had recorded of the encounter — a clear First Amendment violation. One of two citations issued never appeared in the Lee County Clerk of Courts system. A corroborating witness was present and possesses independent video footage.</w:t>
      </w:r>
    </w:p>
    <w:p>
      <w:pPr>
        <w:spacing w:before="0" w:after="100" w:line="276" w:lineRule="auto"/>
        <w:contextualSpacing/>
        <w:jc w:val="both"/>
      </w:pPr>
      <w:r>
        <w:rPr>
          <w:rFonts w:ascii="Arial" w:cs="Arial" w:eastAsia="Arial" w:hAnsi="Arial"/>
          <w:sz w:val="24"/>
          <w:szCs w:val="24"/>
        </w:rPr>
        <w:t xml:space="preserve">Constitutional violations: First Amendment (officer deletion of recorded footage), Fourth Amendment (pretextual stop, warrantless arrest, multi-hour detention without probable cause, destructive warrantless vehicle search), Fifth Amendment (coercive Baker Act threat used as intimidation), 42 U.S.C. Section 1983, Florida Statutes Chapter 119 obstruction across three agencies, and potential Stored Communications Act violations.</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MONELL LIABILITY — DOCUMENTED PATTERN AND PRACTICE OF LCSO</w:t>
      </w:r>
    </w:p>
    <w:p>
      <w:pPr>
        <w:spacing w:before="0" w:after="100" w:line="276" w:lineRule="auto"/>
        <w:contextualSpacing/>
        <w:jc w:val="both"/>
      </w:pPr>
      <w:r>
        <w:rPr>
          <w:rFonts w:ascii="Arial" w:cs="Arial" w:eastAsia="Arial" w:hAnsi="Arial"/>
          <w:sz w:val="24"/>
          <w:szCs w:val="24"/>
        </w:rPr>
        <w:t xml:space="preserve">Under Monell v. Department of Social Services, 436 U.S. 658 (1978), a government agency is liable under 42 U.S.C. Section 1983 when the constitutional violation results from an official policy, custom, or pattern of the agency. Mr. Rivera's case is not an isolated incident. The following documented cases establish that LCSO has a recurring institutional pattern of the same constitutional violations Mr. Rivera experienced: physical force used during stops without charges filed, Baker Act weaponized against non-criminal subjects, supervisors failing to document misconduct, records going missing, and command-level culture endorsing conduct that violates LCSO's own written policies.</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1 — Samek v. LCSO (2023) — Excessive Force, No Charges, Documentation Failure</w:t>
      </w:r>
    </w:p>
    <w:p>
      <w:pPr>
        <w:spacing w:before="0" w:after="100" w:line="276" w:lineRule="auto"/>
        <w:contextualSpacing/>
        <w:jc w:val="both"/>
      </w:pPr>
      <w:r>
        <w:rPr>
          <w:rFonts w:ascii="Arial" w:cs="Arial" w:eastAsia="Arial" w:hAnsi="Arial"/>
          <w:sz w:val="24"/>
          <w:szCs w:val="24"/>
        </w:rPr>
        <w:t xml:space="preserve">Cory Samek was arrested near a gas station in Lee County in August 2023. His booking photo showed significant facial injuries. All charges were subsequently dropped. LCSO's internal investigation found improper use of force and documentation failures. Sergeant Christopher Meyer was fired. Deputies Bradley Davidson and Alexander Ricci were fired. Captain John Desrosiers was demoted specifically for failing to ensure the incident was documented. PARALLEL: Mr. Rivera was physically taken to the ground by four deputies near a commercial location. No charges were filed. A supervising Sergeant refused to document vehicle damage Mr. Rivera showed him and drove away.</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2 — King v. LCSO (2024) — Baker Act as Weapon, Two-Hour Patrol Vehicle Detention</w:t>
      </w:r>
    </w:p>
    <w:p>
      <w:pPr>
        <w:spacing w:before="0" w:after="100" w:line="276" w:lineRule="auto"/>
        <w:contextualSpacing/>
        <w:jc w:val="both"/>
      </w:pPr>
      <w:r>
        <w:rPr>
          <w:rFonts w:ascii="Arial" w:cs="Arial" w:eastAsia="Arial" w:hAnsi="Arial"/>
          <w:sz w:val="24"/>
          <w:szCs w:val="24"/>
        </w:rPr>
        <w:t xml:space="preserve">Cape Coral resident Tammy King, age 49, was physically forced into a patrol vehicle by LCSO deputies despite no criminal charges, pepper-sprayed, and held for nearly two hours. She was subjected to a Baker Act threat. A federal lawsuit was filed April 24, 2024, in the U.S. District Court for the Middle District of Florida seeking over $100 million in damages. PARALLEL: Mr. Rivera was physically detained in a patrol vehicle for approximately two to three hours without charges and subjected to a coercive Baker Act threat. The King case establishes this is a recurring LCSO tactic, not an isolated event.</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3 — Riley v. LCSO — Planted Evidence, Active Record Expungement</w:t>
      </w:r>
    </w:p>
    <w:p>
      <w:pPr>
        <w:spacing w:before="0" w:after="100" w:line="276" w:lineRule="auto"/>
        <w:contextualSpacing/>
        <w:jc w:val="both"/>
      </w:pPr>
      <w:r>
        <w:rPr>
          <w:rFonts w:ascii="Arial" w:cs="Arial" w:eastAsia="Arial" w:hAnsi="Arial"/>
          <w:sz w:val="24"/>
          <w:szCs w:val="24"/>
        </w:rPr>
        <w:t xml:space="preserve">Realtor Mark Riley filed a federal lawsuit alleging a former LCSO deputy planted drug evidence on him and that LCSO subsequently expunged records connected to the misconduct. PARALLEL: Mr. Rivera's primary traffic citation never appeared in the Clerk of Courts system. An officer deleted his video recording while his phone was in law enforcement custody. The Riley case establishes that record manipulation at LCSO is a documented allegation with federal litigation behind it, not a theoretical concern.</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4 — San Carlos Park Teen Tased by FHP (2021) — Pretextual Stop, Same Patrol Area, Officer Fired</w:t>
      </w:r>
    </w:p>
    <w:p>
      <w:pPr>
        <w:spacing w:before="0" w:after="100" w:line="276" w:lineRule="auto"/>
        <w:contextualSpacing/>
        <w:jc w:val="both"/>
      </w:pPr>
      <w:r>
        <w:rPr>
          <w:rFonts w:ascii="Arial" w:cs="Arial" w:eastAsia="Arial" w:hAnsi="Arial"/>
          <w:sz w:val="24"/>
          <w:szCs w:val="24"/>
        </w:rPr>
        <w:t xml:space="preserve">In June 2021, Florida Highway Patrol Trooper George Smyrnios tased a 16-year-old in San Carlos Park — the same geographic area as Mr. Rivera's January 28, 2026 stop. The trooper called the teen "suspicious" with no objective basis. The State Attorney of the 20th Judicial Circuit filed a no prosecution order. An independent law enforcement expert concluded the trooper violated FHP's use of force policy, conducted an unlawful search, and that the second Taser deployment constituted excessive force. FHP internal investigation found excessive force and record falsification. The trooper was dismissed. PARALLEL: Mr. Rivera was stopped in the same patrol area under pretextual circumstances. No charges were filed. An officer deleted records. This case establishes San Carlos Park as a geographic area with a prior documented history of pretextual enforcement, record falsification, and excessive force.</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5 — Sheriff Marceno Video — Command-Level Culture of Street Justice (Monell Policy)</w:t>
      </w:r>
    </w:p>
    <w:p>
      <w:pPr>
        <w:spacing w:before="0" w:after="100" w:line="276" w:lineRule="auto"/>
        <w:contextualSpacing/>
        <w:jc w:val="both"/>
      </w:pPr>
      <w:r>
        <w:rPr>
          <w:rFonts w:ascii="Arial" w:cs="Arial" w:eastAsia="Arial" w:hAnsi="Arial"/>
          <w:sz w:val="24"/>
          <w:szCs w:val="24"/>
        </w:rPr>
        <w:t xml:space="preserve">Three independent law enforcement experts — a retired U.S. State Department Director of Law Enforcement Training, a retired FBI Supervisory Special Agent, and the former Fort Myers Police Deputy Chief — reviewed footage of Sheriff Carmine Marceno recorded inside LCSO headquarters. All three concluded that Marceno's words and delivery send a message that street justice is not only permitted but encouraged, in direct contradiction to LCSO's own written Response to Resistance policy. Under Monell, a municipality is liable under Section 1983 when unconstitutional conduct flows from a policy set at the command level. The sitting Sheriff's documented endorsement of conduct that violates his own agency's written policy is precisely the type of command-level custom that Monell addresses.</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6 — Multi-Agency Institutional Obstruction Pattern (Post-Incident)</w:t>
      </w:r>
    </w:p>
    <w:p>
      <w:pPr>
        <w:spacing w:before="0" w:after="100" w:line="276" w:lineRule="auto"/>
        <w:contextualSpacing/>
        <w:jc w:val="both"/>
      </w:pPr>
      <w:r>
        <w:rPr>
          <w:rFonts w:ascii="Arial" w:cs="Arial" w:eastAsia="Arial" w:hAnsi="Arial"/>
          <w:sz w:val="24"/>
          <w:szCs w:val="24"/>
        </w:rPr>
        <w:t>Following Mr. Rivera's formal complaints and public records requests, three separate government agencies responded in ways that functioned to obstruct rather than investigate. LCSO quoted fees of $150 per video for body camera footage with no written statutory basis — inconsistent with Florida Statutes Section 119.07. FDLE verbally told Mr. Rivera they do not investigate individual officer misconduct — a statement that contradicts their authority under Florida Statutes Chapter 943. The Lee County Clerk of Courts refused to process a standalone Chapter 119 public records request and a clerk stated on video that she would not listen to any legal arguments. All three interactions are documented: the LCSO interaction by stamped receipt; the FDLE interaction by stamped signed receipt and Rivera's parking lot video narrating the verbal declination on camera immediately after exiting the building; and the Clerk of Courts interaction by video recording. This coordinated multi-agency obstruction is itself evidence of an institutional culture that protects rather than investigates officer misconduct.</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CHAPTER 119 VIOLATIONS — THREE AGENCIES</w:t>
      </w:r>
    </w:p>
    <w:p>
      <w:pPr>
        <w:spacing w:before="0" w:after="100" w:line="276" w:lineRule="auto"/>
        <w:contextualSpacing/>
        <w:jc w:val="both"/>
      </w:pPr>
      <w:r>
        <w:rPr>
          <w:rFonts w:ascii="Arial" w:cs="Arial" w:eastAsia="Arial" w:hAnsi="Arial"/>
          <w:sz w:val="24"/>
          <w:szCs w:val="24"/>
        </w:rPr>
        <w:t xml:space="preserve">Following the January 28, 2026 incident, the undersigned submitted formal public records requests to three Lee County government agencies. Each agency responded in a manner that violated Florida Statutes Chapter 119, all of which is documented with video recordings and stamped receipts.</w:t>
      </w:r>
    </w:p>
    <w:p>
      <w:pPr>
        <w:spacing w:before="0" w:after="100" w:line="276" w:lineRule="auto"/>
        <w:contextualSpacing/>
        <w:jc w:val="both"/>
      </w:pPr>
      <w:r>
        <w:rPr>
          <w:rFonts w:ascii="Arial" w:cs="Arial" w:eastAsia="Arial" w:hAnsi="Arial"/>
          <w:sz w:val="24"/>
          <w:szCs w:val="24"/>
        </w:rPr>
        <w:t xml:space="preserve">LCSO Records Division: Quoted fees of approximately $150 per body camera video plus hourly charges with no written statutory justification. Florida Statutes Section 119.07(4) limits fees to actual cost of duplication and actual clerical labor at the lowest applicable pay grade. A flat $150 per video has no basis in Florida law. This conduct is documented by a written fee estimate from LCSO.</w:t>
      </w:r>
    </w:p>
    <w:p>
      <w:pPr>
        <w:spacing w:before="0" w:after="100" w:line="276" w:lineRule="auto"/>
        <w:contextualSpacing/>
        <w:jc w:val="both"/>
      </w:pPr>
      <w:r>
        <w:rPr>
          <w:rFonts w:ascii="Arial" w:cs="Arial" w:eastAsia="Arial" w:hAnsi="Arial"/>
          <w:sz w:val="24"/>
          <w:szCs w:val="24"/>
        </w:rPr>
        <w:t xml:space="preserve">Lee County Clerk of Courts: A clerk representative verbally stated that standalone paper Chapter 119 requests cannot be processed and must be tied to a closed court case, and that online submission is the only method. Both statements contradict Chapter 119, which imposes no such requirements. When the undersigned cited applicable law, the clerk stated on video that she would not listen to any legal arguments. This constitutes willful violation of Chapter 119 under Florida Statutes Section 119.10, a first-degree misdemeanor. The interaction is documented on video.</w:t>
      </w:r>
    </w:p>
    <w:p>
      <w:pPr>
        <w:spacing w:before="0" w:after="100" w:line="276" w:lineRule="auto"/>
        <w:contextualSpacing/>
        <w:jc w:val="both"/>
      </w:pPr>
      <w:r>
        <w:rPr>
          <w:rFonts w:ascii="Arial" w:cs="Arial" w:eastAsia="Arial" w:hAnsi="Arial"/>
          <w:sz w:val="24"/>
          <w:szCs w:val="24"/>
        </w:rPr>
        <w:t xml:space="preserve">FDLE Lee County Regional Operations Center: An officer verbally declined the undersigned's formal written complaint on the grounds that FDLE does not investigate individual officer misconduct. This misrepresents FDLE's authority under Florida Statutes Chapter 943 and functioned to obstruct the undersigned's access to the complaint process. No written response was provided despite the undersigned's formal written submission.</w:t>
      </w:r>
    </w:p>
    <w:p>
      <w:pPr>
        <w:spacing w:before="140" w:after="80" w:line="276" w:lineRule="auto"/>
        <w:contextualSpacing/>
      </w:pPr>
      <w:r>
        <w:rPr>
          <w:rFonts w:ascii="Arial" w:cs="Arial" w:eastAsia="Arial" w:hAnsi="Arial"/>
          <w:b/>
          <w:bCs/>
          <w:sz w:val="24"/>
          <w:szCs w:val="24"/>
          <w:u w:val="single"/>
        </w:rPr>
        <w:t xml:space="preserve">WHAT THE UNDERSIGNED REQUESTS OF THE ATTORNEY GENERAL</w:t>
      </w:r>
    </w:p>
    <w:p>
      <w:pPr>
        <w:spacing w:before="0" w:after="100" w:line="276" w:lineRule="auto"/>
        <w:contextualSpacing/>
        <w:jc w:val="both"/>
      </w:pPr>
      <w:r>
        <w:rPr>
          <w:rFonts w:ascii="Arial" w:cs="Arial" w:eastAsia="Arial" w:hAnsi="Arial"/>
          <w:sz w:val="24"/>
          <w:szCs w:val="24"/>
        </w:rPr>
        <w:t xml:space="preserve">The undersigned requests that the Attorney General's Office review the Chapter 119 violations documented above and take appropriate action under Florida Statutes Section 119.10 and Section 119.11. The undersigned further requests that the Attorney General's Office review the pattern of LCSO misconduct documented in this letter and determine whether a state-level pattern or practice investigation is warranted.</w:t>
      </w:r>
    </w:p>
    <w:p>
      <w:pPr>
        <w:spacing w:before="0" w:after="100" w:line="276" w:lineRule="auto"/>
        <w:contextualSpacing/>
        <w:jc w:val="both"/>
      </w:pPr>
      <w:r>
        <w:rPr>
          <w:rFonts w:ascii="Arial" w:cs="Arial" w:eastAsia="Arial" w:hAnsi="Arial"/>
          <w:sz w:val="24"/>
          <w:szCs w:val="24"/>
        </w:rPr>
        <w:t xml:space="preserve">The undersigned is simultaneously pursuing federal remedies through the DOJ Civil Rights Division, the U.S. Attorney's Office for the Middle District of Florida, and private Section 1983 litigation. A state-level Attorney General investigation would complement rather than duplicate these efforts and would address the Chapter 119 violations that fall outside federal jurisdiction.</w:t>
      </w:r>
    </w:p>
    <w:p>
      <w:pPr>
        <w:spacing w:before="0" w:after="80" w:line="200" w:lineRule="auto"/>
        <w:contextualSpacing/>
      </w:pPr>
      <w:r>
        <w:rPr>
          <w:rFonts w:ascii="Arial" w:cs="Arial" w:eastAsia="Arial" w:hAnsi="Arial"/>
          <w:sz w:val="24"/>
          <w:szCs w:val="24"/>
        </w:rPr>
        <w:t xml:space="preserve"/>
      </w:r>
    </w:p>
    <w:p>
      <w:pPr>
        <w:pBdr>
          <w:top w:val="single" w:color="000000" w:sz="4" w:space="4"/>
        </w:pBdr>
        <w:spacing w:before="160" w:after="80" w:line="276" w:lineRule="auto"/>
        <w:contextualSpacing/>
      </w:pPr>
      <w:r>
        <w:rPr>
          <w:rFonts w:ascii="Arial" w:cs="Arial" w:eastAsia="Arial" w:hAnsi="Arial"/>
          <w:b/>
          <w:bCs/>
          <w:sz w:val="24"/>
          <w:szCs w:val="24"/>
        </w:rPr>
        <w:t xml:space="preserve">Respectfully Submitted By:</w:t>
      </w:r>
    </w:p>
    <w:p>
      <w:pPr>
        <w:spacing w:before="0" w:after="60" w:line="276" w:lineRule="auto"/>
        <w:contextualSpacing/>
      </w:pPr>
      <w:r>
        <w:rPr>
          <w:rFonts w:ascii="Arial" w:cs="Arial" w:eastAsia="Arial" w:hAnsi="Arial"/>
          <w:b/>
          <w:bCs/>
          <w:sz w:val="24"/>
          <w:szCs w:val="24"/>
        </w:rPr>
        <w:t xml:space="preserve">Name: </w:t>
      </w:r>
      <w:r>
        <w:rPr>
          <w:rFonts w:ascii="Arial" w:cs="Arial" w:eastAsia="Arial" w:hAnsi="Arial"/>
          <w:sz w:val="24"/>
          <w:szCs w:val="24"/>
        </w:rPr>
        <w:t xml:space="preserve">Joseph Anthony Rivera</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1435 SE 10th Ter, Cape Coral, FL 33990</w:t>
      </w:r>
    </w:p>
    <w:p>
      <w:pPr>
        <w:spacing w:before="0" w:after="60" w:line="276" w:lineRule="auto"/>
        <w:contextualSpacing/>
      </w:pPr>
      <w:r>
        <w:rPr>
          <w:rFonts w:ascii="Arial" w:cs="Arial" w:eastAsia="Arial" w:hAnsi="Arial"/>
          <w:b/>
          <w:bCs/>
          <w:sz w:val="24"/>
          <w:szCs w:val="24"/>
        </w:rPr>
        <w:t xml:space="preserve">Phone: </w:t>
      </w:r>
      <w:r>
        <w:rPr>
          <w:rFonts w:ascii="Arial" w:cs="Arial" w:eastAsia="Arial" w:hAnsi="Arial"/>
          <w:sz w:val="24"/>
          <w:szCs w:val="24"/>
        </w:rPr>
        <w:t xml:space="preserve">(239) 220-9313</w:t>
      </w:r>
    </w:p>
    <w:p>
      <w:pPr>
        <w:spacing w:before="0" w:after="60" w:line="276" w:lineRule="auto"/>
        <w:contextualSpacing/>
      </w:pPr>
      <w:r>
        <w:rPr>
          <w:rFonts w:ascii="Arial" w:cs="Arial" w:eastAsia="Arial" w:hAnsi="Arial"/>
          <w:b/>
          <w:bCs/>
          <w:sz w:val="24"/>
          <w:szCs w:val="24"/>
        </w:rPr>
        <w:t xml:space="preserve">Email: </w:t>
      </w:r>
      <w:r>
        <w:rPr>
          <w:rFonts w:ascii="Arial" w:cs="Arial" w:eastAsia="Arial" w:hAnsi="Arial"/>
          <w:sz w:val="24"/>
          <w:szCs w:val="24"/>
        </w:rPr>
        <w:t xml:space="preserve">davinchicoated@gmail.com</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Signature: </w:t>
      </w:r>
      <w:r>
        <w:rPr>
          <w:rFonts w:ascii="Arial" w:cs="Arial" w:eastAsia="Arial" w:hAnsi="Arial"/>
          <w:sz w:val="24"/>
          <w:szCs w:val="24"/>
        </w:rPr>
        <w:t xml:space="preserve">______________________________</w:t>
      </w:r>
    </w:p>
    <w:p>
      <w:pPr>
        <w:spacing w:before="0" w:after="60" w:line="276" w:lineRule="auto"/>
        <w:contextualSpacing/>
      </w:pPr>
      <w:r>
        <w:rPr>
          <w:rFonts w:ascii="Arial" w:cs="Arial" w:eastAsia="Arial" w:hAnsi="Arial"/>
          <w:b/>
          <w:bCs/>
          <w:sz w:val="24"/>
          <w:szCs w:val="24"/>
        </w:rPr>
        <w:t xml:space="preserve">Date: </w:t>
      </w:r>
      <w:r>
        <w:rPr>
          <w:rFonts w:ascii="Arial" w:cs="Arial" w:eastAsia="Arial" w:hAnsi="Arial"/>
          <w:sz w:val="24"/>
          <w:szCs w:val="24"/>
        </w:rPr>
        <w:t>March ___,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2026-02-27T15:44:40.893Z</dcterms:created>
  <dcterms:modified xsi:type="dcterms:W3CDTF">2026-02-27T15:44:40.893Z</dcterms:modified>
</cp:coreProperties>
</file>

<file path=docProps/custom.xml><?xml version="1.0" encoding="utf-8"?>
<Properties xmlns="http://schemas.openxmlformats.org/officeDocument/2006/custom-properties" xmlns:vt="http://schemas.openxmlformats.org/officeDocument/2006/docPropsVTypes"/>
</file>