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Plan individualizado de refuerzo y recuperación de una materia no superada</w:t>
      </w:r>
    </w:p>
    <w:p>
      <w:r>
        <w:rPr>
          <w:i/>
          <w:color w:val="555555"/>
          <w:sz w:val="17"/>
        </w:rPr>
        <w:t>Instrucción quinta.4 de las instrucciones de evaluación y calificación de la DGOEII (6-10-2026) y art. 18 de la Orden de 31 de mayo de 2023 (Canarias). Plantilla de El docente aumentado (eldocenteaumentado.com). Adáptala al modelo que acuerde tu departamento. Este documento contiene datos personales: guárdalo en los sistemas del centro y no lo copies en herramientas de IA externas.</w:t>
      </w:r>
    </w:p>
    <w:p>
      <w:pPr>
        <w:pStyle w:val="Heading2"/>
      </w:pPr>
      <w:r>
        <w:rPr>
          <w:color w:val="1F3A5F"/>
        </w:rPr>
        <w:t>1.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Alumno o alumna</w:t>
            </w:r>
          </w:p>
        </w:tc>
        <w:tc>
          <w:tcPr>
            <w:tcW w:type="dxa" w:w="10772"/>
          </w:tcPr>
          <w:p>
            <w:r/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Grupo actual</w:t>
            </w:r>
          </w:p>
        </w:tc>
        <w:tc>
          <w:tcPr>
            <w:tcW w:type="dxa" w:w="10772"/>
          </w:tcPr>
          <w:p>
            <w:r/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Materia no superada y curso</w:t>
            </w:r>
          </w:p>
        </w:tc>
        <w:tc>
          <w:tcPr>
            <w:tcW w:type="dxa" w:w="10772"/>
          </w:tcPr>
          <w:p>
            <w:r>
              <w:t>Ej.: Matemáticas de 1.º ESO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Materia del curso actual con la que tiene continuidad</w:t>
            </w:r>
          </w:p>
        </w:tc>
        <w:tc>
          <w:tcPr>
            <w:tcW w:type="dxa" w:w="10772"/>
          </w:tcPr>
          <w:p>
            <w:r>
              <w:t>Ej.: Matemáticas de 2.º ESO (si la supera, supera también la anterior: art. 18.2.a)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Profesorado responsable del plan</w:t>
            </w:r>
          </w:p>
        </w:tc>
        <w:tc>
          <w:tcPr>
            <w:tcW w:type="dxa" w:w="10772"/>
          </w:tcPr>
          <w:p>
            <w:r/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Otras medidas de atención a la diversidad</w:t>
            </w:r>
          </w:p>
        </w:tc>
        <w:tc>
          <w:tcPr>
            <w:tcW w:type="dxa" w:w="10772"/>
          </w:tcPr>
          <w:p>
            <w:r>
              <w:t>Ninguna / adaptación curricular / otras (indicar; si hay AC, coordinar con orientación)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Fecha de inicio y plazo de aplicación</w:t>
            </w:r>
          </w:p>
        </w:tc>
        <w:tc>
          <w:tcPr>
            <w:tcW w:type="dxa" w:w="10772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2. Necesidades detectadas</w:t>
      </w:r>
    </w:p>
    <w:p>
      <w:r>
        <w:rPr>
          <w:i/>
          <w:color w:val="555555"/>
          <w:sz w:val="17"/>
        </w:rPr>
        <w:t>Parte del informe del curso anterior y de una evidencia diagnóstica reciente. Describe qué aprendizajes no se han alcanzado, no rasgos de la persona.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98"/>
      </w:tblGrid>
      <w:tr>
        <w:trPr>
          <w:trHeight w:val="1417"/>
        </w:trPr>
        <w:tc>
          <w:tcPr>
            <w:tcW w:type="dxa" w:w="14798"/>
          </w:tcPr>
          <w:p/>
        </w:tc>
      </w:tr>
    </w:tbl>
    <w:p>
      <w:pPr>
        <w:pStyle w:val="Heading2"/>
      </w:pPr>
      <w:r>
        <w:rPr>
          <w:color w:val="1F3A5F"/>
        </w:rPr>
        <w:t>3. Criterios no alcanzados, medidas y evidencias</w:t>
      </w:r>
    </w:p>
    <w:p>
      <w:r>
        <w:rPr>
          <w:i/>
          <w:color w:val="555555"/>
          <w:sz w:val="17"/>
        </w:rPr>
        <w:t>Copia los criterios de evaluación literales del Decreto 30/2023. Todos los criterios valen lo mismo (instrucción primera.2). No se asignan puntos ni porcentajes a los instrumentos (segunda.10). Nivel de logro con los calificadores de ESO: IN, SU, BI, NT, SB, sin números (segunda.6).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402"/>
            <w:shd w:val="clear" w:color="auto" w:fill="E8EEF4"/>
          </w:tcPr>
          <w:p>
            <w:r/>
            <w:r>
              <w:rPr>
                <w:b/>
                <w:sz w:val="18"/>
              </w:rPr>
              <w:t>Criterio no alcanzado (literal)</w:t>
            </w:r>
          </w:p>
        </w:tc>
        <w:tc>
          <w:tcPr>
            <w:tcW w:type="dxa" w:w="2835"/>
            <w:shd w:val="clear" w:color="auto" w:fill="E8EEF4"/>
          </w:tcPr>
          <w:p>
            <w:r/>
            <w:r>
              <w:rPr>
                <w:b/>
                <w:sz w:val="18"/>
              </w:rPr>
              <w:t>Criterio del curso actual que lo continúa</w:t>
            </w:r>
          </w:p>
        </w:tc>
        <w:tc>
          <w:tcPr>
            <w:tcW w:type="dxa" w:w="2835"/>
            <w:shd w:val="clear" w:color="auto" w:fill="E8EEF4"/>
          </w:tcPr>
          <w:p>
            <w:r/>
            <w:r>
              <w:rPr>
                <w:b/>
                <w:sz w:val="18"/>
              </w:rPr>
              <w:t>Medidas de apoyo (DUA)</w:t>
            </w:r>
          </w:p>
        </w:tc>
        <w:tc>
          <w:tcPr>
            <w:tcW w:type="dxa" w:w="2551"/>
            <w:shd w:val="clear" w:color="auto" w:fill="E8EEF4"/>
          </w:tcPr>
          <w:p>
            <w:r/>
            <w:r>
              <w:rPr>
                <w:b/>
                <w:sz w:val="18"/>
              </w:rPr>
              <w:t>Instrumentos y evidencias</w:t>
            </w:r>
          </w:p>
        </w:tc>
        <w:tc>
          <w:tcPr>
            <w:tcW w:type="dxa" w:w="1247"/>
            <w:shd w:val="clear" w:color="auto" w:fill="E8EEF4"/>
          </w:tcPr>
          <w:p>
            <w:r/>
            <w:r>
              <w:rPr>
                <w:b/>
                <w:sz w:val="18"/>
              </w:rPr>
              <w:t>Plazo</w:t>
            </w:r>
          </w:p>
        </w:tc>
        <w:tc>
          <w:tcPr>
            <w:tcW w:type="dxa" w:w="1871"/>
            <w:shd w:val="clear" w:color="auto" w:fill="E8EEF4"/>
          </w:tcPr>
          <w:p>
            <w:r/>
            <w:r>
              <w:rPr>
                <w:b/>
                <w:sz w:val="18"/>
              </w:rPr>
              <w:t>Nivel de logro y fecha</w:t>
            </w:r>
          </w:p>
        </w:tc>
      </w:tr>
      <w:tr>
        <w:trPr>
          <w:trHeight w:val="907"/>
        </w:trPr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871"/>
          </w:tcPr>
          <w:p/>
        </w:tc>
      </w:tr>
      <w:tr>
        <w:trPr>
          <w:trHeight w:val="907"/>
        </w:trPr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871"/>
          </w:tcPr>
          <w:p/>
        </w:tc>
      </w:tr>
      <w:tr>
        <w:trPr>
          <w:trHeight w:val="907"/>
        </w:trPr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871"/>
          </w:tcPr>
          <w:p/>
        </w:tc>
      </w:tr>
      <w:tr>
        <w:trPr>
          <w:trHeight w:val="907"/>
        </w:trPr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871"/>
          </w:tcPr>
          <w:p/>
        </w:tc>
      </w:tr>
      <w:tr>
        <w:trPr>
          <w:trHeight w:val="907"/>
        </w:trPr>
        <w:tc>
          <w:tcPr>
            <w:tcW w:type="dxa" w:w="3402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551"/>
          </w:tcPr>
          <w:p/>
        </w:tc>
        <w:tc>
          <w:tcPr>
            <w:tcW w:type="dxa" w:w="1247"/>
          </w:tcPr>
          <w:p/>
        </w:tc>
        <w:tc>
          <w:tcPr>
            <w:tcW w:type="dxa" w:w="1871"/>
          </w:tcPr>
          <w:p/>
        </w:tc>
      </w:tr>
    </w:tbl>
    <w:p>
      <w:r>
        <w:rPr>
          <w:i/>
          <w:color w:val="555555"/>
          <w:sz w:val="17"/>
        </w:rPr>
        <w:t>Si hay varias evidencias del mismo aprendizaje, el docente puede tomar el nivel más alto, el más repetido o el último (instrucción segunda.9). Indica cuál aplicas.</w:t>
      </w:r>
    </w:p>
    <w:p>
      <w:pPr>
        <w:pStyle w:val="Heading2"/>
      </w:pPr>
      <w:r>
        <w:rPr>
          <w:color w:val="1F3A5F"/>
        </w:rPr>
        <w:t>4. Acompañamiento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Momentos de seguimiento con el alumno o alumna</w:t>
            </w:r>
          </w:p>
        </w:tc>
        <w:tc>
          <w:tcPr>
            <w:tcW w:type="dxa" w:w="10772"/>
          </w:tcPr>
          <w:p>
            <w:r>
              <w:t>Ej.: revisión quincenal de la evidencia en clase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Ajustes de acceso o de formato</w:t>
            </w:r>
          </w:p>
        </w:tc>
        <w:tc>
          <w:tcPr>
            <w:tcW w:type="dxa" w:w="10772"/>
          </w:tcPr>
          <w:p>
            <w:r>
              <w:t>Ej.: más tiempo, formato oral, calculadora, apoyo visual</w:t>
            </w:r>
          </w:p>
        </w:tc>
      </w:tr>
    </w:tbl>
    <w:p>
      <w:pPr>
        <w:pStyle w:val="Heading2"/>
      </w:pPr>
      <w:r>
        <w:rPr>
          <w:color w:val="1F3A5F"/>
        </w:rPr>
        <w:t>5. Comunicación con el alumno o alumna y la familia</w:t>
      </w:r>
    </w:p>
    <w:p>
      <w:r>
        <w:rPr>
          <w:i/>
          <w:color w:val="555555"/>
          <w:sz w:val="17"/>
        </w:rPr>
        <w:t>El plan debe compartirse con el alumnado y sus familias o responsables legales (instrucción quinta.4).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701"/>
            <w:shd w:val="clear" w:color="auto" w:fill="E8EEF4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268"/>
            <w:shd w:val="clear" w:color="auto" w:fill="E8EEF4"/>
          </w:tcPr>
          <w:p>
            <w:r/>
            <w:r>
              <w:rPr>
                <w:b/>
                <w:sz w:val="18"/>
              </w:rPr>
              <w:t>Medio</w:t>
            </w:r>
          </w:p>
        </w:tc>
        <w:tc>
          <w:tcPr>
            <w:tcW w:type="dxa" w:w="7370"/>
            <w:shd w:val="clear" w:color="auto" w:fill="E8EEF4"/>
          </w:tcPr>
          <w:p>
            <w:r/>
            <w:r>
              <w:rPr>
                <w:b/>
                <w:sz w:val="18"/>
              </w:rPr>
              <w:t>Contenido comunicado</w:t>
            </w:r>
          </w:p>
        </w:tc>
        <w:tc>
          <w:tcPr>
            <w:tcW w:type="dxa" w:w="3402"/>
            <w:shd w:val="clear" w:color="auto" w:fill="E8EEF4"/>
          </w:tcPr>
          <w:p>
            <w:r/>
            <w:r>
              <w:rPr>
                <w:b/>
                <w:sz w:val="18"/>
              </w:rPr>
              <w:t>Recibido por</w:t>
            </w:r>
          </w:p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7370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7370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2268"/>
          </w:tcPr>
          <w:p/>
        </w:tc>
        <w:tc>
          <w:tcPr>
            <w:tcW w:type="dxa" w:w="7370"/>
          </w:tcPr>
          <w:p/>
        </w:tc>
        <w:tc>
          <w:tcPr>
            <w:tcW w:type="dxa" w:w="3402"/>
          </w:tcPr>
          <w:p/>
        </w:tc>
      </w:tr>
    </w:tbl>
    <w:p>
      <w:pPr>
        <w:pStyle w:val="Heading2"/>
      </w:pPr>
      <w:r>
        <w:rPr>
          <w:color w:val="1F3A5F"/>
        </w:rPr>
        <w:t>6. Seguimiento por periodos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1701"/>
            <w:shd w:val="clear" w:color="auto" w:fill="E8EEF4"/>
          </w:tcPr>
          <w:p>
            <w:r/>
            <w:r>
              <w:rPr>
                <w:b/>
                <w:sz w:val="18"/>
              </w:rPr>
              <w:t>Periodo</w:t>
            </w:r>
          </w:p>
        </w:tc>
        <w:tc>
          <w:tcPr>
            <w:tcW w:type="dxa" w:w="4535"/>
            <w:shd w:val="clear" w:color="auto" w:fill="E8EEF4"/>
          </w:tcPr>
          <w:p>
            <w:r/>
            <w:r>
              <w:rPr>
                <w:b/>
                <w:sz w:val="18"/>
              </w:rPr>
              <w:t>Criterios alcanzados</w:t>
            </w:r>
          </w:p>
        </w:tc>
        <w:tc>
          <w:tcPr>
            <w:tcW w:type="dxa" w:w="4535"/>
            <w:shd w:val="clear" w:color="auto" w:fill="E8EEF4"/>
          </w:tcPr>
          <w:p>
            <w:r/>
            <w:r>
              <w:rPr>
                <w:b/>
                <w:sz w:val="18"/>
              </w:rPr>
              <w:t>Criterios pendientes</w:t>
            </w:r>
          </w:p>
        </w:tc>
        <w:tc>
          <w:tcPr>
            <w:tcW w:type="dxa" w:w="3969"/>
            <w:shd w:val="clear" w:color="auto" w:fill="E8EEF4"/>
          </w:tcPr>
          <w:p>
            <w:r/>
            <w:r>
              <w:rPr>
                <w:b/>
                <w:sz w:val="18"/>
              </w:rPr>
              <w:t>Ajustes al plan</w:t>
            </w:r>
          </w:p>
        </w:tc>
      </w:tr>
      <w:tr>
        <w:trPr>
          <w:trHeight w:val="794"/>
        </w:trPr>
        <w:tc>
          <w:tcPr>
            <w:tcW w:type="dxa" w:w="1701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3969"/>
          </w:tcPr>
          <w:p/>
        </w:tc>
      </w:tr>
      <w:tr>
        <w:trPr>
          <w:trHeight w:val="794"/>
        </w:trPr>
        <w:tc>
          <w:tcPr>
            <w:tcW w:type="dxa" w:w="1701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3969"/>
          </w:tcPr>
          <w:p/>
        </w:tc>
      </w:tr>
      <w:tr>
        <w:trPr>
          <w:trHeight w:val="794"/>
        </w:trPr>
        <w:tc>
          <w:tcPr>
            <w:tcW w:type="dxa" w:w="1701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3969"/>
          </w:tcPr>
          <w:p/>
        </w:tc>
      </w:tr>
    </w:tbl>
    <w:p>
      <w:r>
        <w:rPr>
          <w:i/>
          <w:color w:val="555555"/>
          <w:sz w:val="17"/>
        </w:rPr>
        <w:t>Las calificaciones de los dos primeros periodos tienen carácter informativo y diagnóstico (instrucción segunda.12).</w:t>
      </w:r>
    </w:p>
    <w:p>
      <w:pPr>
        <w:pStyle w:val="Heading2"/>
      </w:pPr>
      <w:r>
        <w:rPr>
          <w:color w:val="1F3A5F"/>
        </w:rPr>
        <w:t>7. Decisión en la evaluación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Supera la materia del curso actual (art. 18.2.a)</w:t>
            </w:r>
          </w:p>
        </w:tc>
        <w:tc>
          <w:tcPr>
            <w:tcW w:type="dxa" w:w="10772"/>
          </w:tcPr>
          <w:p>
            <w:r>
              <w:t>Sí / No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Si no la supera: ¿se considera superada la materia anterior? (art. 18.2.b)</w:t>
            </w:r>
          </w:p>
        </w:tc>
        <w:tc>
          <w:tcPr>
            <w:tcW w:type="dxa" w:w="10772"/>
          </w:tcPr>
          <w:p>
            <w:r>
              <w:t>Sí / No. Justificación por criterios: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Calificación de la materia no superada</w:t>
            </w:r>
          </w:p>
        </w:tc>
        <w:tc>
          <w:tcPr>
            <w:tcW w:type="dxa" w:w="10772"/>
          </w:tcPr>
          <w:p>
            <w:r>
              <w:t>IN / SU / BI / NT / SB / PTE</w:t>
            </w:r>
          </w:p>
        </w:tc>
      </w:tr>
      <w:tr>
        <w:tc>
          <w:tcPr>
            <w:tcW w:type="dxa" w:w="3969"/>
            <w:shd w:val="clear" w:color="auto" w:fill="E8EEF4"/>
          </w:tcPr>
          <w:p>
            <w:r/>
            <w:r>
              <w:rPr>
                <w:b/>
              </w:rPr>
              <w:t>Firma del profesorado y fecha</w:t>
            </w:r>
          </w:p>
        </w:tc>
        <w:tc>
          <w:tcPr>
            <w:tcW w:type="dxa" w:w="10772"/>
          </w:tcPr>
          <w:p>
            <w:r/>
          </w:p>
        </w:tc>
      </w:tr>
    </w:tbl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