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CD7B6" w14:textId="383AE1EF" w:rsidR="00C0564D" w:rsidRPr="00644366" w:rsidRDefault="00F87C58" w:rsidP="00F87C58">
      <w:pPr>
        <w:pStyle w:val="Heading1"/>
        <w:rPr>
          <w:rFonts w:ascii="Times New Roman" w:hAnsi="Times New Roman" w:cs="Times New Roman"/>
          <w:sz w:val="24"/>
          <w:szCs w:val="24"/>
        </w:rPr>
      </w:pPr>
      <w:r w:rsidRPr="00644366">
        <w:rPr>
          <w:rFonts w:ascii="Times New Roman" w:hAnsi="Times New Roman" w:cs="Times New Roman"/>
          <w:sz w:val="24"/>
          <w:szCs w:val="24"/>
        </w:rPr>
        <w:t>Summary</w:t>
      </w:r>
    </w:p>
    <w:p w14:paraId="45FA51A2" w14:textId="2F1A9C74" w:rsidR="00F87C58" w:rsidRPr="00644366" w:rsidRDefault="00F87C58" w:rsidP="00F87C58">
      <w:pPr>
        <w:rPr>
          <w:rFonts w:ascii="Times New Roman" w:hAnsi="Times New Roman" w:cs="Times New Roman"/>
          <w:sz w:val="21"/>
          <w:szCs w:val="21"/>
        </w:rPr>
      </w:pPr>
    </w:p>
    <w:p w14:paraId="2AF0D77F" w14:textId="1EC43C86" w:rsidR="00F87C58" w:rsidRPr="00644366" w:rsidRDefault="00F87C58" w:rsidP="00F87C58">
      <w:pPr>
        <w:rPr>
          <w:rFonts w:ascii="Times New Roman" w:hAnsi="Times New Roman" w:cs="Times New Roman"/>
          <w:sz w:val="21"/>
          <w:szCs w:val="21"/>
        </w:rPr>
      </w:pPr>
      <w:r w:rsidRPr="00644366">
        <w:rPr>
          <w:rFonts w:ascii="Times New Roman" w:hAnsi="Times New Roman" w:cs="Times New Roman"/>
          <w:sz w:val="21"/>
          <w:szCs w:val="21"/>
        </w:rPr>
        <w:t>Hackney has experienced the fastest housing price growth rate of all boroughs of London; an average of 9.25% yearly. Second is City of London, with an average annual growth rate of 8.77%. City of London has a slightly higher monthly average percent increase than Hackney, 0.75% to 0.74%, respectively, but the housing prices of City of London are much more volatile than Hackney. Comparing the two borough</w:t>
      </w:r>
      <w:r w:rsidR="003F0F7D" w:rsidRPr="00644366">
        <w:rPr>
          <w:rFonts w:ascii="Times New Roman" w:hAnsi="Times New Roman" w:cs="Times New Roman"/>
          <w:sz w:val="21"/>
          <w:szCs w:val="21"/>
        </w:rPr>
        <w:t>s</w:t>
      </w:r>
      <w:r w:rsidRPr="00644366">
        <w:rPr>
          <w:rFonts w:ascii="Times New Roman" w:hAnsi="Times New Roman" w:cs="Times New Roman"/>
          <w:sz w:val="21"/>
          <w:szCs w:val="21"/>
        </w:rPr>
        <w:t xml:space="preserve"> over since 2000; an average house in Hackney in 2020 is worth 4.29 times as much as in the year 2000, while an average house in City of London is worth 3.78 times as much.</w:t>
      </w:r>
    </w:p>
    <w:p w14:paraId="21A4951A" w14:textId="41F8B7D3" w:rsidR="00F87C58" w:rsidRPr="00644366" w:rsidRDefault="00F87C58" w:rsidP="00F87C58">
      <w:pPr>
        <w:rPr>
          <w:rFonts w:ascii="Times New Roman" w:hAnsi="Times New Roman" w:cs="Times New Roman"/>
          <w:sz w:val="21"/>
          <w:szCs w:val="21"/>
        </w:rPr>
      </w:pPr>
    </w:p>
    <w:p w14:paraId="7DB0E806" w14:textId="5C37024C" w:rsidR="00F87C58" w:rsidRPr="00644366" w:rsidRDefault="00F87C58" w:rsidP="00F87C58">
      <w:pPr>
        <w:rPr>
          <w:rFonts w:ascii="Times New Roman" w:hAnsi="Times New Roman" w:cs="Times New Roman"/>
          <w:sz w:val="21"/>
          <w:szCs w:val="21"/>
        </w:rPr>
      </w:pPr>
      <w:r w:rsidRPr="00644366">
        <w:rPr>
          <w:rFonts w:ascii="Times New Roman" w:hAnsi="Times New Roman" w:cs="Times New Roman"/>
          <w:sz w:val="21"/>
          <w:szCs w:val="21"/>
        </w:rPr>
        <w:t>The other boroughs experience slower growth, with the slowest being Bexley. However, Bexley also experienced the smallest housing value drop (in percentage) of all boroughs.</w:t>
      </w:r>
    </w:p>
    <w:p w14:paraId="4560065C" w14:textId="0FE0CEB7" w:rsidR="00F87C58" w:rsidRPr="00644366" w:rsidRDefault="00F87C58" w:rsidP="00F87C58">
      <w:pPr>
        <w:rPr>
          <w:rFonts w:ascii="Times New Roman" w:hAnsi="Times New Roman" w:cs="Times New Roman"/>
          <w:sz w:val="21"/>
          <w:szCs w:val="21"/>
        </w:rPr>
      </w:pPr>
    </w:p>
    <w:p w14:paraId="3E670D69" w14:textId="4C02160F" w:rsidR="00F87C58" w:rsidRPr="00644366" w:rsidRDefault="00F87C58" w:rsidP="00F87C58">
      <w:pPr>
        <w:rPr>
          <w:rFonts w:ascii="Times New Roman" w:hAnsi="Times New Roman" w:cs="Times New Roman"/>
          <w:sz w:val="21"/>
          <w:szCs w:val="21"/>
        </w:rPr>
      </w:pPr>
      <w:r w:rsidRPr="00644366">
        <w:rPr>
          <w:rFonts w:ascii="Times New Roman" w:hAnsi="Times New Roman" w:cs="Times New Roman"/>
          <w:sz w:val="21"/>
          <w:szCs w:val="21"/>
        </w:rPr>
        <w:t xml:space="preserve">A visualization dashboard highlighting these findings is on the </w:t>
      </w:r>
      <w:r w:rsidR="00431E8F" w:rsidRPr="00644366">
        <w:rPr>
          <w:rFonts w:ascii="Times New Roman" w:hAnsi="Times New Roman" w:cs="Times New Roman"/>
          <w:sz w:val="21"/>
          <w:szCs w:val="21"/>
        </w:rPr>
        <w:t>last</w:t>
      </w:r>
      <w:r w:rsidRPr="00644366">
        <w:rPr>
          <w:rFonts w:ascii="Times New Roman" w:hAnsi="Times New Roman" w:cs="Times New Roman"/>
          <w:sz w:val="21"/>
          <w:szCs w:val="21"/>
        </w:rPr>
        <w:t xml:space="preserve"> page.</w:t>
      </w:r>
    </w:p>
    <w:p w14:paraId="496CC434" w14:textId="2391F1C8" w:rsidR="00F87C58" w:rsidRPr="00644366" w:rsidRDefault="00F87C58" w:rsidP="00F87C58">
      <w:pPr>
        <w:rPr>
          <w:sz w:val="18"/>
          <w:szCs w:val="18"/>
        </w:rPr>
      </w:pPr>
    </w:p>
    <w:p w14:paraId="7118A4A5" w14:textId="1519E4AA" w:rsidR="00F87C58" w:rsidRPr="00644366" w:rsidRDefault="003F0F7D" w:rsidP="00431E8F">
      <w:pPr>
        <w:jc w:val="center"/>
        <w:rPr>
          <w:sz w:val="18"/>
          <w:szCs w:val="18"/>
        </w:rPr>
      </w:pPr>
      <w:r w:rsidRPr="00644366">
        <w:rPr>
          <w:noProof/>
          <w:sz w:val="18"/>
          <w:szCs w:val="18"/>
        </w:rPr>
        <w:drawing>
          <wp:inline distT="0" distB="0" distL="0" distR="0" wp14:anchorId="29E718FD" wp14:editId="564FE790">
            <wp:extent cx="5318760" cy="5087484"/>
            <wp:effectExtent l="0" t="0" r="254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9101" cy="5288679"/>
                    </a:xfrm>
                    <a:prstGeom prst="rect">
                      <a:avLst/>
                    </a:prstGeom>
                  </pic:spPr>
                </pic:pic>
              </a:graphicData>
            </a:graphic>
          </wp:inline>
        </w:drawing>
      </w:r>
    </w:p>
    <w:p w14:paraId="25F1A079" w14:textId="77777777" w:rsidR="00644366" w:rsidRPr="00644366" w:rsidRDefault="00644366" w:rsidP="00431E8F">
      <w:pPr>
        <w:pStyle w:val="Heading1"/>
        <w:rPr>
          <w:sz w:val="21"/>
          <w:szCs w:val="21"/>
        </w:rPr>
      </w:pPr>
    </w:p>
    <w:p w14:paraId="6C9C350C" w14:textId="77777777" w:rsidR="00644366" w:rsidRDefault="00644366">
      <w:pPr>
        <w:rPr>
          <w:rFonts w:asciiTheme="majorHAnsi" w:eastAsiaTheme="majorEastAsia" w:hAnsiTheme="majorHAnsi" w:cstheme="majorBidi"/>
          <w:color w:val="2F5496" w:themeColor="accent1" w:themeShade="BF"/>
          <w:sz w:val="21"/>
          <w:szCs w:val="21"/>
        </w:rPr>
      </w:pPr>
      <w:r>
        <w:rPr>
          <w:sz w:val="21"/>
          <w:szCs w:val="21"/>
        </w:rPr>
        <w:br w:type="page"/>
      </w:r>
    </w:p>
    <w:p w14:paraId="06744B7B" w14:textId="50A532D7" w:rsidR="00F87C58" w:rsidRPr="00644366" w:rsidRDefault="00431E8F" w:rsidP="00431E8F">
      <w:pPr>
        <w:pStyle w:val="Heading1"/>
        <w:rPr>
          <w:rFonts w:ascii="Times New Roman" w:hAnsi="Times New Roman" w:cs="Times New Roman"/>
          <w:sz w:val="24"/>
          <w:szCs w:val="24"/>
        </w:rPr>
      </w:pPr>
      <w:r w:rsidRPr="00644366">
        <w:rPr>
          <w:rFonts w:ascii="Times New Roman" w:hAnsi="Times New Roman" w:cs="Times New Roman"/>
          <w:sz w:val="24"/>
          <w:szCs w:val="24"/>
        </w:rPr>
        <w:lastRenderedPageBreak/>
        <w:t>Explanation of Analysis</w:t>
      </w:r>
    </w:p>
    <w:p w14:paraId="76FDB179" w14:textId="7D8E5DC6" w:rsidR="00431E8F" w:rsidRPr="00644366" w:rsidRDefault="00431E8F" w:rsidP="00431E8F">
      <w:pPr>
        <w:rPr>
          <w:rFonts w:ascii="Times New Roman" w:hAnsi="Times New Roman" w:cs="Times New Roman"/>
          <w:sz w:val="21"/>
          <w:szCs w:val="21"/>
        </w:rPr>
      </w:pPr>
    </w:p>
    <w:p w14:paraId="081A47ED" w14:textId="77777777" w:rsidR="00431E8F" w:rsidRPr="00644366" w:rsidRDefault="00431E8F" w:rsidP="00431E8F">
      <w:pPr>
        <w:rPr>
          <w:rFonts w:ascii="Times New Roman" w:hAnsi="Times New Roman" w:cs="Times New Roman"/>
          <w:sz w:val="21"/>
          <w:szCs w:val="21"/>
        </w:rPr>
      </w:pPr>
      <w:r w:rsidRPr="00644366">
        <w:rPr>
          <w:rFonts w:ascii="Times New Roman" w:hAnsi="Times New Roman" w:cs="Times New Roman"/>
          <w:sz w:val="21"/>
          <w:szCs w:val="21"/>
        </w:rPr>
        <w:t xml:space="preserve">What follows is a chronological explanation of the analysis process and the thought processes behind the analysis. It follows the </w:t>
      </w:r>
      <w:proofErr w:type="spellStart"/>
      <w:r w:rsidRPr="00644366">
        <w:rPr>
          <w:rFonts w:ascii="Times New Roman" w:hAnsi="Times New Roman" w:cs="Times New Roman"/>
          <w:sz w:val="21"/>
          <w:szCs w:val="21"/>
        </w:rPr>
        <w:t>Jupyter</w:t>
      </w:r>
      <w:proofErr w:type="spellEnd"/>
      <w:r w:rsidRPr="00644366">
        <w:rPr>
          <w:rFonts w:ascii="Times New Roman" w:hAnsi="Times New Roman" w:cs="Times New Roman"/>
          <w:sz w:val="21"/>
          <w:szCs w:val="21"/>
        </w:rPr>
        <w:t xml:space="preserve"> Notebook closely. The notebook is available at (URL).</w:t>
      </w:r>
    </w:p>
    <w:p w14:paraId="064C336D" w14:textId="77777777" w:rsidR="00431E8F" w:rsidRPr="00644366" w:rsidRDefault="00431E8F" w:rsidP="00431E8F">
      <w:pPr>
        <w:rPr>
          <w:rFonts w:ascii="Times New Roman" w:hAnsi="Times New Roman" w:cs="Times New Roman"/>
          <w:sz w:val="21"/>
          <w:szCs w:val="21"/>
        </w:rPr>
      </w:pPr>
    </w:p>
    <w:p w14:paraId="27C2741D" w14:textId="77777777" w:rsidR="00431E8F" w:rsidRPr="00644366" w:rsidRDefault="00431E8F" w:rsidP="00431E8F">
      <w:pPr>
        <w:rPr>
          <w:rFonts w:ascii="Times New Roman" w:hAnsi="Times New Roman" w:cs="Times New Roman"/>
          <w:sz w:val="21"/>
          <w:szCs w:val="21"/>
        </w:rPr>
      </w:pPr>
      <w:r w:rsidRPr="00644366">
        <w:rPr>
          <w:rFonts w:ascii="Times New Roman" w:hAnsi="Times New Roman" w:cs="Times New Roman"/>
          <w:sz w:val="21"/>
          <w:szCs w:val="21"/>
        </w:rPr>
        <w:t>The data was downloaded from the London Datastore website (</w:t>
      </w:r>
      <w:hyperlink r:id="rId6" w:history="1">
        <w:r w:rsidRPr="00644366">
          <w:rPr>
            <w:rStyle w:val="Hyperlink"/>
            <w:rFonts w:ascii="Times New Roman" w:hAnsi="Times New Roman" w:cs="Times New Roman"/>
            <w:sz w:val="21"/>
            <w:szCs w:val="21"/>
          </w:rPr>
          <w:t>https://data.london.gov.uk/</w:t>
        </w:r>
      </w:hyperlink>
      <w:r w:rsidRPr="00644366">
        <w:rPr>
          <w:rFonts w:ascii="Times New Roman" w:hAnsi="Times New Roman" w:cs="Times New Roman"/>
          <w:sz w:val="21"/>
          <w:szCs w:val="21"/>
        </w:rPr>
        <w:t>). The specific .</w:t>
      </w:r>
      <w:proofErr w:type="spellStart"/>
      <w:r w:rsidRPr="00644366">
        <w:rPr>
          <w:rFonts w:ascii="Times New Roman" w:hAnsi="Times New Roman" w:cs="Times New Roman"/>
          <w:sz w:val="21"/>
          <w:szCs w:val="21"/>
        </w:rPr>
        <w:t>xls</w:t>
      </w:r>
      <w:proofErr w:type="spellEnd"/>
      <w:r w:rsidRPr="00644366">
        <w:rPr>
          <w:rFonts w:ascii="Times New Roman" w:hAnsi="Times New Roman" w:cs="Times New Roman"/>
          <w:sz w:val="21"/>
          <w:szCs w:val="21"/>
        </w:rPr>
        <w:t xml:space="preserve"> file is available at </w:t>
      </w:r>
      <w:hyperlink r:id="rId7" w:history="1">
        <w:r w:rsidRPr="00644366">
          <w:rPr>
            <w:rStyle w:val="Hyperlink"/>
            <w:rFonts w:ascii="Times New Roman" w:hAnsi="Times New Roman" w:cs="Times New Roman"/>
            <w:sz w:val="21"/>
            <w:szCs w:val="21"/>
          </w:rPr>
          <w:t>https://data.london.gov.uk/download/uk-house-price-index/70ac0766-8902-4eb5-aab5-01951aaed773/UK%20House%20price%20index.xls</w:t>
        </w:r>
      </w:hyperlink>
      <w:r w:rsidRPr="00644366">
        <w:rPr>
          <w:rFonts w:ascii="Times New Roman" w:hAnsi="Times New Roman" w:cs="Times New Roman"/>
          <w:sz w:val="21"/>
          <w:szCs w:val="21"/>
        </w:rPr>
        <w:t xml:space="preserve">. </w:t>
      </w:r>
    </w:p>
    <w:p w14:paraId="4F6E05B0" w14:textId="77777777" w:rsidR="00431E8F" w:rsidRPr="00644366" w:rsidRDefault="00431E8F" w:rsidP="00431E8F">
      <w:pPr>
        <w:rPr>
          <w:rFonts w:ascii="Times New Roman" w:hAnsi="Times New Roman" w:cs="Times New Roman"/>
          <w:sz w:val="21"/>
          <w:szCs w:val="21"/>
        </w:rPr>
      </w:pPr>
    </w:p>
    <w:p w14:paraId="68F35025" w14:textId="77777777" w:rsidR="00431E8F" w:rsidRPr="00644366" w:rsidRDefault="00431E8F" w:rsidP="00431E8F">
      <w:pPr>
        <w:rPr>
          <w:rFonts w:ascii="Times New Roman" w:hAnsi="Times New Roman" w:cs="Times New Roman"/>
          <w:sz w:val="21"/>
          <w:szCs w:val="21"/>
        </w:rPr>
      </w:pPr>
      <w:r w:rsidRPr="00644366">
        <w:rPr>
          <w:rFonts w:ascii="Times New Roman" w:hAnsi="Times New Roman" w:cs="Times New Roman"/>
          <w:sz w:val="21"/>
          <w:szCs w:val="21"/>
        </w:rPr>
        <w:t xml:space="preserve">The data used for this analysis is from the “Average price” sheet of the Excel workbook.  </w:t>
      </w:r>
    </w:p>
    <w:p w14:paraId="66E6656B" w14:textId="77777777" w:rsidR="00431E8F" w:rsidRPr="00644366" w:rsidRDefault="00431E8F" w:rsidP="00431E8F">
      <w:pPr>
        <w:rPr>
          <w:rFonts w:ascii="Times New Roman" w:hAnsi="Times New Roman" w:cs="Times New Roman"/>
          <w:sz w:val="21"/>
          <w:szCs w:val="21"/>
        </w:rPr>
      </w:pPr>
    </w:p>
    <w:p w14:paraId="1A40B971" w14:textId="6B65F909" w:rsidR="00431E8F" w:rsidRPr="00644366" w:rsidRDefault="00431E8F" w:rsidP="00431E8F">
      <w:pPr>
        <w:rPr>
          <w:rFonts w:ascii="Times New Roman" w:hAnsi="Times New Roman" w:cs="Times New Roman"/>
          <w:sz w:val="21"/>
          <w:szCs w:val="21"/>
        </w:rPr>
      </w:pPr>
      <w:r w:rsidRPr="00644366">
        <w:rPr>
          <w:rFonts w:ascii="Times New Roman" w:hAnsi="Times New Roman" w:cs="Times New Roman"/>
          <w:sz w:val="21"/>
          <w:szCs w:val="21"/>
        </w:rPr>
        <w:t xml:space="preserve">The imported </w:t>
      </w:r>
      <w:proofErr w:type="spellStart"/>
      <w:r w:rsidRPr="00644366">
        <w:rPr>
          <w:rFonts w:ascii="Times New Roman" w:hAnsi="Times New Roman" w:cs="Times New Roman"/>
          <w:sz w:val="21"/>
          <w:szCs w:val="21"/>
        </w:rPr>
        <w:t>DataFrame</w:t>
      </w:r>
      <w:proofErr w:type="spellEnd"/>
      <w:r w:rsidRPr="00644366">
        <w:rPr>
          <w:rFonts w:ascii="Times New Roman" w:hAnsi="Times New Roman" w:cs="Times New Roman"/>
          <w:sz w:val="21"/>
          <w:szCs w:val="21"/>
        </w:rPr>
        <w:t xml:space="preserve"> contains a column of average house prices for each of London’s 32 boroughs and the City of London, as well as average house prices for Inner and Outer London, each of England’s 9 government regions, and England itself. The data starts in January 1995 and goes through May 2020. There are 305 monthly observations.</w:t>
      </w:r>
    </w:p>
    <w:p w14:paraId="46AAAF79" w14:textId="77777777" w:rsidR="00431E8F" w:rsidRPr="00644366" w:rsidRDefault="00431E8F" w:rsidP="00431E8F">
      <w:pPr>
        <w:rPr>
          <w:rFonts w:ascii="Times New Roman" w:hAnsi="Times New Roman" w:cs="Times New Roman"/>
          <w:sz w:val="21"/>
          <w:szCs w:val="21"/>
        </w:rPr>
      </w:pPr>
    </w:p>
    <w:p w14:paraId="28EB07DD" w14:textId="77777777" w:rsidR="00587230" w:rsidRPr="00644366" w:rsidRDefault="00431E8F" w:rsidP="00431E8F">
      <w:pPr>
        <w:rPr>
          <w:rFonts w:ascii="Times New Roman" w:hAnsi="Times New Roman" w:cs="Times New Roman"/>
          <w:sz w:val="21"/>
          <w:szCs w:val="21"/>
        </w:rPr>
      </w:pPr>
      <w:r w:rsidRPr="00644366">
        <w:rPr>
          <w:rFonts w:ascii="Times New Roman" w:hAnsi="Times New Roman" w:cs="Times New Roman"/>
          <w:sz w:val="21"/>
          <w:szCs w:val="21"/>
        </w:rPr>
        <w:t xml:space="preserve">The </w:t>
      </w:r>
      <w:proofErr w:type="spellStart"/>
      <w:r w:rsidRPr="00644366">
        <w:rPr>
          <w:rFonts w:ascii="Times New Roman" w:hAnsi="Times New Roman" w:cs="Times New Roman"/>
          <w:sz w:val="21"/>
          <w:szCs w:val="21"/>
        </w:rPr>
        <w:t>DataFrame</w:t>
      </w:r>
      <w:proofErr w:type="spellEnd"/>
      <w:r w:rsidRPr="00644366">
        <w:rPr>
          <w:rFonts w:ascii="Times New Roman" w:hAnsi="Times New Roman" w:cs="Times New Roman"/>
          <w:sz w:val="21"/>
          <w:szCs w:val="21"/>
        </w:rPr>
        <w:t xml:space="preserve"> was reindexed by the Date column to make it easier to plot and slice</w:t>
      </w:r>
      <w:r w:rsidR="00587230" w:rsidRPr="00644366">
        <w:rPr>
          <w:rFonts w:ascii="Times New Roman" w:hAnsi="Times New Roman" w:cs="Times New Roman"/>
          <w:sz w:val="21"/>
          <w:szCs w:val="21"/>
        </w:rPr>
        <w:t>. It was</w:t>
      </w:r>
      <w:r w:rsidRPr="00644366">
        <w:rPr>
          <w:rFonts w:ascii="Times New Roman" w:hAnsi="Times New Roman" w:cs="Times New Roman"/>
          <w:sz w:val="21"/>
          <w:szCs w:val="21"/>
        </w:rPr>
        <w:t xml:space="preserve"> cleaned to get rid of empty columns</w:t>
      </w:r>
      <w:r w:rsidR="00587230" w:rsidRPr="00644366">
        <w:rPr>
          <w:rFonts w:ascii="Times New Roman" w:hAnsi="Times New Roman" w:cs="Times New Roman"/>
          <w:sz w:val="21"/>
          <w:szCs w:val="21"/>
        </w:rPr>
        <w:t xml:space="preserve"> and a row of location codes that was not useful.</w:t>
      </w:r>
      <w:r w:rsidRPr="00644366">
        <w:rPr>
          <w:rFonts w:ascii="Times New Roman" w:hAnsi="Times New Roman" w:cs="Times New Roman"/>
          <w:sz w:val="21"/>
          <w:szCs w:val="21"/>
        </w:rPr>
        <w:t xml:space="preserve"> </w:t>
      </w:r>
      <w:r w:rsidR="00587230" w:rsidRPr="00644366">
        <w:rPr>
          <w:rFonts w:ascii="Times New Roman" w:hAnsi="Times New Roman" w:cs="Times New Roman"/>
          <w:sz w:val="21"/>
          <w:szCs w:val="21"/>
        </w:rPr>
        <w:t xml:space="preserve">Another melted </w:t>
      </w:r>
      <w:proofErr w:type="spellStart"/>
      <w:r w:rsidR="00587230" w:rsidRPr="00644366">
        <w:rPr>
          <w:rFonts w:ascii="Times New Roman" w:hAnsi="Times New Roman" w:cs="Times New Roman"/>
          <w:sz w:val="21"/>
          <w:szCs w:val="21"/>
        </w:rPr>
        <w:t>DataFrame</w:t>
      </w:r>
      <w:proofErr w:type="spellEnd"/>
      <w:r w:rsidR="00587230" w:rsidRPr="00644366">
        <w:rPr>
          <w:rFonts w:ascii="Times New Roman" w:hAnsi="Times New Roman" w:cs="Times New Roman"/>
          <w:sz w:val="21"/>
          <w:szCs w:val="21"/>
        </w:rPr>
        <w:t xml:space="preserve"> was created. This melted </w:t>
      </w:r>
      <w:proofErr w:type="spellStart"/>
      <w:r w:rsidR="00587230" w:rsidRPr="00644366">
        <w:rPr>
          <w:rFonts w:ascii="Times New Roman" w:hAnsi="Times New Roman" w:cs="Times New Roman"/>
          <w:sz w:val="21"/>
          <w:szCs w:val="21"/>
        </w:rPr>
        <w:t>DataFrame</w:t>
      </w:r>
      <w:proofErr w:type="spellEnd"/>
      <w:r w:rsidR="00587230" w:rsidRPr="00644366">
        <w:rPr>
          <w:rFonts w:ascii="Times New Roman" w:hAnsi="Times New Roman" w:cs="Times New Roman"/>
          <w:sz w:val="21"/>
          <w:szCs w:val="21"/>
        </w:rPr>
        <w:t xml:space="preserve"> would eventually be useful to aggregate values.</w:t>
      </w:r>
    </w:p>
    <w:p w14:paraId="2690EA9E" w14:textId="77777777" w:rsidR="00587230" w:rsidRPr="00644366" w:rsidRDefault="00587230" w:rsidP="00431E8F">
      <w:pPr>
        <w:rPr>
          <w:rFonts w:ascii="Times New Roman" w:hAnsi="Times New Roman" w:cs="Times New Roman"/>
          <w:sz w:val="21"/>
          <w:szCs w:val="21"/>
        </w:rPr>
      </w:pPr>
    </w:p>
    <w:p w14:paraId="76D09FBA" w14:textId="77777777" w:rsidR="00587230" w:rsidRPr="00644366" w:rsidRDefault="00587230" w:rsidP="00431E8F">
      <w:pPr>
        <w:rPr>
          <w:rFonts w:ascii="Times New Roman" w:hAnsi="Times New Roman" w:cs="Times New Roman"/>
          <w:sz w:val="21"/>
          <w:szCs w:val="21"/>
        </w:rPr>
      </w:pPr>
      <w:r w:rsidRPr="00644366">
        <w:rPr>
          <w:rFonts w:ascii="Times New Roman" w:hAnsi="Times New Roman" w:cs="Times New Roman"/>
          <w:sz w:val="21"/>
          <w:szCs w:val="21"/>
        </w:rPr>
        <w:t xml:space="preserve">The data was visually examined, starting with England as a whole and then narrowing to identify national, regional, and London-specific trends. The global recession from 2008-2010 was visible in all plots. </w:t>
      </w:r>
    </w:p>
    <w:p w14:paraId="4F6D4CC5" w14:textId="3ED9A965" w:rsidR="00431E8F" w:rsidRPr="00644366" w:rsidRDefault="00587230" w:rsidP="00587230">
      <w:pPr>
        <w:pStyle w:val="ListParagraph"/>
        <w:numPr>
          <w:ilvl w:val="0"/>
          <w:numId w:val="1"/>
        </w:numPr>
        <w:rPr>
          <w:rFonts w:ascii="Times New Roman" w:hAnsi="Times New Roman" w:cs="Times New Roman"/>
          <w:sz w:val="21"/>
          <w:szCs w:val="21"/>
        </w:rPr>
      </w:pPr>
      <w:r w:rsidRPr="00644366">
        <w:rPr>
          <w:rFonts w:ascii="Times New Roman" w:hAnsi="Times New Roman" w:cs="Times New Roman"/>
          <w:sz w:val="21"/>
          <w:szCs w:val="21"/>
        </w:rPr>
        <w:t>London housing prices are much higher than other regions</w:t>
      </w:r>
    </w:p>
    <w:p w14:paraId="1C4B7179" w14:textId="77777777" w:rsidR="00587230" w:rsidRPr="00644366" w:rsidRDefault="00587230" w:rsidP="00587230">
      <w:pPr>
        <w:pStyle w:val="ListParagraph"/>
        <w:numPr>
          <w:ilvl w:val="0"/>
          <w:numId w:val="1"/>
        </w:numPr>
        <w:rPr>
          <w:rFonts w:ascii="Times New Roman" w:hAnsi="Times New Roman" w:cs="Times New Roman"/>
          <w:sz w:val="21"/>
          <w:szCs w:val="21"/>
        </w:rPr>
      </w:pPr>
      <w:r w:rsidRPr="00644366">
        <w:rPr>
          <w:rFonts w:ascii="Times New Roman" w:hAnsi="Times New Roman" w:cs="Times New Roman"/>
          <w:sz w:val="21"/>
          <w:szCs w:val="21"/>
        </w:rPr>
        <w:t>Inner London housing prices are much higher than in Outer London</w:t>
      </w:r>
    </w:p>
    <w:p w14:paraId="56835388" w14:textId="759EF92E" w:rsidR="00587230" w:rsidRPr="00644366" w:rsidRDefault="00587230" w:rsidP="00587230">
      <w:pPr>
        <w:pStyle w:val="ListParagraph"/>
        <w:numPr>
          <w:ilvl w:val="0"/>
          <w:numId w:val="1"/>
        </w:numPr>
        <w:rPr>
          <w:rFonts w:ascii="Times New Roman" w:hAnsi="Times New Roman" w:cs="Times New Roman"/>
          <w:sz w:val="21"/>
          <w:szCs w:val="21"/>
        </w:rPr>
      </w:pPr>
      <w:r w:rsidRPr="00644366">
        <w:rPr>
          <w:rFonts w:ascii="Times New Roman" w:hAnsi="Times New Roman" w:cs="Times New Roman"/>
          <w:sz w:val="21"/>
          <w:szCs w:val="21"/>
        </w:rPr>
        <w:t>Kensington &amp; Chelsea remains the most expensive borough, and Barking &amp; Dagenham remains the least expensive; they are noticeably separate from the other boroughs on the line plots (see the dashboard on the last page)</w:t>
      </w:r>
    </w:p>
    <w:p w14:paraId="6ECA495A" w14:textId="77777777" w:rsidR="00587230" w:rsidRPr="00644366" w:rsidRDefault="00587230" w:rsidP="00587230">
      <w:pPr>
        <w:pStyle w:val="ListParagraph"/>
        <w:rPr>
          <w:rFonts w:ascii="Times New Roman" w:hAnsi="Times New Roman" w:cs="Times New Roman"/>
          <w:sz w:val="21"/>
          <w:szCs w:val="21"/>
        </w:rPr>
      </w:pPr>
    </w:p>
    <w:p w14:paraId="0700A1A7" w14:textId="705EF76A" w:rsidR="00587230" w:rsidRPr="00644366" w:rsidRDefault="00644366" w:rsidP="00587230">
      <w:pPr>
        <w:rPr>
          <w:rFonts w:ascii="Times New Roman" w:hAnsi="Times New Roman" w:cs="Times New Roman"/>
          <w:sz w:val="21"/>
          <w:szCs w:val="21"/>
        </w:rPr>
      </w:pPr>
      <w:proofErr w:type="gramStart"/>
      <w:r w:rsidRPr="00644366">
        <w:rPr>
          <w:rFonts w:ascii="Times New Roman" w:hAnsi="Times New Roman" w:cs="Times New Roman"/>
          <w:sz w:val="21"/>
          <w:szCs w:val="21"/>
        </w:rPr>
        <w:t>Maximum monthly growth,</w:t>
      </w:r>
      <w:proofErr w:type="gramEnd"/>
      <w:r w:rsidR="00587230" w:rsidRPr="00644366">
        <w:rPr>
          <w:rFonts w:ascii="Times New Roman" w:hAnsi="Times New Roman" w:cs="Times New Roman"/>
          <w:sz w:val="21"/>
          <w:szCs w:val="21"/>
        </w:rPr>
        <w:t xml:space="preserve"> mean monthly growth, median monthly growth, and greatest monthly decrease were all examined. </w:t>
      </w:r>
    </w:p>
    <w:p w14:paraId="78668311" w14:textId="77777777" w:rsidR="00587230" w:rsidRPr="00644366" w:rsidRDefault="00587230" w:rsidP="00587230">
      <w:pPr>
        <w:pStyle w:val="ListParagraph"/>
        <w:numPr>
          <w:ilvl w:val="0"/>
          <w:numId w:val="2"/>
        </w:numPr>
        <w:rPr>
          <w:rFonts w:ascii="Times New Roman" w:hAnsi="Times New Roman" w:cs="Times New Roman"/>
          <w:sz w:val="21"/>
          <w:szCs w:val="21"/>
        </w:rPr>
      </w:pPr>
      <w:r w:rsidRPr="00644366">
        <w:rPr>
          <w:rFonts w:ascii="Times New Roman" w:hAnsi="Times New Roman" w:cs="Times New Roman"/>
          <w:sz w:val="21"/>
          <w:szCs w:val="21"/>
        </w:rPr>
        <w:t>City of London had the highest one month increase of 0.3%</w:t>
      </w:r>
    </w:p>
    <w:p w14:paraId="15AAFAA5" w14:textId="77777777" w:rsidR="00587230" w:rsidRPr="00644366" w:rsidRDefault="00587230" w:rsidP="00587230">
      <w:pPr>
        <w:pStyle w:val="ListParagraph"/>
        <w:numPr>
          <w:ilvl w:val="0"/>
          <w:numId w:val="2"/>
        </w:numPr>
        <w:rPr>
          <w:rFonts w:ascii="Times New Roman" w:hAnsi="Times New Roman" w:cs="Times New Roman"/>
          <w:sz w:val="21"/>
          <w:szCs w:val="21"/>
        </w:rPr>
      </w:pPr>
      <w:r w:rsidRPr="00644366">
        <w:rPr>
          <w:rFonts w:ascii="Times New Roman" w:hAnsi="Times New Roman" w:cs="Times New Roman"/>
          <w:sz w:val="21"/>
          <w:szCs w:val="21"/>
        </w:rPr>
        <w:t>City of London had the highest mean increase of 0.009%</w:t>
      </w:r>
    </w:p>
    <w:p w14:paraId="20054158" w14:textId="77777777" w:rsidR="00587230" w:rsidRPr="00644366" w:rsidRDefault="00587230" w:rsidP="00587230">
      <w:pPr>
        <w:pStyle w:val="ListParagraph"/>
        <w:numPr>
          <w:ilvl w:val="0"/>
          <w:numId w:val="2"/>
        </w:numPr>
        <w:rPr>
          <w:rFonts w:ascii="Times New Roman" w:hAnsi="Times New Roman" w:cs="Times New Roman"/>
          <w:sz w:val="21"/>
          <w:szCs w:val="21"/>
        </w:rPr>
      </w:pPr>
      <w:r w:rsidRPr="00644366">
        <w:rPr>
          <w:rFonts w:ascii="Times New Roman" w:hAnsi="Times New Roman" w:cs="Times New Roman"/>
          <w:sz w:val="21"/>
          <w:szCs w:val="21"/>
        </w:rPr>
        <w:t>Hackney had the highest median increase of 0.01%</w:t>
      </w:r>
    </w:p>
    <w:p w14:paraId="0CDB1A20" w14:textId="56F8ABDF" w:rsidR="00587230" w:rsidRPr="00644366" w:rsidRDefault="00587230" w:rsidP="00587230">
      <w:pPr>
        <w:pStyle w:val="ListParagraph"/>
        <w:numPr>
          <w:ilvl w:val="0"/>
          <w:numId w:val="2"/>
        </w:numPr>
        <w:rPr>
          <w:rFonts w:ascii="Times New Roman" w:hAnsi="Times New Roman" w:cs="Times New Roman"/>
          <w:sz w:val="21"/>
          <w:szCs w:val="21"/>
        </w:rPr>
      </w:pPr>
      <w:r w:rsidRPr="00644366">
        <w:rPr>
          <w:rFonts w:ascii="Times New Roman" w:hAnsi="Times New Roman" w:cs="Times New Roman"/>
          <w:sz w:val="21"/>
          <w:szCs w:val="21"/>
        </w:rPr>
        <w:t>City of London had the highest monthly loss of -0.3%; Bexley had the lowest maximum loss, -0.03%</w:t>
      </w:r>
    </w:p>
    <w:p w14:paraId="1CE66DBE" w14:textId="77777777" w:rsidR="00587230" w:rsidRPr="00644366" w:rsidRDefault="00587230" w:rsidP="00587230">
      <w:pPr>
        <w:pStyle w:val="ListParagraph"/>
        <w:rPr>
          <w:rFonts w:ascii="Times New Roman" w:hAnsi="Times New Roman" w:cs="Times New Roman"/>
          <w:sz w:val="21"/>
          <w:szCs w:val="21"/>
        </w:rPr>
      </w:pPr>
    </w:p>
    <w:p w14:paraId="4A9629BA" w14:textId="77777777" w:rsidR="00587230" w:rsidRPr="00644366" w:rsidRDefault="00587230" w:rsidP="00587230">
      <w:pPr>
        <w:rPr>
          <w:rFonts w:ascii="Times New Roman" w:hAnsi="Times New Roman" w:cs="Times New Roman"/>
          <w:sz w:val="21"/>
          <w:szCs w:val="21"/>
        </w:rPr>
      </w:pPr>
      <w:r w:rsidRPr="00644366">
        <w:rPr>
          <w:rFonts w:ascii="Times New Roman" w:hAnsi="Times New Roman" w:cs="Times New Roman"/>
          <w:sz w:val="21"/>
          <w:szCs w:val="21"/>
        </w:rPr>
        <w:t>Histograms of City of London, Hackney, and Bexley were examined, showing that City of London was far more volatile than the other boroughs, and Bexley had quite low volatility.</w:t>
      </w:r>
    </w:p>
    <w:p w14:paraId="1A4C680A" w14:textId="77777777" w:rsidR="00587230" w:rsidRPr="00644366" w:rsidRDefault="00587230" w:rsidP="00587230">
      <w:pPr>
        <w:rPr>
          <w:rFonts w:ascii="Times New Roman" w:hAnsi="Times New Roman" w:cs="Times New Roman"/>
          <w:sz w:val="21"/>
          <w:szCs w:val="21"/>
        </w:rPr>
      </w:pPr>
    </w:p>
    <w:p w14:paraId="7318D3D2" w14:textId="77777777" w:rsidR="00587230" w:rsidRPr="00644366" w:rsidRDefault="00FD7B79" w:rsidP="00587230">
      <w:pPr>
        <w:rPr>
          <w:rFonts w:ascii="Times New Roman" w:hAnsi="Times New Roman" w:cs="Times New Roman"/>
          <w:sz w:val="21"/>
          <w:szCs w:val="21"/>
        </w:rPr>
      </w:pPr>
      <w:r w:rsidRPr="00644366">
        <w:rPr>
          <w:rFonts w:ascii="Times New Roman" w:hAnsi="Times New Roman" w:cs="Times New Roman"/>
          <w:sz w:val="21"/>
          <w:szCs w:val="21"/>
        </w:rPr>
        <w:t xml:space="preserve">When using monthly percent change, City of London grew by approximately 984% since 1995, while Hackney grew by 934% and Bexley grew by 523% in that same time period. When using the yearly percent change, Hackney grew by 911% from January 1995 to May 2020, while City of London and Bexley grew by 818% and 515%, respectively. </w:t>
      </w:r>
    </w:p>
    <w:p w14:paraId="709CCA87" w14:textId="77777777" w:rsidR="00FD7B79" w:rsidRPr="00644366" w:rsidRDefault="00FD7B79" w:rsidP="00587230">
      <w:pPr>
        <w:rPr>
          <w:rFonts w:ascii="Times New Roman" w:hAnsi="Times New Roman" w:cs="Times New Roman"/>
          <w:sz w:val="21"/>
          <w:szCs w:val="21"/>
        </w:rPr>
      </w:pPr>
    </w:p>
    <w:p w14:paraId="2AE45FD7" w14:textId="798BB3B2" w:rsidR="00FD7B79" w:rsidRPr="00644366" w:rsidRDefault="00FD7B79" w:rsidP="00587230">
      <w:pPr>
        <w:rPr>
          <w:rFonts w:ascii="Times New Roman" w:hAnsi="Times New Roman" w:cs="Times New Roman"/>
          <w:sz w:val="21"/>
          <w:szCs w:val="21"/>
        </w:rPr>
      </w:pPr>
      <w:r w:rsidRPr="00644366">
        <w:rPr>
          <w:rFonts w:ascii="Times New Roman" w:hAnsi="Times New Roman" w:cs="Times New Roman"/>
          <w:sz w:val="21"/>
          <w:szCs w:val="21"/>
        </w:rPr>
        <w:t xml:space="preserve">The table of average yearly and monthly growth rates for each borough, on the Summary page of this document, was then created. Bar plots of these were created but did not convey more information than the table itself and so are not included in this report. </w:t>
      </w:r>
    </w:p>
    <w:p w14:paraId="52B8E2E6" w14:textId="77777777" w:rsidR="00FD7B79" w:rsidRPr="00644366" w:rsidRDefault="00FD7B79" w:rsidP="00587230">
      <w:pPr>
        <w:rPr>
          <w:rFonts w:ascii="Times New Roman" w:hAnsi="Times New Roman" w:cs="Times New Roman"/>
          <w:sz w:val="21"/>
          <w:szCs w:val="21"/>
        </w:rPr>
      </w:pPr>
    </w:p>
    <w:p w14:paraId="23723223" w14:textId="5308B9B5" w:rsidR="00FD7B79" w:rsidRPr="00644366" w:rsidRDefault="00FD7B79" w:rsidP="00587230">
      <w:pPr>
        <w:rPr>
          <w:sz w:val="21"/>
          <w:szCs w:val="21"/>
        </w:rPr>
        <w:sectPr w:rsidR="00FD7B79" w:rsidRPr="00644366">
          <w:pgSz w:w="12240" w:h="15840"/>
          <w:pgMar w:top="1440" w:right="1440" w:bottom="1440" w:left="1440" w:header="720" w:footer="720" w:gutter="0"/>
          <w:cols w:space="720"/>
          <w:docGrid w:linePitch="360"/>
        </w:sectPr>
      </w:pPr>
      <w:r w:rsidRPr="00644366">
        <w:rPr>
          <w:rFonts w:ascii="Times New Roman" w:hAnsi="Times New Roman" w:cs="Times New Roman"/>
          <w:sz w:val="21"/>
          <w:szCs w:val="21"/>
        </w:rPr>
        <w:t>A function was defined that easily allows a user to find the ratio between the average house price in an area in 2020 to the average house price in 2000.</w:t>
      </w:r>
    </w:p>
    <w:p w14:paraId="76F230E5" w14:textId="40E1230D" w:rsidR="00F87C58" w:rsidRDefault="00F87C58" w:rsidP="00F87C58"/>
    <w:tbl>
      <w:tblPr>
        <w:tblStyle w:val="TableGrid"/>
        <w:tblpPr w:leftFromText="180" w:rightFromText="180" w:vertAnchor="text" w:horzAnchor="page" w:tblpX="9049" w:tblpY="4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1650"/>
        <w:gridCol w:w="1650"/>
      </w:tblGrid>
      <w:tr w:rsidR="00A43F16" w14:paraId="71C6404F" w14:textId="77777777" w:rsidTr="003F0F7D">
        <w:trPr>
          <w:trHeight w:val="488"/>
        </w:trPr>
        <w:tc>
          <w:tcPr>
            <w:tcW w:w="1650" w:type="dxa"/>
          </w:tcPr>
          <w:p w14:paraId="0D070885" w14:textId="77777777" w:rsidR="00A43F16" w:rsidRPr="00A43F16" w:rsidRDefault="00A43F16" w:rsidP="00A43F16">
            <w:pPr>
              <w:rPr>
                <w:sz w:val="16"/>
                <w:szCs w:val="16"/>
              </w:rPr>
            </w:pPr>
          </w:p>
        </w:tc>
        <w:tc>
          <w:tcPr>
            <w:tcW w:w="1650" w:type="dxa"/>
            <w:vAlign w:val="bottom"/>
          </w:tcPr>
          <w:p w14:paraId="61DE909C" w14:textId="66A00FCA" w:rsidR="00A43F16" w:rsidRPr="003F0F7D" w:rsidRDefault="00A43F16" w:rsidP="003F0F7D">
            <w:pPr>
              <w:jc w:val="center"/>
              <w:rPr>
                <w:b/>
                <w:bCs/>
                <w:sz w:val="22"/>
                <w:szCs w:val="22"/>
              </w:rPr>
            </w:pPr>
            <w:r w:rsidRPr="003F0F7D">
              <w:rPr>
                <w:b/>
                <w:bCs/>
                <w:sz w:val="22"/>
                <w:szCs w:val="22"/>
              </w:rPr>
              <w:t>Hackney</w:t>
            </w:r>
          </w:p>
        </w:tc>
        <w:tc>
          <w:tcPr>
            <w:tcW w:w="1650" w:type="dxa"/>
            <w:vAlign w:val="bottom"/>
          </w:tcPr>
          <w:p w14:paraId="325E96A7" w14:textId="61443C6E" w:rsidR="00A43F16" w:rsidRPr="003F0F7D" w:rsidRDefault="00A43F16" w:rsidP="003F0F7D">
            <w:pPr>
              <w:jc w:val="center"/>
              <w:rPr>
                <w:b/>
                <w:bCs/>
                <w:sz w:val="22"/>
                <w:szCs w:val="22"/>
              </w:rPr>
            </w:pPr>
            <w:r w:rsidRPr="003F0F7D">
              <w:rPr>
                <w:b/>
                <w:bCs/>
                <w:sz w:val="22"/>
                <w:szCs w:val="22"/>
              </w:rPr>
              <w:t>City of London</w:t>
            </w:r>
          </w:p>
        </w:tc>
      </w:tr>
      <w:tr w:rsidR="00A43F16" w14:paraId="13A12505" w14:textId="77777777" w:rsidTr="003F0F7D">
        <w:trPr>
          <w:trHeight w:val="488"/>
        </w:trPr>
        <w:tc>
          <w:tcPr>
            <w:tcW w:w="1650" w:type="dxa"/>
            <w:vAlign w:val="center"/>
          </w:tcPr>
          <w:p w14:paraId="5D9E0704" w14:textId="7F94E8EF" w:rsidR="00A43F16" w:rsidRPr="001E49FE" w:rsidRDefault="00A43F16" w:rsidP="003F0F7D">
            <w:pPr>
              <w:jc w:val="right"/>
              <w:rPr>
                <w:b/>
                <w:bCs/>
                <w:sz w:val="15"/>
                <w:szCs w:val="15"/>
              </w:rPr>
            </w:pPr>
            <w:r w:rsidRPr="001E49FE">
              <w:rPr>
                <w:b/>
                <w:bCs/>
                <w:sz w:val="15"/>
                <w:szCs w:val="15"/>
              </w:rPr>
              <w:t>2020 Average Price</w:t>
            </w:r>
          </w:p>
        </w:tc>
        <w:tc>
          <w:tcPr>
            <w:tcW w:w="1650" w:type="dxa"/>
            <w:vAlign w:val="center"/>
          </w:tcPr>
          <w:p w14:paraId="12800916" w14:textId="4B113147" w:rsidR="00A43F16" w:rsidRPr="001E49FE" w:rsidRDefault="003F0F7D" w:rsidP="003F0F7D">
            <w:pPr>
              <w:jc w:val="center"/>
              <w:rPr>
                <w:sz w:val="15"/>
                <w:szCs w:val="15"/>
              </w:rPr>
            </w:pPr>
            <w:r w:rsidRPr="001E49FE">
              <w:rPr>
                <w:sz w:val="15"/>
                <w:szCs w:val="15"/>
              </w:rPr>
              <w:t>£572,410</w:t>
            </w:r>
          </w:p>
        </w:tc>
        <w:tc>
          <w:tcPr>
            <w:tcW w:w="1650" w:type="dxa"/>
            <w:vAlign w:val="center"/>
          </w:tcPr>
          <w:p w14:paraId="54E9424B" w14:textId="6D9C5C50" w:rsidR="00A43F16" w:rsidRPr="001E49FE" w:rsidRDefault="003F0F7D" w:rsidP="003F0F7D">
            <w:pPr>
              <w:jc w:val="center"/>
              <w:rPr>
                <w:sz w:val="15"/>
                <w:szCs w:val="15"/>
              </w:rPr>
            </w:pPr>
            <w:r w:rsidRPr="001E49FE">
              <w:rPr>
                <w:sz w:val="15"/>
                <w:szCs w:val="15"/>
              </w:rPr>
              <w:t>£899,831</w:t>
            </w:r>
          </w:p>
        </w:tc>
      </w:tr>
      <w:tr w:rsidR="00A43F16" w14:paraId="1592E3F7" w14:textId="77777777" w:rsidTr="003F0F7D">
        <w:trPr>
          <w:trHeight w:val="508"/>
        </w:trPr>
        <w:tc>
          <w:tcPr>
            <w:tcW w:w="1650" w:type="dxa"/>
            <w:vAlign w:val="center"/>
          </w:tcPr>
          <w:p w14:paraId="2815E844" w14:textId="004F869F" w:rsidR="00A43F16" w:rsidRPr="001E49FE" w:rsidRDefault="00A43F16" w:rsidP="003F0F7D">
            <w:pPr>
              <w:jc w:val="right"/>
              <w:rPr>
                <w:b/>
                <w:bCs/>
                <w:sz w:val="15"/>
                <w:szCs w:val="15"/>
              </w:rPr>
            </w:pPr>
            <w:r w:rsidRPr="001E49FE">
              <w:rPr>
                <w:b/>
                <w:bCs/>
                <w:sz w:val="15"/>
                <w:szCs w:val="15"/>
              </w:rPr>
              <w:t>Ratio to 2000 Price</w:t>
            </w:r>
          </w:p>
        </w:tc>
        <w:tc>
          <w:tcPr>
            <w:tcW w:w="1650" w:type="dxa"/>
            <w:vAlign w:val="center"/>
          </w:tcPr>
          <w:p w14:paraId="6B7C3C10" w14:textId="7E1F6E16" w:rsidR="00A43F16" w:rsidRPr="001E49FE" w:rsidRDefault="003F0F7D" w:rsidP="003F0F7D">
            <w:pPr>
              <w:jc w:val="center"/>
              <w:rPr>
                <w:sz w:val="15"/>
                <w:szCs w:val="15"/>
              </w:rPr>
            </w:pPr>
            <w:r w:rsidRPr="001E49FE">
              <w:rPr>
                <w:sz w:val="15"/>
                <w:szCs w:val="15"/>
              </w:rPr>
              <w:t>4.29</w:t>
            </w:r>
          </w:p>
        </w:tc>
        <w:tc>
          <w:tcPr>
            <w:tcW w:w="1650" w:type="dxa"/>
            <w:vAlign w:val="center"/>
          </w:tcPr>
          <w:p w14:paraId="181916F8" w14:textId="12AD4E73" w:rsidR="00A43F16" w:rsidRPr="001E49FE" w:rsidRDefault="003F0F7D" w:rsidP="003F0F7D">
            <w:pPr>
              <w:jc w:val="center"/>
              <w:rPr>
                <w:sz w:val="15"/>
                <w:szCs w:val="15"/>
              </w:rPr>
            </w:pPr>
            <w:r w:rsidRPr="001E49FE">
              <w:rPr>
                <w:sz w:val="15"/>
                <w:szCs w:val="15"/>
              </w:rPr>
              <w:t>3.78</w:t>
            </w:r>
          </w:p>
        </w:tc>
      </w:tr>
      <w:tr w:rsidR="00A43F16" w14:paraId="252F8839" w14:textId="77777777" w:rsidTr="003F0F7D">
        <w:trPr>
          <w:trHeight w:val="488"/>
        </w:trPr>
        <w:tc>
          <w:tcPr>
            <w:tcW w:w="1650" w:type="dxa"/>
            <w:vAlign w:val="center"/>
          </w:tcPr>
          <w:p w14:paraId="3F40333A" w14:textId="5B2EAA3D" w:rsidR="00A43F16" w:rsidRPr="001E49FE" w:rsidRDefault="00A43F16" w:rsidP="003F0F7D">
            <w:pPr>
              <w:jc w:val="right"/>
              <w:rPr>
                <w:b/>
                <w:bCs/>
                <w:sz w:val="15"/>
                <w:szCs w:val="15"/>
              </w:rPr>
            </w:pPr>
            <w:r w:rsidRPr="001E49FE">
              <w:rPr>
                <w:b/>
                <w:bCs/>
                <w:sz w:val="15"/>
                <w:szCs w:val="15"/>
              </w:rPr>
              <w:t>Yearly Growth Rate</w:t>
            </w:r>
          </w:p>
        </w:tc>
        <w:tc>
          <w:tcPr>
            <w:tcW w:w="1650" w:type="dxa"/>
            <w:vAlign w:val="center"/>
          </w:tcPr>
          <w:p w14:paraId="1CFA1043" w14:textId="2EFA56E7" w:rsidR="00A43F16" w:rsidRPr="001E49FE" w:rsidRDefault="003F0F7D" w:rsidP="003F0F7D">
            <w:pPr>
              <w:jc w:val="center"/>
              <w:rPr>
                <w:sz w:val="15"/>
                <w:szCs w:val="15"/>
              </w:rPr>
            </w:pPr>
            <w:r w:rsidRPr="001E49FE">
              <w:rPr>
                <w:sz w:val="15"/>
                <w:szCs w:val="15"/>
              </w:rPr>
              <w:t>9.24</w:t>
            </w:r>
          </w:p>
        </w:tc>
        <w:tc>
          <w:tcPr>
            <w:tcW w:w="1650" w:type="dxa"/>
            <w:vAlign w:val="center"/>
          </w:tcPr>
          <w:p w14:paraId="404EAC29" w14:textId="07313C32" w:rsidR="00A43F16" w:rsidRPr="001E49FE" w:rsidRDefault="003F0F7D" w:rsidP="003F0F7D">
            <w:pPr>
              <w:jc w:val="center"/>
              <w:rPr>
                <w:sz w:val="15"/>
                <w:szCs w:val="15"/>
              </w:rPr>
            </w:pPr>
            <w:r w:rsidRPr="001E49FE">
              <w:rPr>
                <w:sz w:val="15"/>
                <w:szCs w:val="15"/>
              </w:rPr>
              <w:t>8.77</w:t>
            </w:r>
          </w:p>
        </w:tc>
      </w:tr>
      <w:tr w:rsidR="00A43F16" w14:paraId="1510949B" w14:textId="77777777" w:rsidTr="003F0F7D">
        <w:trPr>
          <w:trHeight w:val="488"/>
        </w:trPr>
        <w:tc>
          <w:tcPr>
            <w:tcW w:w="1650" w:type="dxa"/>
            <w:vAlign w:val="center"/>
          </w:tcPr>
          <w:p w14:paraId="2B89B8B1" w14:textId="15DB892D" w:rsidR="00A43F16" w:rsidRPr="001E49FE" w:rsidRDefault="00A43F16" w:rsidP="003F0F7D">
            <w:pPr>
              <w:jc w:val="right"/>
              <w:rPr>
                <w:b/>
                <w:bCs/>
                <w:sz w:val="15"/>
                <w:szCs w:val="15"/>
              </w:rPr>
            </w:pPr>
            <w:r w:rsidRPr="001E49FE">
              <w:rPr>
                <w:b/>
                <w:bCs/>
                <w:sz w:val="15"/>
                <w:szCs w:val="15"/>
              </w:rPr>
              <w:t>Volatility</w:t>
            </w:r>
          </w:p>
        </w:tc>
        <w:tc>
          <w:tcPr>
            <w:tcW w:w="1650" w:type="dxa"/>
            <w:vAlign w:val="center"/>
          </w:tcPr>
          <w:p w14:paraId="5D7F2ACD" w14:textId="21F0E552" w:rsidR="00A43F16" w:rsidRPr="001E49FE" w:rsidRDefault="003F0F7D" w:rsidP="003F0F7D">
            <w:pPr>
              <w:jc w:val="center"/>
              <w:rPr>
                <w:sz w:val="15"/>
                <w:szCs w:val="15"/>
              </w:rPr>
            </w:pPr>
            <w:r w:rsidRPr="001E49FE">
              <w:rPr>
                <w:sz w:val="15"/>
                <w:szCs w:val="15"/>
              </w:rPr>
              <w:t>0.08</w:t>
            </w:r>
          </w:p>
        </w:tc>
        <w:tc>
          <w:tcPr>
            <w:tcW w:w="1650" w:type="dxa"/>
            <w:vAlign w:val="center"/>
          </w:tcPr>
          <w:p w14:paraId="7299E5C4" w14:textId="072D8415" w:rsidR="00A43F16" w:rsidRPr="001E49FE" w:rsidRDefault="003F0F7D" w:rsidP="003F0F7D">
            <w:pPr>
              <w:jc w:val="center"/>
              <w:rPr>
                <w:sz w:val="15"/>
                <w:szCs w:val="15"/>
              </w:rPr>
            </w:pPr>
            <w:r w:rsidRPr="001E49FE">
              <w:rPr>
                <w:sz w:val="15"/>
                <w:szCs w:val="15"/>
              </w:rPr>
              <w:t>0.1</w:t>
            </w:r>
            <w:r w:rsidRPr="001E49FE">
              <w:rPr>
                <w:sz w:val="15"/>
                <w:szCs w:val="15"/>
              </w:rPr>
              <w:t>9</w:t>
            </w:r>
          </w:p>
        </w:tc>
      </w:tr>
      <w:tr w:rsidR="00A43F16" w14:paraId="746F788B" w14:textId="77777777" w:rsidTr="003F0F7D">
        <w:trPr>
          <w:trHeight w:val="488"/>
        </w:trPr>
        <w:tc>
          <w:tcPr>
            <w:tcW w:w="1650" w:type="dxa"/>
            <w:vAlign w:val="center"/>
          </w:tcPr>
          <w:p w14:paraId="3821B049" w14:textId="1799EC03" w:rsidR="00A43F16" w:rsidRPr="001E49FE" w:rsidRDefault="00A43F16" w:rsidP="003F0F7D">
            <w:pPr>
              <w:jc w:val="right"/>
              <w:rPr>
                <w:b/>
                <w:bCs/>
                <w:sz w:val="15"/>
                <w:szCs w:val="15"/>
              </w:rPr>
            </w:pPr>
            <w:r w:rsidRPr="001E49FE">
              <w:rPr>
                <w:b/>
                <w:bCs/>
                <w:sz w:val="15"/>
                <w:szCs w:val="15"/>
              </w:rPr>
              <w:t>Monthly Growth Rate</w:t>
            </w:r>
          </w:p>
        </w:tc>
        <w:tc>
          <w:tcPr>
            <w:tcW w:w="1650" w:type="dxa"/>
            <w:vAlign w:val="center"/>
          </w:tcPr>
          <w:p w14:paraId="7F74C046" w14:textId="22C77997" w:rsidR="00A43F16" w:rsidRPr="001E49FE" w:rsidRDefault="003F0F7D" w:rsidP="003F0F7D">
            <w:pPr>
              <w:jc w:val="center"/>
              <w:rPr>
                <w:sz w:val="15"/>
                <w:szCs w:val="15"/>
              </w:rPr>
            </w:pPr>
            <w:r w:rsidRPr="001E49FE">
              <w:rPr>
                <w:sz w:val="15"/>
                <w:szCs w:val="15"/>
              </w:rPr>
              <w:t>0.74</w:t>
            </w:r>
          </w:p>
        </w:tc>
        <w:tc>
          <w:tcPr>
            <w:tcW w:w="1650" w:type="dxa"/>
            <w:vAlign w:val="center"/>
          </w:tcPr>
          <w:p w14:paraId="3D0142E1" w14:textId="780ACEC7" w:rsidR="00A43F16" w:rsidRPr="001E49FE" w:rsidRDefault="003F0F7D" w:rsidP="003F0F7D">
            <w:pPr>
              <w:jc w:val="center"/>
              <w:rPr>
                <w:sz w:val="15"/>
                <w:szCs w:val="15"/>
              </w:rPr>
            </w:pPr>
            <w:r w:rsidRPr="001E49FE">
              <w:rPr>
                <w:sz w:val="15"/>
                <w:szCs w:val="15"/>
              </w:rPr>
              <w:t>0.75</w:t>
            </w:r>
          </w:p>
        </w:tc>
      </w:tr>
      <w:tr w:rsidR="00A43F16" w14:paraId="197AFEAD" w14:textId="77777777" w:rsidTr="003F0F7D">
        <w:trPr>
          <w:trHeight w:val="508"/>
        </w:trPr>
        <w:tc>
          <w:tcPr>
            <w:tcW w:w="1650" w:type="dxa"/>
            <w:vAlign w:val="center"/>
          </w:tcPr>
          <w:p w14:paraId="73705F49" w14:textId="00773BC6" w:rsidR="00A43F16" w:rsidRPr="001E49FE" w:rsidRDefault="00A43F16" w:rsidP="003F0F7D">
            <w:pPr>
              <w:jc w:val="right"/>
              <w:rPr>
                <w:b/>
                <w:bCs/>
                <w:sz w:val="15"/>
                <w:szCs w:val="15"/>
              </w:rPr>
            </w:pPr>
            <w:r w:rsidRPr="001E49FE">
              <w:rPr>
                <w:b/>
                <w:bCs/>
                <w:sz w:val="15"/>
                <w:szCs w:val="15"/>
              </w:rPr>
              <w:t>Volatility</w:t>
            </w:r>
          </w:p>
        </w:tc>
        <w:tc>
          <w:tcPr>
            <w:tcW w:w="1650" w:type="dxa"/>
            <w:vAlign w:val="center"/>
          </w:tcPr>
          <w:p w14:paraId="390457D9" w14:textId="3B07967E" w:rsidR="00A43F16" w:rsidRPr="001E49FE" w:rsidRDefault="003F0F7D" w:rsidP="003F0F7D">
            <w:pPr>
              <w:jc w:val="center"/>
              <w:rPr>
                <w:sz w:val="15"/>
                <w:szCs w:val="15"/>
              </w:rPr>
            </w:pPr>
            <w:r w:rsidRPr="001E49FE">
              <w:rPr>
                <w:sz w:val="15"/>
                <w:szCs w:val="15"/>
              </w:rPr>
              <w:t>0.02</w:t>
            </w:r>
          </w:p>
        </w:tc>
        <w:tc>
          <w:tcPr>
            <w:tcW w:w="1650" w:type="dxa"/>
            <w:vAlign w:val="center"/>
          </w:tcPr>
          <w:p w14:paraId="76AB020F" w14:textId="038A7112" w:rsidR="00A43F16" w:rsidRPr="001E49FE" w:rsidRDefault="003F0F7D" w:rsidP="003F0F7D">
            <w:pPr>
              <w:jc w:val="center"/>
              <w:rPr>
                <w:sz w:val="15"/>
                <w:szCs w:val="15"/>
              </w:rPr>
            </w:pPr>
            <w:r w:rsidRPr="001E49FE">
              <w:rPr>
                <w:sz w:val="15"/>
                <w:szCs w:val="15"/>
              </w:rPr>
              <w:t>0.07</w:t>
            </w:r>
          </w:p>
        </w:tc>
      </w:tr>
    </w:tbl>
    <w:p w14:paraId="48310464" w14:textId="716E2B95" w:rsidR="003F0F7D" w:rsidRDefault="003F0F7D" w:rsidP="00F87C58">
      <w:r>
        <w:rPr>
          <w:noProof/>
        </w:rPr>
        <w:drawing>
          <wp:anchor distT="0" distB="0" distL="114300" distR="114300" simplePos="0" relativeHeight="251661312" behindDoc="1" locked="0" layoutInCell="1" allowOverlap="1" wp14:anchorId="11C09895" wp14:editId="520D4360">
            <wp:simplePos x="0" y="0"/>
            <wp:positionH relativeFrom="column">
              <wp:posOffset>2086610</wp:posOffset>
            </wp:positionH>
            <wp:positionV relativeFrom="paragraph">
              <wp:posOffset>2240915</wp:posOffset>
            </wp:positionV>
            <wp:extent cx="2286000" cy="2286000"/>
            <wp:effectExtent l="0" t="0" r="0" b="0"/>
            <wp:wrapTight wrapText="bothSides">
              <wp:wrapPolygon edited="0">
                <wp:start x="0" y="0"/>
                <wp:lineTo x="0" y="21480"/>
                <wp:lineTo x="21480" y="21480"/>
                <wp:lineTo x="21480"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AD2C8D9" wp14:editId="0D2B529F">
            <wp:simplePos x="0" y="0"/>
            <wp:positionH relativeFrom="column">
              <wp:posOffset>6309360</wp:posOffset>
            </wp:positionH>
            <wp:positionV relativeFrom="paragraph">
              <wp:posOffset>2685415</wp:posOffset>
            </wp:positionV>
            <wp:extent cx="2011680" cy="2011680"/>
            <wp:effectExtent l="0" t="0" r="0" b="0"/>
            <wp:wrapTight wrapText="bothSides">
              <wp:wrapPolygon edited="0">
                <wp:start x="0" y="0"/>
                <wp:lineTo x="0" y="21409"/>
                <wp:lineTo x="21409" y="21409"/>
                <wp:lineTo x="21409" y="0"/>
                <wp:lineTo x="0" y="0"/>
              </wp:wrapPolygon>
            </wp:wrapTight>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3360" behindDoc="1" locked="0" layoutInCell="1" allowOverlap="1" wp14:anchorId="2156C080" wp14:editId="40E0DA81">
            <wp:simplePos x="0" y="0"/>
            <wp:positionH relativeFrom="column">
              <wp:posOffset>4297680</wp:posOffset>
            </wp:positionH>
            <wp:positionV relativeFrom="paragraph">
              <wp:posOffset>2685415</wp:posOffset>
            </wp:positionV>
            <wp:extent cx="2011680" cy="2011680"/>
            <wp:effectExtent l="0" t="0" r="0" b="0"/>
            <wp:wrapTight wrapText="bothSides">
              <wp:wrapPolygon edited="0">
                <wp:start x="0" y="0"/>
                <wp:lineTo x="0" y="21409"/>
                <wp:lineTo x="21409" y="21409"/>
                <wp:lineTo x="21409" y="0"/>
                <wp:lineTo x="0" y="0"/>
              </wp:wrapPolygon>
            </wp:wrapTight>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A0E190E" wp14:editId="6EC61A03">
            <wp:simplePos x="0" y="0"/>
            <wp:positionH relativeFrom="column">
              <wp:posOffset>-8890</wp:posOffset>
            </wp:positionH>
            <wp:positionV relativeFrom="paragraph">
              <wp:posOffset>2215515</wp:posOffset>
            </wp:positionV>
            <wp:extent cx="2286000" cy="2286000"/>
            <wp:effectExtent l="0" t="0" r="0" b="0"/>
            <wp:wrapTight wrapText="bothSides">
              <wp:wrapPolygon edited="0">
                <wp:start x="0" y="0"/>
                <wp:lineTo x="0" y="21480"/>
                <wp:lineTo x="21480" y="21480"/>
                <wp:lineTo x="21480" y="0"/>
                <wp:lineTo x="0" y="0"/>
              </wp:wrapPolygon>
            </wp:wrapTight>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0E74658" wp14:editId="762E7186">
            <wp:simplePos x="0" y="0"/>
            <wp:positionH relativeFrom="column">
              <wp:posOffset>2085340</wp:posOffset>
            </wp:positionH>
            <wp:positionV relativeFrom="paragraph">
              <wp:posOffset>38100</wp:posOffset>
            </wp:positionV>
            <wp:extent cx="2286000" cy="2286000"/>
            <wp:effectExtent l="0" t="0" r="0" b="0"/>
            <wp:wrapTight wrapText="bothSides">
              <wp:wrapPolygon edited="0">
                <wp:start x="0" y="0"/>
                <wp:lineTo x="0" y="21480"/>
                <wp:lineTo x="21480" y="21480"/>
                <wp:lineTo x="21480"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CC24477" wp14:editId="2570DF2C">
            <wp:simplePos x="0" y="0"/>
            <wp:positionH relativeFrom="column">
              <wp:posOffset>-7620</wp:posOffset>
            </wp:positionH>
            <wp:positionV relativeFrom="paragraph">
              <wp:posOffset>38100</wp:posOffset>
            </wp:positionV>
            <wp:extent cx="2286000" cy="2286000"/>
            <wp:effectExtent l="0" t="0" r="0" b="0"/>
            <wp:wrapTight wrapText="bothSides">
              <wp:wrapPolygon edited="0">
                <wp:start x="0" y="0"/>
                <wp:lineTo x="0" y="21480"/>
                <wp:lineTo x="21480" y="21480"/>
                <wp:lineTo x="21480" y="0"/>
                <wp:lineTo x="0" y="0"/>
              </wp:wrapPolygon>
            </wp:wrapTight>
            <wp:docPr id="3" name="Picture 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p>
    <w:p w14:paraId="00D9402B" w14:textId="2A3196CB" w:rsidR="00F87C58" w:rsidRPr="00F87C58" w:rsidRDefault="003F0F7D" w:rsidP="00F87C58">
      <w:r>
        <w:rPr>
          <w:noProof/>
        </w:rPr>
        <w:drawing>
          <wp:anchor distT="0" distB="0" distL="114300" distR="114300" simplePos="0" relativeHeight="251662336" behindDoc="1" locked="0" layoutInCell="1" allowOverlap="1" wp14:anchorId="16CD36BC" wp14:editId="184491EC">
            <wp:simplePos x="0" y="0"/>
            <wp:positionH relativeFrom="column">
              <wp:posOffset>2090420</wp:posOffset>
            </wp:positionH>
            <wp:positionV relativeFrom="paragraph">
              <wp:posOffset>4196715</wp:posOffset>
            </wp:positionV>
            <wp:extent cx="2286000" cy="2286000"/>
            <wp:effectExtent l="0" t="0" r="0" b="0"/>
            <wp:wrapTight wrapText="bothSides">
              <wp:wrapPolygon edited="0">
                <wp:start x="0" y="0"/>
                <wp:lineTo x="0" y="21480"/>
                <wp:lineTo x="21480" y="21480"/>
                <wp:lineTo x="21480"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8480" behindDoc="1" locked="0" layoutInCell="1" allowOverlap="1" wp14:anchorId="1D649839" wp14:editId="2D6D6EE7">
            <wp:simplePos x="0" y="0"/>
            <wp:positionH relativeFrom="column">
              <wp:posOffset>-7620</wp:posOffset>
            </wp:positionH>
            <wp:positionV relativeFrom="paragraph">
              <wp:posOffset>4196715</wp:posOffset>
            </wp:positionV>
            <wp:extent cx="2286000" cy="2286000"/>
            <wp:effectExtent l="0" t="0" r="0" b="0"/>
            <wp:wrapTight wrapText="bothSides">
              <wp:wrapPolygon edited="0">
                <wp:start x="0" y="0"/>
                <wp:lineTo x="0" y="21480"/>
                <wp:lineTo x="21480" y="21480"/>
                <wp:lineTo x="21480"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3B19D8B9" wp14:editId="37FCBF4C">
            <wp:simplePos x="0" y="0"/>
            <wp:positionH relativeFrom="column">
              <wp:posOffset>6332220</wp:posOffset>
            </wp:positionH>
            <wp:positionV relativeFrom="paragraph">
              <wp:posOffset>4657090</wp:posOffset>
            </wp:positionV>
            <wp:extent cx="2011680" cy="2011680"/>
            <wp:effectExtent l="0" t="0" r="0" b="0"/>
            <wp:wrapTight wrapText="bothSides">
              <wp:wrapPolygon edited="0">
                <wp:start x="0" y="0"/>
                <wp:lineTo x="0" y="21409"/>
                <wp:lineTo x="21409" y="21409"/>
                <wp:lineTo x="21409"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14:sizeRelH relativeFrom="margin">
              <wp14:pctWidth>0</wp14:pctWidth>
            </wp14:sizeRelH>
            <wp14:sizeRelV relativeFrom="margin">
              <wp14:pctHeight>0</wp14:pctHeight>
            </wp14:sizeRelV>
          </wp:anchor>
        </w:drawing>
      </w:r>
      <w:r w:rsidR="00A43F16">
        <w:rPr>
          <w:noProof/>
        </w:rPr>
        <w:drawing>
          <wp:anchor distT="0" distB="0" distL="114300" distR="114300" simplePos="0" relativeHeight="251665408" behindDoc="1" locked="0" layoutInCell="1" allowOverlap="1" wp14:anchorId="6A136D26" wp14:editId="0BC90F0A">
            <wp:simplePos x="0" y="0"/>
            <wp:positionH relativeFrom="column">
              <wp:posOffset>4297680</wp:posOffset>
            </wp:positionH>
            <wp:positionV relativeFrom="paragraph">
              <wp:posOffset>4657090</wp:posOffset>
            </wp:positionV>
            <wp:extent cx="2011680" cy="2011680"/>
            <wp:effectExtent l="0" t="0" r="0" b="0"/>
            <wp:wrapTight wrapText="bothSides">
              <wp:wrapPolygon edited="0">
                <wp:start x="0" y="0"/>
                <wp:lineTo x="0" y="21409"/>
                <wp:lineTo x="21409" y="21409"/>
                <wp:lineTo x="21409" y="0"/>
                <wp:lineTo x="0" y="0"/>
              </wp:wrapPolygon>
            </wp:wrapTight>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14:sizeRelH relativeFrom="margin">
              <wp14:pctWidth>0</wp14:pctWidth>
            </wp14:sizeRelH>
            <wp14:sizeRelV relativeFrom="margin">
              <wp14:pctHeight>0</wp14:pctHeight>
            </wp14:sizeRelV>
          </wp:anchor>
        </w:drawing>
      </w:r>
    </w:p>
    <w:sectPr w:rsidR="00F87C58" w:rsidRPr="00F87C58" w:rsidSect="00A43F16">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4BAC"/>
    <w:multiLevelType w:val="hybridMultilevel"/>
    <w:tmpl w:val="9B04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4B0"/>
    <w:multiLevelType w:val="hybridMultilevel"/>
    <w:tmpl w:val="35E2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58"/>
    <w:rsid w:val="001E49FE"/>
    <w:rsid w:val="003F0F7D"/>
    <w:rsid w:val="00431E8F"/>
    <w:rsid w:val="00587230"/>
    <w:rsid w:val="00644366"/>
    <w:rsid w:val="00A43F16"/>
    <w:rsid w:val="00C0564D"/>
    <w:rsid w:val="00F87C58"/>
    <w:rsid w:val="00FD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C33C"/>
  <w15:chartTrackingRefBased/>
  <w15:docId w15:val="{E1071670-AC1E-B845-BE2E-13B1EE33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C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C5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43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1E8F"/>
    <w:rPr>
      <w:color w:val="0563C1" w:themeColor="hyperlink"/>
      <w:u w:val="single"/>
    </w:rPr>
  </w:style>
  <w:style w:type="character" w:styleId="UnresolvedMention">
    <w:name w:val="Unresolved Mention"/>
    <w:basedOn w:val="DefaultParagraphFont"/>
    <w:uiPriority w:val="99"/>
    <w:semiHidden/>
    <w:unhideWhenUsed/>
    <w:rsid w:val="00431E8F"/>
    <w:rPr>
      <w:color w:val="605E5C"/>
      <w:shd w:val="clear" w:color="auto" w:fill="E1DFDD"/>
    </w:rPr>
  </w:style>
  <w:style w:type="paragraph" w:styleId="ListParagraph">
    <w:name w:val="List Paragraph"/>
    <w:basedOn w:val="Normal"/>
    <w:uiPriority w:val="34"/>
    <w:qFormat/>
    <w:rsid w:val="00587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london.gov.uk/download/uk-house-price-index/70ac0766-8902-4eb5-aab5-01951aaed773/UK%20House%20price%20index.xl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ata.london.gov.uk/"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Rizcallah</dc:creator>
  <cp:keywords/>
  <dc:description/>
  <cp:lastModifiedBy>John Rizcallah</cp:lastModifiedBy>
  <cp:revision>3</cp:revision>
  <dcterms:created xsi:type="dcterms:W3CDTF">2020-10-03T17:57:00Z</dcterms:created>
  <dcterms:modified xsi:type="dcterms:W3CDTF">2020-10-03T19:14:00Z</dcterms:modified>
</cp:coreProperties>
</file>