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8d035c071bab40273c3d7fc2387178c8305904"/>
    <w:p>
      <w:pPr>
        <w:pStyle w:val="Heading1"/>
      </w:pPr>
      <w:r>
        <w:t xml:space="preserve">The Legal Last Mile: Legal and Administrative Conditions and Access to Water and Sanitation — An AI-Assisted Systematic Review and Structured Evidence Synthesis</w:t>
      </w:r>
    </w:p>
    <w:p>
      <w:pPr>
        <w:pStyle w:val="BlockText"/>
      </w:pPr>
      <w:r>
        <w:rPr>
          <w:bCs/>
          <w:b/>
        </w:rPr>
        <w:t xml:space="preserve">DRAFT (generated 2026-10-04) — NOT REVIEWED BY A HUMAN AUTHOR, NOT FOR SUBMISSION.</w:t>
      </w:r>
      <w:r>
        <w:t xml:space="preserve"> </w:t>
      </w:r>
      <w:r>
        <w:t xml:space="preserve">Every number is computed from the repository's databases by Supplementary File S1 and checked by Supplementary File S2. Items in [square brackets] need the author. No literature reference has been invented: each [ref] marks where the author must cite. The review was conducted by an AI under the author's direction, largely without independent human verification (see Methods 2.9 and Limitations); the protocol was</w:t>
      </w:r>
      <w:r>
        <w:t xml:space="preserve"> </w:t>
      </w:r>
      <w:r>
        <w:rPr>
          <w:bCs/>
          <w:b/>
        </w:rPr>
        <w:t xml:space="preserve">not registered before the work was done</w:t>
      </w:r>
      <w:r>
        <w:t xml:space="preserve">. Section 4 (Discussion) contains interpretation, labelled as such.</w:t>
      </w:r>
    </w:p>
    <w:bookmarkStart w:id="20" w:name="abstract-structured-draft"/>
    <w:p>
      <w:pPr>
        <w:pStyle w:val="Heading2"/>
      </w:pPr>
      <w:r>
        <w:t xml:space="preserve">Abstract (structured; draft)</w:t>
      </w:r>
    </w:p>
    <w:p>
      <w:pPr>
        <w:pStyle w:val="FirstParagraph"/>
      </w:pPr>
      <w:r>
        <w:rPr>
          <w:bCs/>
          <w:b/>
        </w:rPr>
        <w:t xml:space="preserve">Background.</w:t>
      </w:r>
      <w:r>
        <w:t xml:space="preserve"> </w:t>
      </w:r>
      <w:r>
        <w:t xml:space="preserve">Physical expansion of water and sanitation infrastructure does not automatically guarantee household connection or effective use where legal, regulatory, and administrative conditions—such as eligibility screening, tenure and documentation rules, tariffs, bureaucratic discretion, and enforcement—operate as barriers at the 'legal last mile.'</w:t>
      </w:r>
    </w:p>
    <w:p>
      <w:pPr>
        <w:pStyle w:val="BodyText"/>
      </w:pPr>
      <w:r>
        <w:rPr>
          <w:bCs/>
          <w:b/>
        </w:rPr>
        <w:t xml:space="preserve">Objective.</w:t>
      </w:r>
      <w:r>
        <w:t xml:space="preserve"> </w:t>
      </w:r>
      <w:r>
        <w:t xml:space="preserve">To map and synthesise the empirical evidence on how legal and administrative institutions shape the translation of physical availability of water and sanitation infrastructure into effective household access, and to synthesise quantitative evidence where it is comparable.</w:t>
      </w:r>
    </w:p>
    <w:p>
      <w:pPr>
        <w:pStyle w:val="BodyText"/>
      </w:pPr>
      <w:r>
        <w:rPr>
          <w:bCs/>
          <w:b/>
        </w:rPr>
        <w:t xml:space="preserve">Methods.</w:t>
      </w:r>
      <w:r>
        <w:t xml:space="preserve"> </w:t>
      </w:r>
      <w:r>
        <w:t xml:space="preserve">An AI-assisted systematic review: 34,594 records from multiple databases (27,481 after deduplication) were screened at title/abstract level and 2,277 full texts assessed; 1,078 reports (representing 1,076 distinct studies; 1,074 counting partial sample overlaps) were included and extracted into a 1,078-row database, and appraised with the instrument matching each design (RoB 2, ROBINS-I, JBI, MMAT, CASP, AMSTAR 2, and a project-specific non-validated framework for legal-documentary studies). Quantitative findings were synthesised without meta-analysis (SWiM). The protocol was not registered in advance; most steps were carried out by a large language model with partial human verification.</w:t>
      </w:r>
    </w:p>
    <w:p>
      <w:pPr>
        <w:pStyle w:val="BodyText"/>
      </w:pPr>
      <w:r>
        <w:rPr>
          <w:bCs/>
          <w:b/>
        </w:rPr>
        <w:t xml:space="preserve">Results.</w:t>
      </w:r>
      <w:r>
        <w:t xml:space="preserve"> </w:t>
      </w:r>
      <w:r>
        <w:t xml:space="preserve">1,078 included reports (1,076 distinct studies; 85% since 2010) spanned many countries (India, Brazil, South Africa, the United States and Ghana the most frequent), but only 62 (6%) used designs able to support a causal claim. 58 studies had an extractable effect-size row; none could be pooled. In three SWiM families the direction of association was mostly favourable for legal-status, tenure and recognition mechanisms (Family A, k = 16), uniformly favourable or mixed for assistance, participation, trust and external-support mechanisms (Family B, k = 5), and without a dominant direction for ownership, regulation, institutional-capacity and administrative-structure mechanisms (Family C, k = 16); the families are thematic mechanism groupings, not homogeneous exposure–outcome pairs. The author independently confirmed 197 chronological full-text inclusions (S001–S200 net of 3 later retirements) and adjudicated a further 270 full-text records (166 exclusions, 104 inclusions) in the scope, consistency, audit and SWiM-core confirmation passes, so 467 of the 2,277 full-text decisions (20.5%) carry human verification or adjudication; no extracted value has been independently verified. Of the 37 studies in the three SWiM families, 27 (73%) carry a recorded human verification of the inclusion decision: 9 from the author's own earlier confirmations and rulings, and 18 entered in the final scope pass after the AI's own narrow-scope and outcome check, which the author has not yet checked against the papers (a source-verification dossier has been prepared for that check); for those 18 a confirmation of both direction codings (raw sign and substantive direction) was recorded on the same basis. 10 were flagged on the check and await the author's ruling, so they are not counted as confirmed. The effect estimates themselves were extracted and checked against the full texts by the AI, not by a human.</w:t>
      </w:r>
    </w:p>
    <w:p>
      <w:pPr>
        <w:pStyle w:val="BodyText"/>
      </w:pPr>
      <w:r>
        <w:rPr>
          <w:bCs/>
          <w:b/>
        </w:rPr>
        <w:t xml:space="preserve">Conclusions.</w:t>
      </w:r>
      <w:r>
        <w:t xml:space="preserve"> </w:t>
      </w:r>
      <w:r>
        <w:t xml:space="preserve">The empirical literature extensively documents associations between legal and administrative conditions and household water and sanitation access across diverse institutional contexts, but rarely employs designs capable of isolating causal effects and does not support a single pooled meta-analytic estimate. Overall certainty for causal or cross-jurisdictional magnitude claims remains low to very low, underscoring the need for quasi-experimental and comparative socio-legal designs targeting specific administrative rules.</w:t>
      </w:r>
    </w:p>
    <w:p>
      <w:pPr>
        <w:pStyle w:val="BodyText"/>
      </w:pPr>
      <w:r>
        <w:rPr>
          <w:bCs/>
          <w:b/>
        </w:rPr>
        <w:t xml:space="preserve">Registration.</w:t>
      </w:r>
      <w:r>
        <w:t xml:space="preserve"> </w:t>
      </w:r>
      <w:r>
        <w:t xml:space="preserve">Not registered before the work was done. The protocol was fixed in writing on 2026-08-22 (see the Repository Audit Trail, Supplementary File S3), before any database was searched, and was registered retrospectively on OSF, frozen at release</w:t>
      </w:r>
      <w:r>
        <w:t xml:space="preserve"> </w:t>
      </w:r>
      <w:r>
        <w:rPr>
          <w:rStyle w:val="VerbatimChar"/>
        </w:rPr>
        <w:t xml:space="preserve">0.2.0-interim</w:t>
      </w:r>
      <w:r>
        <w:t xml:space="preserve"> </w:t>
      </w:r>
      <w:r>
        <w:t xml:space="preserve">(2026-10-14) [author: add the OSF identifier and submission date once submitted, and label the registration retrospective].</w:t>
      </w:r>
    </w:p>
    <w:bookmarkEnd w:id="20"/>
    <w:bookmarkStart w:id="22" w:name="Xe3d0fc0bea9a42ce7605565d0964033d7f6ee47"/>
    <w:p>
      <w:pPr>
        <w:pStyle w:val="Heading2"/>
      </w:pPr>
      <w:r>
        <w:t xml:space="preserve">1. Introduction</w:t>
      </w:r>
    </w:p>
    <w:p>
      <w:pPr>
        <w:pStyle w:val="FirstParagraph"/>
      </w:pPr>
      <w:r>
        <w:t xml:space="preserve">Access to water and sanitation is usually measured by infrastructure coverage, but a household within reach of a network may still be unable to connect, or to keep and use a connection, because of legal and administrative conditions: who is recognised as eligible, what documents or tenure the application requires, what it costs, how much discretion officials hold, and how rules are enforced or reviewed (Bakker et al., 2008; Criqui, 2015; Hackenbroch &amp; Hossain, 2012; Olmstead, 2004). This review calls the gap between physical availability and effective access the</w:t>
      </w:r>
      <w:r>
        <w:t xml:space="preserve"> </w:t>
      </w:r>
      <w:r>
        <w:rPr>
          <w:iCs/>
          <w:i/>
        </w:rPr>
        <w:t xml:space="preserve">legal last mile</w:t>
      </w:r>
      <w:r>
        <w:t xml:space="preserve">. The term organises the question; it is not assumed to be established by the evidence (Supplementary File S4 §14).</w:t>
      </w:r>
    </w:p>
    <w:p>
      <w:pPr>
        <w:pStyle w:val="BodyText"/>
      </w:pPr>
      <w:r>
        <w:t xml:space="preserve">The relevant evidence is scattered across disciplines and designs — public administration, economics, law, geography, public health, development studies — and across mechanisms and outcome measures that are rarely comparable. Most of the systematic reviews in the corpus synthesise a single intervention type or governance model: community participation (Nelson et al., 2021), behaviour-change and legal-provision approaches to household sewer connection (Alam et al., 2025), or the privatisation of one city's water services (Hendraputra, 2026). The closest cross-cutting review in the corpus, a scoping review of access inequalities in slums, organises its 33 studies into five barrier themes, one of which is governance and policy, rather than by the legal and administrative mechanisms through which access is conditioned (Abdulhadi et al., 2024). To the authors' knowledge, no prior synthesis maps this evidence with a mechanism-based framework.</w:t>
      </w:r>
    </w:p>
    <w:p>
      <w:pPr>
        <w:pStyle w:val="BodyText"/>
      </w:pPr>
      <w:r>
        <w:rPr>
          <w:bCs/>
          <w:b/>
        </w:rPr>
        <w:t xml:space="preserve">Objectives.</w:t>
      </w:r>
      <w:r>
        <w:t xml:space="preserve"> </w:t>
      </w:r>
      <w:r>
        <w:t xml:space="preserve">(1) Describe the empirical evidence on legal and administrative conditions and access to water and sanitation, by design, setting, mechanism and outcome. (2) Synthesise quantitative evidence where exposure, comparator, outcome and effect measure are comparable enough to do so defensibly, and otherwise report the direction of association transparently. (3) State what the evidence base does and does not allow us to conclude, including how reliable the review's own process is.</w:t>
      </w:r>
    </w:p>
    <w:bookmarkStart w:id="21" w:name="X447abc036ced1129bca8332ce64e6dab1737105"/>
    <w:p>
      <w:pPr>
        <w:pStyle w:val="Heading3"/>
      </w:pPr>
      <w:r>
        <w:t xml:space="preserve">1.1 Conceptual framework</w:t>
      </w:r>
    </w:p>
    <w:p>
      <w:pPr>
        <w:pStyle w:val="FirstParagraph"/>
      </w:pPr>
      <w:r>
        <w:t xml:space="preserve">Structural conditions (legal and property status, documentation, income, geography, institutional capacity) act through an administrative architecture (eligibility screening, administrative burden, discretion, accommodation, enforcement, review, participation) and administrative navigation (understanding requirements, applying, satisfying requirements, obtaining accommodation, challenging decisions) to produce service access (formal connection, continuity, reliability, quantity, affordability, effective use) and, ultimately, inclusion or exclusion (Supplementary File S4 §5). Administrative law is the central lens, not the only candidate cause; property, planning, municipal, utility-regulatory and political institutions are in scope.</w:t>
      </w:r>
    </w:p>
    <w:bookmarkEnd w:id="21"/>
    <w:bookmarkEnd w:id="22"/>
    <w:bookmarkStart w:id="32" w:name="X13a0e8c10c405dd53d0e570bcbfcb0c8de7ee9e"/>
    <w:p>
      <w:pPr>
        <w:pStyle w:val="Heading2"/>
      </w:pPr>
      <w:r>
        <w:t xml:space="preserve">2. Methods</w:t>
      </w:r>
    </w:p>
    <w:bookmarkStart w:id="23" w:name="Xd3da6107e1fe745e00ab113a136a87e2f340275"/>
    <w:p>
      <w:pPr>
        <w:pStyle w:val="Heading3"/>
      </w:pPr>
      <w:r>
        <w:t xml:space="preserve">2.1 Design, protocol and registration</w:t>
      </w:r>
    </w:p>
    <w:p>
      <w:pPr>
        <w:pStyle w:val="FirstParagraph"/>
      </w:pPr>
      <w:r>
        <w:t xml:space="preserve">The review followed a written protocol (Supplementary File S5, PRISMA-P style), the PRISMA 2020 reporting guideline (Page et al., 2021), and SWiM guidance for synthesis without meta-analysis (Campbell et al., 2020).</w:t>
      </w:r>
      <w:r>
        <w:t xml:space="preserve"> </w:t>
      </w:r>
      <w:r>
        <w:rPr>
          <w:bCs/>
          <w:b/>
        </w:rPr>
        <w:t xml:space="preserve">The protocol was not registered before the work was done.</w:t>
      </w:r>
      <w:r>
        <w:t xml:space="preserve"> </w:t>
      </w:r>
      <w:r>
        <w:t xml:space="preserve">It was fixed in writing on 2026-08-22 (see the Repository Audit Trail, Supplementary File S3), before any database was searched, and an OSF Generalized Systematic Review registration is being filed retrospectively, frozen at release</w:t>
      </w:r>
      <w:r>
        <w:t xml:space="preserve"> </w:t>
      </w:r>
      <w:r>
        <w:rPr>
          <w:rStyle w:val="VerbatimChar"/>
        </w:rPr>
        <w:t xml:space="preserve">0.2.0-interim</w:t>
      </w:r>
      <w:r>
        <w:t xml:space="preserve"> </w:t>
      </w:r>
      <w:r>
        <w:t xml:space="preserve">(2026-10-14) and labelled as such (Supplementary File S6) [author: add the registration identifier and date once submitted]. Specified a priori were the research questions, the PECO frame, the eligibility criteria and exclusion codes, the sources and search strings, the selection process, the 92-field codebook, the design-matched risk-of-bias tools, and the synthesis decision tree with its commitment not to claim a pooled finding unless the tree was satisfied. Decided or clarified afterwards, each with its date in Supplementary File S7: the closure of the search on 2026-09-11 (SSRN and Westlaw/Lexis never searched) and of full-text retrieval on 2026-09-28; rule-based instead of item-by-item appraisal; the narrow reading of eligibility criterion 2 adopted on 2026-10-13 (Section 2.2); the clarification that results never decide eligibility (2026-10-14); the retitling of the synthesis families as thematic groupings (2026-10-14); and the adoption of controlled vocabularies (2026-10-14). The title was amended on 2026-09-28 to state AI assistance; the research question and the wording of the eligibility criteria were not changed (Supplementary File S5 §12).</w:t>
      </w:r>
    </w:p>
    <w:bookmarkEnd w:id="23"/>
    <w:bookmarkStart w:id="24" w:name="X8e65a8097d6010840427e36476abe1d26607851"/>
    <w:p>
      <w:pPr>
        <w:pStyle w:val="Heading3"/>
      </w:pPr>
      <w:r>
        <w:t xml:space="preserve">2.2 Research questions and eligibility</w:t>
      </w:r>
    </w:p>
    <w:p>
      <w:pPr>
        <w:pStyle w:val="FirstParagraph"/>
      </w:pPr>
      <w:r>
        <w:t xml:space="preserve">The primary question asked how legal and administrative institutions shape the translation of physical availability of water and sanitation infrastructure into effective household access, and what evidence exists on the mechanisms by which eligibility screening, administrative burden, discretion, accommodation and enforcement produce or mitigate exclusion. The secondary question asked, where evidence is sufficiently comparable, for the magnitude of association between specific legal or administrative conditions and access outcomes. Studies were eligible if they examined water or sanitation access, examined a legal, administrative, institutional, regulatory or governance factor, and contained empirical evidence or a systematic empirical synthesis with an access-relevant outcome and an identifiable design; English, Portuguese and Dutch were eligible without translation (Supplementary File S8). Qualitative socio-legal studies were not excluded for being unpoolable.</w:t>
      </w:r>
      <w:r>
        <w:t xml:space="preserve"> </w:t>
      </w:r>
      <w:r>
        <w:rPr>
          <w:bCs/>
          <w:b/>
        </w:rPr>
        <w:t xml:space="preserve">Scope reading of criterion 2 (post-hoc).</w:t>
      </w:r>
      <w:r>
        <w:t xml:space="preserve"> </w:t>
      </w:r>
      <w:r>
        <w:t xml:space="preserve">Criterion 2 is literally broad. After a blind re-read by two other AI models disagreed with the AI on about half of the full-text exclusions they re-read (34 of 70 for the primary model; the author's own adjudication of the 52 exclusions flagged by either model then confirmed 49 and reversed 3, Section 5.2), the author ruled on 2026-10-13 that it would be applied as a legal or administrative access rule or mechanism (eligibility screening, administrative burden, documentation or tenure requirements, tariff or cost-recovery rules, discretion or accommodation, enforcement, or utility ownership or regulatory structure directly governing service access) rather than as project delivery, behavioural promotion or unanalysed macro-governance background, and to included and excluded studies alike. Because this was decided after the disagreement was seen, it is a post-hoc interpretive clarification of unchanged wording, not an a priori rule. It was followed on 2026-10-13 and 14 by consistency passes over the included studies applying criterion 3 (no primary data and no systematic method, code E05), criterion 4 (the outcome is not a household access outcome, E04) and the exposure test (E03); in these passes 86 included reports were moved to the exclusions and 3 exclusions to the inclusions. Eligibility never depends on the significance, magnitude or direction of a study's estimate (clarification of 2026-10-14).</w:t>
      </w:r>
    </w:p>
    <w:bookmarkEnd w:id="24"/>
    <w:bookmarkStart w:id="25" w:name="Xc9e1d4abe01cfeb139a773523bde3a3c67a68e5"/>
    <w:p>
      <w:pPr>
        <w:pStyle w:val="Heading3"/>
      </w:pPr>
      <w:r>
        <w:t xml:space="preserve">2.3 Search and selection</w:t>
      </w:r>
    </w:p>
    <w:p>
      <w:pPr>
        <w:pStyle w:val="FirstParagraph"/>
      </w:pPr>
      <w:r>
        <w:t xml:space="preserve">Searches closed on 2026-09-11; SSRN and Westlaw/Lexis were not searched (Supplementary File S9, README Known limitations). Selection was by an AI first pass (title/abstract and full text) with written rationales and standardised exclusion codes (E01–E12); the human reviewer (the author) covered the 3,665 title/abstract records the AI marked include or unsure, and confirmed 197 of the 1,078 full-text includes; the author then adjudicated 270 further full-text decisions, so 467 of the 2,277 decisions (20.5%) carry human verification or adjudication. Full-text retrieval was closed by the author's decision on 2026-09-28 with 1,382 title/abstract includes never assessed; the unassessed set is older on average (see 3.1). The 1,078 included items are reports, describing 1,076 distinct studies on the definite same-data links (1,074 counting the partial overlaps); no companion report was collapsed.</w:t>
      </w:r>
    </w:p>
    <w:bookmarkEnd w:id="25"/>
    <w:bookmarkStart w:id="26" w:name="Xe6fcde550539b21dc6f5892e304b31b0839c1d6"/>
    <w:p>
      <w:pPr>
        <w:pStyle w:val="Heading3"/>
      </w:pPr>
      <w:r>
        <w:t xml:space="preserve">2.4 Data extraction</w:t>
      </w:r>
    </w:p>
    <w:p>
      <w:pPr>
        <w:pStyle w:val="FirstParagraph"/>
      </w:pPr>
      <w:r>
        <w:t xml:space="preserve">A 92-field extraction form (Supplementary File S10) was completed for every included study by the AI, largely from full text; 10 studies were extracted from abstract or metadata only and an audit found further rows with signs of shallow extraction (Limitations). The AI later re-read 127 studies from full texts found in the author's Drive; of the 76 rows flagged only by the sparse-record audit, 9 had an abstract-level extraction that was materially wrong or incomplete (Supplementary File S11). There was no second extractor. A seeded sample for human second extraction has been prepared (Supplementary File S12) but not yet completed.</w:t>
      </w:r>
    </w:p>
    <w:bookmarkEnd w:id="26"/>
    <w:bookmarkStart w:id="27" w:name="Xc3593c5f6690a2c6d63a1627c005b05036497c5"/>
    <w:p>
      <w:pPr>
        <w:pStyle w:val="Heading3"/>
      </w:pPr>
      <w:r>
        <w:t xml:space="preserve">2.5 Risk of bias and critical appraisal</w:t>
      </w:r>
    </w:p>
    <w:p>
      <w:pPr>
        <w:pStyle w:val="FirstParagraph"/>
      </w:pPr>
      <w:r>
        <w:t xml:space="preserve">Each study was appraised with the instrument matching its design: RoB 2 (cluster variant) for randomised trials (5 reports of 4 distinct trials), ROBINS-I (57), JBI cross-sectional (129), MMAT (195), CASP qualitative (248) and AMSTAR 2 for systematic reviews (18). For 426 legal-documentary or doctrinal studies no published instrument fits, and this project's own</w:t>
      </w:r>
      <w:r>
        <w:t xml:space="preserve"> </w:t>
      </w:r>
      <w:r>
        <w:rPr>
          <w:bCs/>
          <w:b/>
        </w:rPr>
        <w:t xml:space="preserve">non-validated</w:t>
      </w:r>
      <w:r>
        <w:t xml:space="preserve"> </w:t>
      </w:r>
      <w:r>
        <w:t xml:space="preserve">Legal Institutional Evidence Appraisal Framework was used; no study was judged not appraisable. Ratings were assigned by rule from the extracted fields, not by signalling-question reading of each paper, except for the studies re-appraised from full text (listed in Supplementary File S7). Ratings therefore describe the extraction as much as the paper.</w:t>
      </w:r>
    </w:p>
    <w:bookmarkEnd w:id="27"/>
    <w:bookmarkStart w:id="28" w:name="X9fc8cfaecae3d2d02a3b019aba342b7c70ed078"/>
    <w:p>
      <w:pPr>
        <w:pStyle w:val="Heading3"/>
      </w:pPr>
      <w:r>
        <w:t xml:space="preserve">2.6 Synthesis</w:t>
      </w:r>
    </w:p>
    <w:p>
      <w:pPr>
        <w:pStyle w:val="FirstParagraph"/>
      </w:pPr>
      <w:r>
        <w:t xml:space="preserve">Each study was coded to one of nine mechanism families (eligibility, status and documentation; procedural burden; fees, tariffs and subsidies; discretion and accommodation; enforcement and sanctions; review and redress; institutional structure and coordination; participation and assistance; regulatory model and ownership) or to</w:t>
      </w:r>
      <w:r>
        <w:t xml:space="preserve"> </w:t>
      </w:r>
      <w:r>
        <w:rPr>
          <w:rStyle w:val="VerbatimChar"/>
        </w:rPr>
        <w:t xml:space="preserve">multiple</w:t>
      </w:r>
      <w:r>
        <w:t xml:space="preserve">, and to one of four outcome families (primary connection, effective access, economic access, administrative outcome) or</w:t>
      </w:r>
      <w:r>
        <w:t xml:space="preserve"> </w:t>
      </w:r>
      <w:r>
        <w:rPr>
          <w:rStyle w:val="VerbatimChar"/>
        </w:rPr>
        <w:t xml:space="preserve">multiple</w:t>
      </w:r>
      <w:r>
        <w:t xml:space="preserve">; the families are not pooled with each other. The labels were mapped from the free-text labels of the extraction by keyword rules, with the rows the rules could not place resolved by the AI under the author's review (four studies the mapping could not place were excluded), and the original labels are preserved; the mapping is mechanical and unvalidated, and the author has not checked it. Free-text study-design labels were mapped to the design list (eight values plus</w:t>
      </w:r>
      <w:r>
        <w:t xml:space="preserve"> </w:t>
      </w:r>
      <w:r>
        <w:rPr>
          <w:rStyle w:val="VerbatimChar"/>
        </w:rPr>
        <w:t xml:space="preserve">other</w:t>
      </w:r>
      <w:r>
        <w:t xml:space="preserve">) in the same way. A feasibility judgment (Supplementary File S13) concluded that no family reaches the bar for meta-analysis, so 58 effect-size rows were compiled, 37 of them into three structured syntheses reporting direction and significance of each study's own estimate (SWiM) and the rest recorded as reasoned non-fits with their reasons. For each family-assigned study the raw coefficient sign of the estimate and its substantive direction for household access, affordability or equity (Favourable, Unfavourable, Null or Mixed) were coded separately, because the two readings differ when the outcome is adverse (a tariff, an interruption, a collection time) or the exposure is a non-recognised status; both codings are the AI's. The family assignments were made by judgement and organise the write-up only: on a keyword reading of the exposure definitions, 23 of 37 family-assigned rows sit outside the wording of the family they were placed in (Supplementary File S14), so the families are loose groupings, not tests of the specified constructs. Families A, B and C are therefore reported as thematic mechanism groupings used to organise structured vote counting (SWiM), not as homogeneous exposure–outcome pairs, and their headings describe the clusters actually synthesised (legal status, tenure, recognition and governance arrangements; assistance, participation, trust and external support; ownership, regulation, institutional capacity and administrative structure), which is also why pooling was rejected. No effect was converted to a common scale. Of the 37 studies in the three SWiM families, 27 (73%) carry a recorded human verification of the inclusion decision: 9 from the author's own earlier confirmations and rulings, and 18 entered in the final scope pass after the AI's own narrow-scope and outcome check, which the author has not yet checked against the papers (a source-verification dossier has been prepared for that check); for those 18 a confirmation of both direction codings (raw sign and substantive direction) was recorded on the same basis. 10 were flagged on the check and await the author's ruling, so they are not counted as confirmed. The effect estimates themselves were extracted and checked against the full texts by the AI, not by a human. Sensitivity analyses removed abstract-only and shallow extractions, linked reports, the remaining Family A coding judgment call, recoded the direction of two studies (the fully adjusted estimate of S471; the household-access reading of S879) and kept only the studies where the two readings agree, and would remove the rows of studies not flagged eligible (none remain since S589's row was taken out on 2026-10-14); they are reported as a supplementary table (Supplementary File S15), a standing pre-publication requirement.</w:t>
      </w:r>
    </w:p>
    <w:bookmarkEnd w:id="28"/>
    <w:bookmarkStart w:id="29" w:name="X6c06e75b38683b94af586d748d75efc5a8db992"/>
    <w:p>
      <w:pPr>
        <w:pStyle w:val="Heading3"/>
      </w:pPr>
      <w:r>
        <w:t xml:space="preserve">2.7 Secondary reviews</w:t>
      </w:r>
    </w:p>
    <w:p>
      <w:pPr>
        <w:pStyle w:val="FirstParagraph"/>
      </w:pPr>
      <w:r>
        <w:t xml:space="preserve">Systematic reviews in the corpus are treated as secondary evidence and never pooled as if primary; their primary studies may also be in the corpus (a double-counting risk assessed only in part, Limitations).</w:t>
      </w:r>
    </w:p>
    <w:bookmarkEnd w:id="29"/>
    <w:bookmarkStart w:id="30" w:name="X9aa01c7253cc2ac3617f359aff160a0f98d0c23"/>
    <w:p>
      <w:pPr>
        <w:pStyle w:val="Heading3"/>
      </w:pPr>
      <w:r>
        <w:t xml:space="preserve">2.8 Data and code</w:t>
      </w:r>
    </w:p>
    <w:p>
      <w:pPr>
        <w:pStyle w:val="FirstParagraph"/>
      </w:pPr>
      <w:r>
        <w:t xml:space="preserve">All databases, scripts and generated figures are in the project repository; a verification script (Supplementary File S2) re-derives every quoted figure and checks that generated files are current. Every dated decision, rule change and adjudication, including the author's rulings on the screening decisions, is recorded in the Repository Audit Trail (Supplementary File S3), and the files cited in the text are indexed in the Appendix.</w:t>
      </w:r>
    </w:p>
    <w:bookmarkEnd w:id="30"/>
    <w:bookmarkStart w:id="31" w:name="X19110ca892acb235d4262f1bca9fad5293600e7"/>
    <w:p>
      <w:pPr>
        <w:pStyle w:val="Heading3"/>
      </w:pPr>
      <w:r>
        <w:t xml:space="preserve">2.9 Use of artificial intelligence</w:t>
      </w:r>
    </w:p>
    <w:p>
      <w:pPr>
        <w:pStyle w:val="FirstParagraph"/>
      </w:pPr>
      <w:r>
        <w:t xml:space="preserve">This is an AI-assisted systematic review. A large language model (Claude, Anthropic) performed most of the title/abstract first-pass screening, full-text screening, data extraction, risk-of-bias appraisal and synthesis drafting, under the direction of the author, who defined the question, protocol and eligibility criteria, ran the database searches, supplied the full texts and made the closing and scoping decisions. Independent human verification was partial: a human second reviewer covered the 3,665 title/abstract records the AI marked include or unsure (not the AI's exclusions), and confirmed 197 of the 1,078 full-text includes; no extracted value or risk-of-bias rating has been independently verified against source papers, and the author adjudicated 270 further full-text decisions (166 exclusions, 104 inclusions), so 467 of the 2,277 full-text decisions (20.5%) carry human verification or adjudication, but the remaining AI full-text decisions have not been checked by a human. Model and tool provenance, as logged in the repository: Claude (Anthropic) made the title/abstract first-pass decisions (labels</w:t>
      </w:r>
      <w:r>
        <w:t xml:space="preserve"> </w:t>
      </w:r>
      <w:r>
        <w:rPr>
          <w:rStyle w:val="VerbatimChar"/>
        </w:rPr>
        <w:t xml:space="preserve">Claude-AI-1stpass-2026-09-10</w:t>
      </w:r>
      <w:r>
        <w:t xml:space="preserve"> </w:t>
      </w:r>
      <w:r>
        <w:t xml:space="preserve">and</w:t>
      </w:r>
      <w:r>
        <w:t xml:space="preserve"> </w:t>
      </w:r>
      <w:r>
        <w:rPr>
          <w:rStyle w:val="VerbatimChar"/>
        </w:rPr>
        <w:t xml:space="preserve">-2026-09-11</w:t>
      </w:r>
      <w:r>
        <w:t xml:space="preserve">), the full-text decisions (labels</w:t>
      </w:r>
      <w:r>
        <w:t xml:space="preserve"> </w:t>
      </w:r>
      <w:r>
        <w:rPr>
          <w:rStyle w:val="VerbatimChar"/>
        </w:rPr>
        <w:t xml:space="preserve">Claude-AI-fulltext-2026-09-12</w:t>
      </w:r>
      <w:r>
        <w:t xml:space="preserve"> </w:t>
      </w:r>
      <w:r>
        <w:t xml:space="preserve">to</w:t>
      </w:r>
      <w:r>
        <w:t xml:space="preserve"> </w:t>
      </w:r>
      <w:r>
        <w:rPr>
          <w:rStyle w:val="VerbatimChar"/>
        </w:rPr>
        <w:t xml:space="preserve">Claude-AI-fulltext-2026-10-14</w:t>
      </w:r>
      <w:r>
        <w:t xml:space="preserve">, plus 60 early rows labelled</w:t>
      </w:r>
      <w:r>
        <w:t xml:space="preserve"> </w:t>
      </w:r>
      <w:r>
        <w:rPr>
          <w:rStyle w:val="VerbatimChar"/>
        </w:rPr>
        <w:t xml:space="preserve">claude_sonnet_5</w:t>
      </w:r>
      <w:r>
        <w:t xml:space="preserve"> </w:t>
      </w:r>
      <w:r>
        <w:t xml:space="preserve">and 519 legacy rows labelled</w:t>
      </w:r>
      <w:r>
        <w:t xml:space="preserve"> </w:t>
      </w:r>
      <w:r>
        <w:rPr>
          <w:rStyle w:val="VerbatimChar"/>
        </w:rPr>
        <w:t xml:space="preserve">Claude</w:t>
      </w:r>
      <w:r>
        <w:t xml:space="preserve"> </w:t>
      </w:r>
      <w:r>
        <w:t xml:space="preserve">or</w:t>
      </w:r>
      <w:r>
        <w:t xml:space="preserve"> </w:t>
      </w:r>
      <w:r>
        <w:rPr>
          <w:rStyle w:val="VerbatimChar"/>
        </w:rPr>
        <w:t xml:space="preserve">claude</w:t>
      </w:r>
      <w:r>
        <w:t xml:space="preserve">) and the extraction and appraisal records (labels dated 2026-09-12 to 2026-10-14). The repository records a Claude model version only as the label</w:t>
      </w:r>
      <w:r>
        <w:t xml:space="preserve"> </w:t>
      </w:r>
      <w:r>
        <w:rPr>
          <w:rStyle w:val="VerbatimChar"/>
        </w:rPr>
        <w:t xml:space="preserve">claude_sonnet_5</w:t>
      </w:r>
      <w:r>
        <w:t xml:space="preserve"> </w:t>
      </w:r>
      <w:r>
        <w:t xml:space="preserve">on those 60 rows and as "Claude Sonnet 5" in the second-reviewer tools disclosure for 2026-10-03 and 2026-10-04; for the other decisions only the stage and the date are logged, so the exact Claude model version behind them is not recorded. The blind second reviewers (full-text re-screening, 2026-10-03 to 2026-10-04) were OpenAI Codex CLI 0.160.0 with model</w:t>
      </w:r>
      <w:r>
        <w:t xml:space="preserve"> </w:t>
      </w:r>
      <w:r>
        <w:rPr>
          <w:rStyle w:val="VerbatimChar"/>
        </w:rPr>
        <w:t xml:space="preserve">gpt-5.6-sol</w:t>
      </w:r>
      <w:r>
        <w:t xml:space="preserve"> </w:t>
      </w:r>
      <w:r>
        <w:t xml:space="preserve">(reasoning effort high) and Google Gemini CLI with model</w:t>
      </w:r>
      <w:r>
        <w:t xml:space="preserve"> </w:t>
      </w:r>
      <w:r>
        <w:rPr>
          <w:rStyle w:val="VerbatimChar"/>
        </w:rPr>
        <w:t xml:space="preserve">gemini-3.1-flash-lite</w:t>
      </w:r>
      <w:r>
        <w:t xml:space="preserve"> </w:t>
      </w:r>
      <w:r>
        <w:t xml:space="preserve">(</w:t>
      </w:r>
      <w:r>
        <w:rPr>
          <w:rStyle w:val="VerbatimChar"/>
        </w:rPr>
        <w:t xml:space="preserve">gemini-2.5-flash</w:t>
      </w:r>
      <w:r>
        <w:t xml:space="preserve"> </w:t>
      </w:r>
      <w:r>
        <w:t xml:space="preserve">was tried first and dropped when its daily quota ran out); their labels are in</w:t>
      </w:r>
      <w:r>
        <w:t xml:space="preserve"> </w:t>
      </w:r>
      <w:r>
        <w:rPr>
          <w:rStyle w:val="VerbatimChar"/>
        </w:rPr>
        <w:t xml:space="preserve">reviewer_2</w:t>
      </w:r>
      <w:r>
        <w:t xml:space="preserve"> </w:t>
      </w:r>
      <w:r>
        <w:t xml:space="preserve">of the full-text database and the tools are described in Supplementary File S16. The stage-by-stage division of labour is tabulated in Supplementary File S17.</w:t>
      </w:r>
    </w:p>
    <w:bookmarkEnd w:id="31"/>
    <w:bookmarkEnd w:id="32"/>
    <w:bookmarkStart w:id="40" w:name="Xc0c84230492598220627d6d71355f36de6acb67"/>
    <w:p>
      <w:pPr>
        <w:pStyle w:val="Heading2"/>
      </w:pPr>
      <w:r>
        <w:t xml:space="preserve">3. Results</w:t>
      </w:r>
    </w:p>
    <w:bookmarkStart w:id="33" w:name="X61513b2143ad34f3e9884952f1f2a4734b63493"/>
    <w:p>
      <w:pPr>
        <w:pStyle w:val="Heading3"/>
      </w:pPr>
      <w:r>
        <w:t xml:space="preserve">3.1 Search and selection</w:t>
      </w:r>
    </w:p>
    <w:p>
      <w:pPr>
        <w:pStyle w:val="FirstParagraph"/>
      </w:pPr>
      <w:r>
        <w:t xml:space="preserve">The database and grey-literature searches identified 34,594 records; 27,481 remained after deduplication. 26,222 had an abstract and were screened at title/abstract level (1,259 without an abstract were not decided); 3,659 were retained for full-text assessment. Full-text retrieval was closed by the author's decision: 2,277 of 3,659 records were assessed and 1,382 were never assessed (1,200 not retrievable, 182 for which the wrong file was obtained). Of the 2,277 assessed, 1,199 were excluded (151 because the full text was inaccessible; reasons for the others are in Supplementary File S18) and 1,078 were included (1,078 extraction rows, one per included report). The 1,078 reports describe 1,076 distinct studies on the two definite same-data links (S294/S366, S097/S098) and 1,074 counting the two partial-overlap links (S681/S682, S357/S369). No pair was collapsed, because companion reports carry distinct outcome-specific extractions and risk-of-bias ratings; the five RoB 2 report rows are four distinct cluster-randomised trials, and S526/S539 are flagged for verification of sample overlap before any future pooling.</w:t>
      </w:r>
    </w:p>
    <w:p>
      <w:pPr>
        <w:pStyle w:val="BodyText"/>
      </w:pPr>
      <w:r>
        <w:t xml:space="preserve">Reasons for full-text exclusion (standardised codes; per-record rationale in Supplementary File S18):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Reason (as labelled in the README)</w:t>
            </w:r>
          </w:p>
        </w:tc>
        <w:tc>
          <w:tcPr/>
          <w:p>
            <w:pPr>
              <w:pStyle w:val="Compact"/>
              <w:jc w:val="left"/>
            </w:pPr>
            <w:r>
              <w:t xml:space="preserve">Full-text exclusions</w:t>
            </w:r>
          </w:p>
        </w:tc>
      </w:tr>
      <w:tr>
        <w:tc>
          <w:tcPr/>
          <w:p>
            <w:pPr>
              <w:pStyle w:val="Compact"/>
              <w:jc w:val="left"/>
            </w:pPr>
            <w:r>
              <w:t xml:space="preserve">E01</w:t>
            </w:r>
          </w:p>
        </w:tc>
        <w:tc>
          <w:tcPr/>
          <w:p>
            <w:pPr>
              <w:pStyle w:val="Compact"/>
              <w:jc w:val="left"/>
            </w:pPr>
            <w:r>
              <w:t xml:space="preserve">wrong topic</w:t>
            </w:r>
          </w:p>
        </w:tc>
        <w:tc>
          <w:tcPr/>
          <w:p>
            <w:pPr>
              <w:pStyle w:val="Compact"/>
              <w:jc w:val="left"/>
            </w:pPr>
            <w:r>
              <w:t xml:space="preserve">490</w:t>
            </w:r>
          </w:p>
        </w:tc>
      </w:tr>
      <w:tr>
        <w:tc>
          <w:tcPr/>
          <w:p>
            <w:pPr>
              <w:pStyle w:val="Compact"/>
              <w:jc w:val="left"/>
            </w:pPr>
            <w:r>
              <w:t xml:space="preserve">E02</w:t>
            </w:r>
          </w:p>
        </w:tc>
        <w:tc>
          <w:tcPr/>
          <w:p>
            <w:pPr>
              <w:pStyle w:val="Compact"/>
              <w:jc w:val="left"/>
            </w:pPr>
            <w:r>
              <w:t xml:space="preserve">wrong population</w:t>
            </w:r>
          </w:p>
        </w:tc>
        <w:tc>
          <w:tcPr/>
          <w:p>
            <w:pPr>
              <w:pStyle w:val="Compact"/>
              <w:jc w:val="left"/>
            </w:pPr>
            <w:r>
              <w:t xml:space="preserve">34</w:t>
            </w:r>
          </w:p>
        </w:tc>
      </w:tr>
      <w:tr>
        <w:tc>
          <w:tcPr/>
          <w:p>
            <w:pPr>
              <w:pStyle w:val="Compact"/>
              <w:jc w:val="left"/>
            </w:pPr>
            <w:r>
              <w:t xml:space="preserve">E03</w:t>
            </w:r>
          </w:p>
        </w:tc>
        <w:tc>
          <w:tcPr/>
          <w:p>
            <w:pPr>
              <w:pStyle w:val="Compact"/>
              <w:jc w:val="left"/>
            </w:pPr>
            <w:r>
              <w:t xml:space="preserve">wrong exposure</w:t>
            </w:r>
          </w:p>
        </w:tc>
        <w:tc>
          <w:tcPr/>
          <w:p>
            <w:pPr>
              <w:pStyle w:val="Compact"/>
              <w:jc w:val="left"/>
            </w:pPr>
            <w:r>
              <w:t xml:space="preserve">88</w:t>
            </w:r>
          </w:p>
        </w:tc>
      </w:tr>
      <w:tr>
        <w:tc>
          <w:tcPr/>
          <w:p>
            <w:pPr>
              <w:pStyle w:val="Compact"/>
              <w:jc w:val="left"/>
            </w:pPr>
            <w:r>
              <w:t xml:space="preserve">E04</w:t>
            </w:r>
          </w:p>
        </w:tc>
        <w:tc>
          <w:tcPr/>
          <w:p>
            <w:pPr>
              <w:pStyle w:val="Compact"/>
              <w:jc w:val="left"/>
            </w:pPr>
            <w:r>
              <w:t xml:space="preserve">wrong outcome</w:t>
            </w:r>
          </w:p>
        </w:tc>
        <w:tc>
          <w:tcPr/>
          <w:p>
            <w:pPr>
              <w:pStyle w:val="Compact"/>
              <w:jc w:val="left"/>
            </w:pPr>
            <w:r>
              <w:t xml:space="preserve">87</w:t>
            </w:r>
          </w:p>
        </w:tc>
      </w:tr>
      <w:tr>
        <w:tc>
          <w:tcPr/>
          <w:p>
            <w:pPr>
              <w:pStyle w:val="Compact"/>
              <w:jc w:val="left"/>
            </w:pPr>
            <w:r>
              <w:t xml:space="preserve">E05</w:t>
            </w:r>
          </w:p>
        </w:tc>
        <w:tc>
          <w:tcPr/>
          <w:p>
            <w:pPr>
              <w:pStyle w:val="Compact"/>
              <w:jc w:val="left"/>
            </w:pPr>
            <w:r>
              <w:t xml:space="preserve">no empirical evidence</w:t>
            </w:r>
          </w:p>
        </w:tc>
        <w:tc>
          <w:tcPr/>
          <w:p>
            <w:pPr>
              <w:pStyle w:val="Compact"/>
              <w:jc w:val="left"/>
            </w:pPr>
            <w:r>
              <w:t xml:space="preserve">157</w:t>
            </w:r>
          </w:p>
        </w:tc>
      </w:tr>
      <w:tr>
        <w:tc>
          <w:tcPr/>
          <w:p>
            <w:pPr>
              <w:pStyle w:val="Compact"/>
              <w:jc w:val="left"/>
            </w:pPr>
            <w:r>
              <w:t xml:space="preserve">E06</w:t>
            </w:r>
          </w:p>
        </w:tc>
        <w:tc>
          <w:tcPr/>
          <w:p>
            <w:pPr>
              <w:pStyle w:val="Compact"/>
              <w:jc w:val="left"/>
            </w:pPr>
            <w:r>
              <w:t xml:space="preserve">engineering only</w:t>
            </w:r>
          </w:p>
        </w:tc>
        <w:tc>
          <w:tcPr/>
          <w:p>
            <w:pPr>
              <w:pStyle w:val="Compact"/>
              <w:jc w:val="left"/>
            </w:pPr>
            <w:r>
              <w:t xml:space="preserve">106</w:t>
            </w:r>
          </w:p>
        </w:tc>
      </w:tr>
      <w:tr>
        <w:tc>
          <w:tcPr/>
          <w:p>
            <w:pPr>
              <w:pStyle w:val="Compact"/>
              <w:jc w:val="left"/>
            </w:pPr>
            <w:r>
              <w:t xml:space="preserve">E07</w:t>
            </w:r>
          </w:p>
        </w:tc>
        <w:tc>
          <w:tcPr/>
          <w:p>
            <w:pPr>
              <w:pStyle w:val="Compact"/>
              <w:jc w:val="left"/>
            </w:pPr>
            <w:r>
              <w:t xml:space="preserve">wrong service</w:t>
            </w:r>
          </w:p>
        </w:tc>
        <w:tc>
          <w:tcPr/>
          <w:p>
            <w:pPr>
              <w:pStyle w:val="Compact"/>
              <w:jc w:val="left"/>
            </w:pPr>
            <w:r>
              <w:t xml:space="preserve">30</w:t>
            </w:r>
          </w:p>
        </w:tc>
      </w:tr>
      <w:tr>
        <w:tc>
          <w:tcPr/>
          <w:p>
            <w:pPr>
              <w:pStyle w:val="Compact"/>
              <w:jc w:val="left"/>
            </w:pPr>
            <w:r>
              <w:t xml:space="preserve">E08</w:t>
            </w:r>
          </w:p>
        </w:tc>
        <w:tc>
          <w:tcPr/>
          <w:p>
            <w:pPr>
              <w:pStyle w:val="Compact"/>
              <w:jc w:val="left"/>
            </w:pPr>
            <w:r>
              <w:t xml:space="preserve">duplicate</w:t>
            </w:r>
          </w:p>
        </w:tc>
        <w:tc>
          <w:tcPr/>
          <w:p>
            <w:pPr>
              <w:pStyle w:val="Compact"/>
              <w:jc w:val="left"/>
            </w:pPr>
            <w:r>
              <w:t xml:space="preserve">8</w:t>
            </w:r>
          </w:p>
        </w:tc>
      </w:tr>
      <w:tr>
        <w:tc>
          <w:tcPr/>
          <w:p>
            <w:pPr>
              <w:pStyle w:val="Compact"/>
              <w:jc w:val="left"/>
            </w:pPr>
            <w:r>
              <w:t xml:space="preserve">E09</w:t>
            </w:r>
          </w:p>
        </w:tc>
        <w:tc>
          <w:tcPr/>
          <w:p>
            <w:pPr>
              <w:pStyle w:val="Compact"/>
              <w:jc w:val="left"/>
            </w:pPr>
            <w:r>
              <w:t xml:space="preserve">insufficient information</w:t>
            </w:r>
          </w:p>
        </w:tc>
        <w:tc>
          <w:tcPr/>
          <w:p>
            <w:pPr>
              <w:pStyle w:val="Compact"/>
              <w:jc w:val="left"/>
            </w:pPr>
            <w:r>
              <w:t xml:space="preserve">2</w:t>
            </w:r>
          </w:p>
        </w:tc>
      </w:tr>
      <w:tr>
        <w:tc>
          <w:tcPr/>
          <w:p>
            <w:pPr>
              <w:pStyle w:val="Compact"/>
              <w:jc w:val="left"/>
            </w:pPr>
            <w:r>
              <w:t xml:space="preserve">E10</w:t>
            </w:r>
          </w:p>
        </w:tc>
        <w:tc>
          <w:tcPr/>
          <w:p>
            <w:pPr>
              <w:pStyle w:val="Compact"/>
              <w:jc w:val="left"/>
            </w:pPr>
            <w:r>
              <w:t xml:space="preserve">inaccessible full text</w:t>
            </w:r>
          </w:p>
        </w:tc>
        <w:tc>
          <w:tcPr/>
          <w:p>
            <w:pPr>
              <w:pStyle w:val="Compact"/>
              <w:jc w:val="left"/>
            </w:pPr>
            <w:r>
              <w:t xml:space="preserve">151</w:t>
            </w:r>
          </w:p>
        </w:tc>
      </w:tr>
      <w:tr>
        <w:tc>
          <w:tcPr/>
          <w:p>
            <w:pPr>
              <w:pStyle w:val="Compact"/>
              <w:jc w:val="left"/>
            </w:pPr>
            <w:r>
              <w:t xml:space="preserve">E12</w:t>
            </w:r>
          </w:p>
        </w:tc>
        <w:tc>
          <w:tcPr/>
          <w:p>
            <w:pPr>
              <w:pStyle w:val="Compact"/>
              <w:jc w:val="left"/>
            </w:pPr>
            <w:r>
              <w:t xml:space="preserve">wrong study design</w:t>
            </w:r>
          </w:p>
        </w:tc>
        <w:tc>
          <w:tcPr/>
          <w:p>
            <w:pPr>
              <w:pStyle w:val="Compact"/>
              <w:jc w:val="left"/>
            </w:pPr>
            <w:r>
              <w:t xml:space="preserve">46</w:t>
            </w:r>
          </w:p>
        </w:tc>
      </w:tr>
    </w:tbl>
    <w:bookmarkEnd w:id="33"/>
    <w:bookmarkStart w:id="34" w:name="Xfa120f38e95c1a1ab81b7f1031cea98fc0e60b3"/>
    <w:p>
      <w:pPr>
        <w:pStyle w:val="Heading3"/>
      </w:pPr>
      <w:r>
        <w:t xml:space="preserve">3.2 Characteristics of the included evidence</w:t>
      </w:r>
    </w:p>
    <w:p>
      <w:pPr>
        <w:pStyle w:val="FirstParagraph"/>
      </w:pPr>
      <w:r>
        <w:rPr>
          <w:iCs/>
          <w:i/>
        </w:rPr>
        <w:t xml:space="preserve">Figures 1–3 and 5 (Supplementary Files S19, S20, S21 and S22) show the design mix, publication years, countries and appraisal instruments; Figure 4 (Supplementary File S23) shows the direction of association in the three syntheses (Section 3.5). All are generated from the databases by Supplementary File S24.</w:t>
      </w:r>
    </w:p>
    <w:p>
      <w:pPr>
        <w:numPr>
          <w:ilvl w:val="0"/>
          <w:numId w:val="1001"/>
        </w:numPr>
        <w:pStyle w:val="Compact"/>
      </w:pPr>
      <w:r>
        <w:rPr>
          <w:bCs/>
          <w:b/>
        </w:rPr>
        <w:t xml:space="preserve">Volume and recency.</w:t>
      </w:r>
      <w:r>
        <w:t xml:space="preserve"> </w:t>
      </w:r>
      <w:r>
        <w:t xml:space="preserve">1,078 studies; 913 (85%) published 2010 or later (median year 2018; 29 before 2000).</w:t>
      </w:r>
    </w:p>
    <w:p>
      <w:pPr>
        <w:numPr>
          <w:ilvl w:val="0"/>
          <w:numId w:val="1001"/>
        </w:numPr>
        <w:pStyle w:val="Compact"/>
      </w:pPr>
      <w:r>
        <w:rPr>
          <w:bCs/>
          <w:b/>
        </w:rPr>
        <w:t xml:space="preserve">Design mix</w:t>
      </w:r>
      <w:r>
        <w:t xml:space="preserve"> </w:t>
      </w:r>
      <w:r>
        <w:t xml:space="preserve">(evidence-map</w:t>
      </w:r>
      <w:r>
        <w:t xml:space="preserve"> </w:t>
      </w:r>
      <w:r>
        <w:rPr>
          <w:rStyle w:val="VerbatimChar"/>
        </w:rPr>
        <w:t xml:space="preserve">study_design_class</w:t>
      </w:r>
      <w:r>
        <w:t xml:space="preserve">; the free-text design labels of 334 studies were mapped onto the design list (the eight documented values plus</w:t>
      </w:r>
      <w:r>
        <w:t xml:space="preserve"> </w:t>
      </w:r>
      <w:r>
        <w:rPr>
          <w:rStyle w:val="VerbatimChar"/>
        </w:rPr>
        <w:t xml:space="preserve">other</w:t>
      </w:r>
      <w:r>
        <w:t xml:space="preserve">, added for decision-analysis and theoretical models) on 2026-10-14, with the original strings kept in Supplementary File S25, so</w:t>
      </w:r>
      <w:r>
        <w:t xml:space="preserve"> </w:t>
      </w:r>
      <w:r>
        <w:rPr>
          <w:rStyle w:val="VerbatimChar"/>
        </w:rPr>
        <w:t xml:space="preserve">qualitative</w:t>
      </w:r>
      <w:r>
        <w:t xml:space="preserve"> </w:t>
      </w:r>
      <w:r>
        <w:t xml:space="preserve">lumps ethnographic, historical, institutional and documentary case studies; no study keeps a free-text label): qualitative 529, mixed-methods 229, observational 142, quasi-experimental 61, doctrinal 54, jurimetric 36, secondary systematic reviews 20, experimental 5, other 2. By appraisal tool: RoB 2 5, ROBINS-I 57, JBI Cross-Sectional 129, MMAT 195, CASP Qualitative 248, AMSTAR 2 18, Legal Framework 426.</w:t>
      </w:r>
    </w:p>
    <w:p>
      <w:pPr>
        <w:numPr>
          <w:ilvl w:val="0"/>
          <w:numId w:val="1001"/>
        </w:numPr>
        <w:pStyle w:val="Compact"/>
      </w:pPr>
      <w:r>
        <w:rPr>
          <w:bCs/>
          <w:b/>
        </w:rPr>
        <w:t xml:space="preserve">Designs able to support a causal claim about a legal/administrative mechanism:</w:t>
      </w:r>
      <w:r>
        <w:t xml:space="preserve"> </w:t>
      </w:r>
      <w:r>
        <w:t xml:space="preserve">62 (6%) — 57 quasi-experimental studies and 5 randomised trials (which are 4 distinct trials, see Section 3.4). The mechanism-certainty code follows the codebook scale (0 inferred only, 1 documented association, 2 mechanism directly observed, 3 quasi-experimental evidence, 4 experimental evidence), which is design-driven; it was normalised on 2026-10-14 so that level 4 is held only by RoB 2 trials, level 3 only by RoB 2 trials and ROBINS-I studies rated Low or Moderate, and every other design is capped at 2. All 33 studies at level 3 or 4 are therefore among the 62 causal-capable designs; 4 sit at level 0, 326 at level 1, 715 at level 2, 29 at level 3 and 4 at level 4. Before the normalisation 567 studies held a narrative sentence instead of a 0–4 code and 22 studies of other designs held a 3 or 4; the original values are kept in Supplementary File S26, and the step from the narrative labels (High, Moderate-high, Moderate) to a level is the AI's reading, not a validated scale.</w:t>
      </w:r>
    </w:p>
    <w:p>
      <w:pPr>
        <w:numPr>
          <w:ilvl w:val="0"/>
          <w:numId w:val="1001"/>
        </w:numPr>
        <w:pStyle w:val="Compact"/>
      </w:pPr>
      <w:r>
        <w:rPr>
          <w:bCs/>
          <w:b/>
        </w:rPr>
        <w:t xml:space="preserve">Geography</w:t>
      </w:r>
      <w:r>
        <w:t xml:space="preserve"> </w:t>
      </w:r>
      <w:r>
        <w:t xml:space="preserve">(</w:t>
      </w:r>
      <w:r>
        <w:rPr>
          <w:rStyle w:val="VerbatimChar"/>
        </w:rPr>
        <w:t xml:space="preserve">country</w:t>
      </w:r>
      <w:r>
        <w:t xml:space="preserve"> </w:t>
      </w:r>
      <w:r>
        <w:t xml:space="preserve">is free text; 112 studies name several countries or a region and are not counted below): India 122, Brazil 80, South Africa 77, United States 62, Ghana 51, Kenya 47, Mexico 36, Indonesia 30, Bangladesh 24, Nigeria 24. High-coverage welfare states are thinly covered:</w:t>
      </w:r>
      <w:r>
        <w:t xml:space="preserve"> </w:t>
      </w:r>
      <w:r>
        <w:rPr>
          <w:bCs/>
          <w:b/>
        </w:rPr>
        <w:t xml:space="preserve">Canada 15 (17 counting multi-country entries), Netherlands 1 (3 counting multi-country entries)</w:t>
      </w:r>
      <w:r>
        <w:t xml:space="preserve"> </w:t>
      </w:r>
      <w:r>
        <w:t xml:space="preserve">(interpreted under gaps below).</w:t>
      </w:r>
    </w:p>
    <w:p>
      <w:pPr>
        <w:numPr>
          <w:ilvl w:val="0"/>
          <w:numId w:val="1001"/>
        </w:numPr>
        <w:pStyle w:val="Compact"/>
      </w:pPr>
      <w:r>
        <w:rPr>
          <w:bCs/>
          <w:b/>
        </w:rPr>
        <w:t xml:space="preserve">Legal systems</w:t>
      </w:r>
      <w:r>
        <w:t xml:space="preserve"> </w:t>
      </w:r>
      <w:r>
        <w:t xml:space="preserve">(rule-based buckets): blank 11, civil law 378, common law 509, mixed / both / customary 177, other 3.</w:t>
      </w:r>
    </w:p>
    <w:p>
      <w:pPr>
        <w:numPr>
          <w:ilvl w:val="0"/>
          <w:numId w:val="1001"/>
        </w:numPr>
        <w:pStyle w:val="Compact"/>
      </w:pPr>
      <w:r>
        <w:rPr>
          <w:bCs/>
          <w:b/>
        </w:rPr>
        <w:t xml:space="preserve">Setting and language:</w:t>
      </w:r>
      <w:r>
        <w:t xml:space="preserve"> </w:t>
      </w:r>
      <w:r>
        <w:t xml:space="preserve">urban (incl. informal settlements) 511, rural 274, mixed/both 241, peri-urban 27, blank/other 25; English 997 of 1,078 studies, Spanish 30, Portuguese 21, French 6.</w:t>
      </w:r>
    </w:p>
    <w:bookmarkEnd w:id="34"/>
    <w:bookmarkStart w:id="35" w:name="Xfdf15f29c7f46618bd5173cb3b110c70b0606a7"/>
    <w:p>
      <w:pPr>
        <w:pStyle w:val="Heading3"/>
      </w:pPr>
      <w:r>
        <w:t xml:space="preserve">3.3 Mechanisms and outcomes addressed</w:t>
      </w:r>
    </w:p>
    <w:p>
      <w:pPr>
        <w:pStyle w:val="FirstParagraph"/>
      </w:pPr>
      <w:r>
        <w:t xml:space="preserve">Counts are studies for which the extraction coded the field</w:t>
      </w:r>
      <w:r>
        <w:t xml:space="preserve"> </w:t>
      </w:r>
      <w:r>
        <w:rPr>
          <w:rStyle w:val="VerbatimChar"/>
        </w:rPr>
        <w:t xml:space="preserve">TRUE</w:t>
      </w:r>
      <w:r>
        <w:t xml:space="preserve"> </w:t>
      </w:r>
      <w:r>
        <w:t xml:space="preserve">(a blank is</w:t>
      </w:r>
      <w:r>
        <w:t xml:space="preserve"> </w:t>
      </w:r>
      <w:r>
        <w:rPr>
          <w:iCs/>
          <w:i/>
        </w:rPr>
        <w:t xml:space="preserve">not</w:t>
      </w:r>
      <w:r>
        <w:t xml:space="preserve"> </w:t>
      </w:r>
      <w:r>
        <w:rPr>
          <w:rStyle w:val="VerbatimChar"/>
        </w:rPr>
        <w:t xml:space="preserve">FALSE</w:t>
      </w:r>
      <w:r>
        <w:t xml:space="preserve">; a study can carry many). They show what was coded, not how strong the evidence 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Mechanism coded</w:t>
            </w:r>
          </w:p>
        </w:tc>
        <w:tc>
          <w:tcPr/>
          <w:p>
            <w:pPr>
              <w:pStyle w:val="Compact"/>
              <w:jc w:val="left"/>
            </w:pPr>
            <w:r>
              <w:t xml:space="preserve">Studies</w:t>
            </w:r>
          </w:p>
        </w:tc>
        <w:tc>
          <w:tcPr/>
          <w:p>
            <w:pPr>
              <w:pStyle w:val="Compact"/>
            </w:pPr>
          </w:p>
        </w:tc>
        <w:tc>
          <w:tcPr/>
          <w:p>
            <w:pPr>
              <w:pStyle w:val="Compact"/>
              <w:jc w:val="left"/>
            </w:pPr>
            <w:r>
              <w:t xml:space="preserve">Outcome coded</w:t>
            </w:r>
          </w:p>
        </w:tc>
        <w:tc>
          <w:tcPr/>
          <w:p>
            <w:pPr>
              <w:pStyle w:val="Compact"/>
              <w:jc w:val="left"/>
            </w:pPr>
            <w:r>
              <w:t xml:space="preserve">Studies</w:t>
            </w:r>
          </w:p>
        </w:tc>
      </w:tr>
      <w:tr>
        <w:tc>
          <w:tcPr/>
          <w:p>
            <w:pPr>
              <w:pStyle w:val="Compact"/>
              <w:jc w:val="left"/>
            </w:pPr>
            <w:r>
              <w:rPr>
                <w:rStyle w:val="VerbatimChar"/>
              </w:rPr>
              <w:t xml:space="preserve">institutional_fragmentation</w:t>
            </w:r>
          </w:p>
        </w:tc>
        <w:tc>
          <w:tcPr/>
          <w:p>
            <w:pPr>
              <w:pStyle w:val="Compact"/>
              <w:jc w:val="left"/>
            </w:pPr>
            <w:r>
              <w:t xml:space="preserve">623</w:t>
            </w:r>
          </w:p>
        </w:tc>
        <w:tc>
          <w:tcPr/>
          <w:p>
            <w:pPr>
              <w:pStyle w:val="Compact"/>
            </w:pPr>
          </w:p>
        </w:tc>
        <w:tc>
          <w:tcPr/>
          <w:p>
            <w:pPr>
              <w:pStyle w:val="Compact"/>
              <w:jc w:val="left"/>
            </w:pPr>
            <w:r>
              <w:rPr>
                <w:rStyle w:val="VerbatimChar"/>
              </w:rPr>
              <w:t xml:space="preserve">water_access</w:t>
            </w:r>
          </w:p>
        </w:tc>
        <w:tc>
          <w:tcPr/>
          <w:p>
            <w:pPr>
              <w:pStyle w:val="Compact"/>
              <w:jc w:val="left"/>
            </w:pPr>
            <w:r>
              <w:t xml:space="preserve">949</w:t>
            </w:r>
          </w:p>
        </w:tc>
      </w:tr>
      <w:tr>
        <w:tc>
          <w:tcPr/>
          <w:p>
            <w:pPr>
              <w:pStyle w:val="Compact"/>
              <w:jc w:val="left"/>
            </w:pPr>
            <w:r>
              <w:rPr>
                <w:rStyle w:val="VerbatimChar"/>
              </w:rPr>
              <w:t xml:space="preserve">discretion_accommodation</w:t>
            </w:r>
          </w:p>
        </w:tc>
        <w:tc>
          <w:tcPr/>
          <w:p>
            <w:pPr>
              <w:pStyle w:val="Compact"/>
              <w:jc w:val="left"/>
            </w:pPr>
            <w:r>
              <w:t xml:space="preserve">581</w:t>
            </w:r>
          </w:p>
        </w:tc>
        <w:tc>
          <w:tcPr/>
          <w:p>
            <w:pPr>
              <w:pStyle w:val="Compact"/>
            </w:pPr>
          </w:p>
        </w:tc>
        <w:tc>
          <w:tcPr/>
          <w:p>
            <w:pPr>
              <w:pStyle w:val="Compact"/>
              <w:jc w:val="left"/>
            </w:pPr>
            <w:r>
              <w:rPr>
                <w:rStyle w:val="VerbatimChar"/>
              </w:rPr>
              <w:t xml:space="preserve">formal_connection</w:t>
            </w:r>
          </w:p>
        </w:tc>
        <w:tc>
          <w:tcPr/>
          <w:p>
            <w:pPr>
              <w:pStyle w:val="Compact"/>
              <w:jc w:val="left"/>
            </w:pPr>
            <w:r>
              <w:t xml:space="preserve">560</w:t>
            </w:r>
          </w:p>
        </w:tc>
      </w:tr>
      <w:tr>
        <w:tc>
          <w:tcPr/>
          <w:p>
            <w:pPr>
              <w:pStyle w:val="Compact"/>
              <w:jc w:val="left"/>
            </w:pPr>
            <w:r>
              <w:rPr>
                <w:rStyle w:val="VerbatimChar"/>
              </w:rPr>
              <w:t xml:space="preserve">fees</w:t>
            </w:r>
          </w:p>
        </w:tc>
        <w:tc>
          <w:tcPr/>
          <w:p>
            <w:pPr>
              <w:pStyle w:val="Compact"/>
              <w:jc w:val="left"/>
            </w:pPr>
            <w:r>
              <w:t xml:space="preserve">534</w:t>
            </w:r>
          </w:p>
        </w:tc>
        <w:tc>
          <w:tcPr/>
          <w:p>
            <w:pPr>
              <w:pStyle w:val="Compact"/>
            </w:pPr>
          </w:p>
        </w:tc>
        <w:tc>
          <w:tcPr/>
          <w:p>
            <w:pPr>
              <w:pStyle w:val="Compact"/>
              <w:jc w:val="left"/>
            </w:pPr>
            <w:r>
              <w:rPr>
                <w:rStyle w:val="VerbatimChar"/>
              </w:rPr>
              <w:t xml:space="preserve">service_coverage</w:t>
            </w:r>
          </w:p>
        </w:tc>
        <w:tc>
          <w:tcPr/>
          <w:p>
            <w:pPr>
              <w:pStyle w:val="Compact"/>
              <w:jc w:val="left"/>
            </w:pPr>
            <w:r>
              <w:t xml:space="preserve">533</w:t>
            </w:r>
          </w:p>
        </w:tc>
      </w:tr>
      <w:tr>
        <w:tc>
          <w:tcPr/>
          <w:p>
            <w:pPr>
              <w:pStyle w:val="Compact"/>
              <w:jc w:val="left"/>
            </w:pPr>
            <w:r>
              <w:rPr>
                <w:rStyle w:val="VerbatimChar"/>
              </w:rPr>
              <w:t xml:space="preserve">service_area</w:t>
            </w:r>
          </w:p>
        </w:tc>
        <w:tc>
          <w:tcPr/>
          <w:p>
            <w:pPr>
              <w:pStyle w:val="Compact"/>
              <w:jc w:val="left"/>
            </w:pPr>
            <w:r>
              <w:t xml:space="preserve">476</w:t>
            </w:r>
          </w:p>
        </w:tc>
        <w:tc>
          <w:tcPr/>
          <w:p>
            <w:pPr>
              <w:pStyle w:val="Compact"/>
            </w:pPr>
          </w:p>
        </w:tc>
        <w:tc>
          <w:tcPr/>
          <w:p>
            <w:pPr>
              <w:pStyle w:val="Compact"/>
              <w:jc w:val="left"/>
            </w:pPr>
            <w:r>
              <w:rPr>
                <w:rStyle w:val="VerbatimChar"/>
              </w:rPr>
              <w:t xml:space="preserve">affordability</w:t>
            </w:r>
          </w:p>
        </w:tc>
        <w:tc>
          <w:tcPr/>
          <w:p>
            <w:pPr>
              <w:pStyle w:val="Compact"/>
              <w:jc w:val="left"/>
            </w:pPr>
            <w:r>
              <w:t xml:space="preserve">490</w:t>
            </w:r>
          </w:p>
        </w:tc>
      </w:tr>
      <w:tr>
        <w:tc>
          <w:tcPr/>
          <w:p>
            <w:pPr>
              <w:pStyle w:val="Compact"/>
              <w:jc w:val="left"/>
            </w:pPr>
            <w:r>
              <w:rPr>
                <w:rStyle w:val="VerbatimChar"/>
              </w:rPr>
              <w:t xml:space="preserve">political_coordination</w:t>
            </w:r>
          </w:p>
        </w:tc>
        <w:tc>
          <w:tcPr/>
          <w:p>
            <w:pPr>
              <w:pStyle w:val="Compact"/>
              <w:jc w:val="left"/>
            </w:pPr>
            <w:r>
              <w:t xml:space="preserve">459</w:t>
            </w:r>
          </w:p>
        </w:tc>
        <w:tc>
          <w:tcPr/>
          <w:p>
            <w:pPr>
              <w:pStyle w:val="Compact"/>
            </w:pPr>
          </w:p>
        </w:tc>
        <w:tc>
          <w:tcPr/>
          <w:p>
            <w:pPr>
              <w:pStyle w:val="Compact"/>
              <w:jc w:val="left"/>
            </w:pPr>
            <w:r>
              <w:rPr>
                <w:rStyle w:val="VerbatimChar"/>
              </w:rPr>
              <w:t xml:space="preserve">sanitation_access</w:t>
            </w:r>
          </w:p>
        </w:tc>
        <w:tc>
          <w:tcPr/>
          <w:p>
            <w:pPr>
              <w:pStyle w:val="Compact"/>
              <w:jc w:val="left"/>
            </w:pPr>
            <w:r>
              <w:t xml:space="preserve">418</w:t>
            </w:r>
          </w:p>
        </w:tc>
      </w:tr>
      <w:tr>
        <w:tc>
          <w:tcPr/>
          <w:p>
            <w:pPr>
              <w:pStyle w:val="Compact"/>
              <w:jc w:val="left"/>
            </w:pPr>
            <w:r>
              <w:rPr>
                <w:rStyle w:val="VerbatimChar"/>
              </w:rPr>
              <w:t xml:space="preserve">enforcement</w:t>
            </w:r>
          </w:p>
        </w:tc>
        <w:tc>
          <w:tcPr/>
          <w:p>
            <w:pPr>
              <w:pStyle w:val="Compact"/>
              <w:jc w:val="left"/>
            </w:pPr>
            <w:r>
              <w:t xml:space="preserve">454</w:t>
            </w:r>
          </w:p>
        </w:tc>
        <w:tc>
          <w:tcPr/>
          <w:p>
            <w:pPr>
              <w:pStyle w:val="Compact"/>
            </w:pPr>
          </w:p>
        </w:tc>
        <w:tc>
          <w:tcPr/>
          <w:p>
            <w:pPr>
              <w:pStyle w:val="Compact"/>
              <w:jc w:val="left"/>
            </w:pPr>
            <w:r>
              <w:rPr>
                <w:rStyle w:val="VerbatimChar"/>
              </w:rPr>
              <w:t xml:space="preserve">service_reliability</w:t>
            </w:r>
          </w:p>
        </w:tc>
        <w:tc>
          <w:tcPr/>
          <w:p>
            <w:pPr>
              <w:pStyle w:val="Compact"/>
              <w:jc w:val="left"/>
            </w:pPr>
            <w:r>
              <w:t xml:space="preserve">366</w:t>
            </w:r>
          </w:p>
        </w:tc>
      </w:tr>
      <w:tr>
        <w:tc>
          <w:tcPr/>
          <w:p>
            <w:pPr>
              <w:pStyle w:val="Compact"/>
              <w:jc w:val="left"/>
            </w:pPr>
            <w:r>
              <w:rPr>
                <w:rStyle w:val="VerbatimChar"/>
              </w:rPr>
              <w:t xml:space="preserve">participation</w:t>
            </w:r>
          </w:p>
        </w:tc>
        <w:tc>
          <w:tcPr/>
          <w:p>
            <w:pPr>
              <w:pStyle w:val="Compact"/>
              <w:jc w:val="left"/>
            </w:pPr>
            <w:r>
              <w:t xml:space="preserve">417</w:t>
            </w:r>
          </w:p>
        </w:tc>
        <w:tc>
          <w:tcPr/>
          <w:p>
            <w:pPr>
              <w:pStyle w:val="Compact"/>
            </w:pPr>
          </w:p>
        </w:tc>
        <w:tc>
          <w:tcPr/>
          <w:p>
            <w:pPr>
              <w:pStyle w:val="Compact"/>
              <w:jc w:val="left"/>
            </w:pPr>
            <w:r>
              <w:rPr>
                <w:rStyle w:val="VerbatimChar"/>
              </w:rPr>
              <w:t xml:space="preserve">service_quality</w:t>
            </w:r>
          </w:p>
        </w:tc>
        <w:tc>
          <w:tcPr/>
          <w:p>
            <w:pPr>
              <w:pStyle w:val="Compact"/>
              <w:jc w:val="left"/>
            </w:pPr>
            <w:r>
              <w:t xml:space="preserve">291</w:t>
            </w:r>
          </w:p>
        </w:tc>
      </w:tr>
      <w:tr>
        <w:tc>
          <w:tcPr/>
          <w:p>
            <w:pPr>
              <w:pStyle w:val="Compact"/>
              <w:jc w:val="left"/>
            </w:pPr>
            <w:r>
              <w:rPr>
                <w:rStyle w:val="VerbatimChar"/>
              </w:rPr>
              <w:t xml:space="preserve">eligibility</w:t>
            </w:r>
          </w:p>
        </w:tc>
        <w:tc>
          <w:tcPr/>
          <w:p>
            <w:pPr>
              <w:pStyle w:val="Compact"/>
              <w:jc w:val="left"/>
            </w:pPr>
            <w:r>
              <w:t xml:space="preserve">412</w:t>
            </w:r>
          </w:p>
        </w:tc>
        <w:tc>
          <w:tcPr/>
          <w:p>
            <w:pPr>
              <w:pStyle w:val="Compact"/>
            </w:pPr>
          </w:p>
        </w:tc>
        <w:tc>
          <w:tcPr/>
          <w:p>
            <w:pPr>
              <w:pStyle w:val="Compact"/>
              <w:jc w:val="left"/>
            </w:pPr>
            <w:r>
              <w:rPr>
                <w:rStyle w:val="VerbatimChar"/>
              </w:rPr>
              <w:t xml:space="preserve">service_continuity</w:t>
            </w:r>
          </w:p>
        </w:tc>
        <w:tc>
          <w:tcPr/>
          <w:p>
            <w:pPr>
              <w:pStyle w:val="Compact"/>
              <w:jc w:val="left"/>
            </w:pPr>
            <w:r>
              <w:t xml:space="preserve">243</w:t>
            </w:r>
          </w:p>
        </w:tc>
      </w:tr>
      <w:tr>
        <w:tc>
          <w:tcPr/>
          <w:p>
            <w:pPr>
              <w:pStyle w:val="Compact"/>
              <w:jc w:val="left"/>
            </w:pPr>
            <w:r>
              <w:rPr>
                <w:rStyle w:val="VerbatimChar"/>
              </w:rPr>
              <w:t xml:space="preserve">burden</w:t>
            </w:r>
          </w:p>
        </w:tc>
        <w:tc>
          <w:tcPr/>
          <w:p>
            <w:pPr>
              <w:pStyle w:val="Compact"/>
              <w:jc w:val="left"/>
            </w:pPr>
            <w:r>
              <w:t xml:space="preserve">410</w:t>
            </w:r>
          </w:p>
        </w:tc>
        <w:tc>
          <w:tcPr/>
          <w:p>
            <w:pPr>
              <w:pStyle w:val="Compact"/>
            </w:pPr>
          </w:p>
        </w:tc>
        <w:tc>
          <w:tcPr/>
          <w:p>
            <w:pPr>
              <w:pStyle w:val="Compact"/>
              <w:jc w:val="left"/>
            </w:pPr>
            <w:r>
              <w:rPr>
                <w:rStyle w:val="VerbatimChar"/>
              </w:rPr>
              <w:t xml:space="preserve">service_quantity</w:t>
            </w:r>
          </w:p>
        </w:tc>
        <w:tc>
          <w:tcPr/>
          <w:p>
            <w:pPr>
              <w:pStyle w:val="Compact"/>
              <w:jc w:val="left"/>
            </w:pPr>
            <w:r>
              <w:t xml:space="preserve">204</w:t>
            </w:r>
          </w:p>
        </w:tc>
      </w:tr>
      <w:tr>
        <w:tc>
          <w:tcPr/>
          <w:p>
            <w:pPr>
              <w:pStyle w:val="Compact"/>
              <w:jc w:val="left"/>
            </w:pPr>
            <w:r>
              <w:rPr>
                <w:rStyle w:val="VerbatimChar"/>
              </w:rPr>
              <w:t xml:space="preserve">documentation</w:t>
            </w:r>
          </w:p>
        </w:tc>
        <w:tc>
          <w:tcPr/>
          <w:p>
            <w:pPr>
              <w:pStyle w:val="Compact"/>
              <w:jc w:val="left"/>
            </w:pPr>
            <w:r>
              <w:t xml:space="preserve">260</w:t>
            </w:r>
          </w:p>
        </w:tc>
        <w:tc>
          <w:tcPr/>
          <w:p>
            <w:pPr>
              <w:pStyle w:val="Compact"/>
            </w:pPr>
          </w:p>
        </w:tc>
        <w:tc>
          <w:tcPr/>
          <w:p>
            <w:pPr>
              <w:pStyle w:val="Compact"/>
              <w:jc w:val="left"/>
            </w:pPr>
            <w:r>
              <w:rPr>
                <w:rStyle w:val="VerbatimChar"/>
              </w:rPr>
              <w:t xml:space="preserve">refusal</w:t>
            </w:r>
          </w:p>
        </w:tc>
        <w:tc>
          <w:tcPr/>
          <w:p>
            <w:pPr>
              <w:pStyle w:val="Compact"/>
              <w:jc w:val="left"/>
            </w:pPr>
            <w:r>
              <w:t xml:space="preserve">103</w:t>
            </w:r>
          </w:p>
        </w:tc>
      </w:tr>
      <w:tr>
        <w:tc>
          <w:tcPr/>
          <w:p>
            <w:pPr>
              <w:pStyle w:val="Compact"/>
              <w:jc w:val="left"/>
            </w:pPr>
            <w:r>
              <w:rPr>
                <w:rStyle w:val="VerbatimChar"/>
              </w:rPr>
              <w:t xml:space="preserve">bureaucratic_assistance</w:t>
            </w:r>
          </w:p>
        </w:tc>
        <w:tc>
          <w:tcPr/>
          <w:p>
            <w:pPr>
              <w:pStyle w:val="Compact"/>
              <w:jc w:val="left"/>
            </w:pPr>
            <w:r>
              <w:t xml:space="preserve">194</w:t>
            </w:r>
          </w:p>
        </w:tc>
        <w:tc>
          <w:tcPr/>
          <w:p>
            <w:pPr>
              <w:pStyle w:val="Compact"/>
            </w:pPr>
          </w:p>
        </w:tc>
        <w:tc>
          <w:tcPr/>
          <w:p>
            <w:pPr>
              <w:pStyle w:val="Compact"/>
              <w:jc w:val="left"/>
            </w:pPr>
            <w:r>
              <w:rPr>
                <w:rStyle w:val="VerbatimChar"/>
              </w:rPr>
              <w:t xml:space="preserve">delay_outcome</w:t>
            </w:r>
          </w:p>
        </w:tc>
        <w:tc>
          <w:tcPr/>
          <w:p>
            <w:pPr>
              <w:pStyle w:val="Compact"/>
              <w:jc w:val="left"/>
            </w:pPr>
            <w:r>
              <w:t xml:space="preserve">94</w:t>
            </w:r>
          </w:p>
        </w:tc>
      </w:tr>
      <w:tr>
        <w:tc>
          <w:tcPr/>
          <w:p>
            <w:pPr>
              <w:pStyle w:val="Compact"/>
              <w:jc w:val="left"/>
            </w:pPr>
            <w:r>
              <w:rPr>
                <w:rStyle w:val="VerbatimChar"/>
              </w:rPr>
              <w:t xml:space="preserve">administrative_review</w:t>
            </w:r>
          </w:p>
        </w:tc>
        <w:tc>
          <w:tcPr/>
          <w:p>
            <w:pPr>
              <w:pStyle w:val="Compact"/>
              <w:jc w:val="left"/>
            </w:pPr>
            <w:r>
              <w:t xml:space="preserve">68</w:t>
            </w:r>
          </w:p>
        </w:tc>
        <w:tc>
          <w:tcPr/>
          <w:p>
            <w:pPr>
              <w:pStyle w:val="Compact"/>
            </w:pPr>
          </w:p>
        </w:tc>
        <w:tc>
          <w:tcPr/>
          <w:p>
            <w:pPr>
              <w:pStyle w:val="Compact"/>
              <w:jc w:val="left"/>
            </w:pPr>
            <w:r>
              <w:rPr>
                <w:rStyle w:val="VerbatimChar"/>
              </w:rPr>
              <w:t xml:space="preserve">application_success</w:t>
            </w:r>
          </w:p>
        </w:tc>
        <w:tc>
          <w:tcPr/>
          <w:p>
            <w:pPr>
              <w:pStyle w:val="Compact"/>
              <w:jc w:val="left"/>
            </w:pPr>
            <w:r>
              <w:t xml:space="preserve">73</w:t>
            </w:r>
          </w:p>
        </w:tc>
      </w:tr>
      <w:tr>
        <w:tc>
          <w:tcPr/>
          <w:p>
            <w:pPr>
              <w:pStyle w:val="Compact"/>
              <w:jc w:val="left"/>
            </w:pPr>
            <w:r>
              <w:rPr>
                <w:rStyle w:val="VerbatimChar"/>
              </w:rPr>
              <w:t xml:space="preserve">complaint</w:t>
            </w:r>
          </w:p>
        </w:tc>
        <w:tc>
          <w:tcPr/>
          <w:p>
            <w:pPr>
              <w:pStyle w:val="Compact"/>
              <w:jc w:val="left"/>
            </w:pPr>
            <w:r>
              <w:t xml:space="preserve">123</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judicial_review</w:t>
            </w:r>
          </w:p>
        </w:tc>
        <w:tc>
          <w:tcPr/>
          <w:p>
            <w:pPr>
              <w:pStyle w:val="Compact"/>
              <w:jc w:val="left"/>
            </w:pPr>
            <w:r>
              <w:t xml:space="preserve">64</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disconnection</w:t>
            </w:r>
          </w:p>
        </w:tc>
        <w:tc>
          <w:tcPr/>
          <w:p>
            <w:pPr>
              <w:pStyle w:val="Compact"/>
              <w:jc w:val="left"/>
            </w:pPr>
            <w:r>
              <w:t xml:space="preserve">104</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reconnection</w:t>
            </w:r>
          </w:p>
        </w:tc>
        <w:tc>
          <w:tcPr/>
          <w:p>
            <w:pPr>
              <w:pStyle w:val="Compact"/>
              <w:jc w:val="left"/>
            </w:pPr>
            <w:r>
              <w:t xml:space="preserve">22</w:t>
            </w:r>
          </w:p>
        </w:tc>
        <w:tc>
          <w:tcPr/>
          <w:p>
            <w:pPr>
              <w:pStyle w:val="Compact"/>
            </w:pPr>
          </w:p>
        </w:tc>
        <w:tc>
          <w:tcPr/>
          <w:p>
            <w:pPr>
              <w:pStyle w:val="Compact"/>
            </w:pPr>
          </w:p>
        </w:tc>
        <w:tc>
          <w:tcPr/>
          <w:p>
            <w:pPr>
              <w:pStyle w:val="Compact"/>
            </w:pPr>
          </w:p>
        </w:tc>
      </w:tr>
    </w:tbl>
    <w:p>
      <w:pPr>
        <w:pStyle w:val="BodyText"/>
      </w:pPr>
      <w:r>
        <w:t xml:space="preserve">Institutional fragmentation (623), official discretion/accommodation (581) and fees/tariffs (534) are the most frequently coded mechanisms; formal-connection (560) and affordability (490) outcomes are well represented, while sanitation access (418) is coded about half as often as water access (949). Mechanisms concerning redress and review — administrative review (68), judicial review (64), complaint (123), reconnection (22) — and application outcomes (refusal 103, delay 94, success 73) are coded far less often.</w:t>
      </w:r>
    </w:p>
    <w:bookmarkEnd w:id="35"/>
    <w:bookmarkStart w:id="36" w:name="Xd640f1d0e7a2cd5105a61ad8d21bbcd5e9ad355"/>
    <w:p>
      <w:pPr>
        <w:pStyle w:val="Heading3"/>
      </w:pPr>
      <w:r>
        <w:t xml:space="preserve">3.4 Risk of bias and confidence in the evidence</w:t>
      </w:r>
    </w:p>
    <w:p>
      <w:pPr>
        <w:pStyle w:val="FirstParagraph"/>
      </w:pPr>
      <w:r>
        <w:t xml:space="preserve">Appraisal ratings are rule-based and, for most studies, depend on what was extracted (Methods 2.5). Of the 129 JBI cross-sectional studies, 51 were rated 'high concern', largely reflecting sparse extraction rather than demonstrated weakness. ROBINS-I ratings: Moderate 48, Serious 9. RoB 2 ratings: Some concerns 5; two of the randomised-trial studies (S294 and S366) report the same trial. The mechanism-certainty code was normalised to the codebook's design-driven scale (Section 3.2): all 33 studies at level 3 or 4 (quasi-experimental or experimental evidence) are ROBINS-I or RoB 2 studies, so the earlier mismatch between the certainty code and the study design no longer exists.</w:t>
      </w:r>
    </w:p>
    <w:p>
      <w:pPr>
        <w:pStyle w:val="BodyText"/>
      </w:pPr>
      <w:r>
        <w:rPr>
          <w:bCs/>
          <w:b/>
        </w:rPr>
        <w:t xml:space="preserve">Are the AMSTAR 2 studies actually systematic reviews? Partly confirmed, partly not.</w:t>
      </w:r>
    </w:p>
    <w:p>
      <w:pPr>
        <w:numPr>
          <w:ilvl w:val="0"/>
          <w:numId w:val="1002"/>
        </w:numPr>
        <w:pStyle w:val="Compact"/>
      </w:pPr>
      <w:r>
        <w:t xml:space="preserve">18 studies carry AMSTAR 2. Eleven further studies had a secondary-review design class but were reclassified to</w:t>
      </w:r>
      <w:r>
        <w:t xml:space="preserve"> </w:t>
      </w:r>
      <w:r>
        <w:rPr>
          <w:rStyle w:val="VerbatimChar"/>
        </w:rPr>
        <w:t xml:space="preserve">NONE</w:t>
      </w:r>
      <w:r>
        <w:t xml:space="preserve"> </w:t>
      </w:r>
      <w:r>
        <w:t xml:space="preserve">in 2026-09-28/29 after an eligibility check found them to be self-described narrative, conceptual or documentary reviews that never claim a systematic search (Supplementary File S27 §4). On 2026-10-14 the PI ruled on all of them: ten were excluded (E05, no systematic method or primary data, or E03, outside the narrow scope) and one, S480, stayed included under the Legal Institutional Evidence Appraisal Framework. No included study is now tagged</w:t>
      </w:r>
      <w:r>
        <w:t xml:space="preserve"> </w:t>
      </w:r>
      <w:r>
        <w:rPr>
          <w:rStyle w:val="VerbatimChar"/>
        </w:rPr>
        <w:t xml:space="preserve">NONE</w:t>
      </w:r>
      <w:r>
        <w:t xml:space="preserve">, so the gap of a validated instrument for a non-systematic review no longer affects an included study, though it would again if such reviews were admitted.</w:t>
      </w:r>
    </w:p>
    <w:p>
      <w:pPr>
        <w:numPr>
          <w:ilvl w:val="0"/>
          <w:numId w:val="1002"/>
        </w:numPr>
        <w:pStyle w:val="Compact"/>
      </w:pPr>
      <w:r>
        <w:t xml:space="preserve">Of the 18 that kept AMSTAR 2, each was classed as a secondary systematic review. The recorded fields (publication type, design, method text, sample) support that unevenly: 12 name a registration, PRISMA or JBI method, 14 state a count of included studies, and 1 (S521) shows at most one weak signal (the word "systematic" or a review type) — a way to order full-text checks, not a finding (Supplementary File S28 §3). None of them is now extracted from abstract or metadata only. S319, S325 and S344 were read in full text on 2026-10-02 (S319 searched one database; S325 and S344 are single-author reviews with weak methods, but all 3 state a search, a selection process and a synthesis, so all keep AMSTAR 2); S418, S438 and S052 were read in full text on 2026-10-03 (S418 is described as a narrative/scoping review with a documented search, a hybrid kept eligible with a noted caveat; all 3 state a search, selection and synthesis, so all keep AMSTAR 2). Five reviews that earlier drafts of this bullet discussed (S324, S326, S327, S329 and S697) are no longer in the corpus: they were excluded in the consistency passes of 2026-10-13 and 2026-10-14, S326 because it states no search or selection method and the other four under the narrow reading of criterion 2.</w:t>
      </w:r>
    </w:p>
    <w:p>
      <w:pPr>
        <w:numPr>
          <w:ilvl w:val="0"/>
          <w:numId w:val="1002"/>
        </w:numPr>
        <w:pStyle w:val="Compact"/>
      </w:pPr>
      <w:r>
        <w:rPr>
          <w:bCs/>
          <w:b/>
        </w:rPr>
        <w:t xml:space="preserve">All 18 systematic reviews received a formal AMSTAR 2 confidence rating</w:t>
      </w:r>
      <w:r>
        <w:t xml:space="preserve"> </w:t>
      </w:r>
      <w:r>
        <w:t xml:space="preserve">(17 Critically Low and 1 Low, S537), primarily reflecting absent pre-registered protocols, single-database searches, unappraised primary studies or missing lists of excluded studies.</w:t>
      </w:r>
      <w:r>
        <w:t xml:space="preserve"> </w:t>
      </w:r>
      <w:r>
        <w:rPr>
          <w:bCs/>
          <w:b/>
        </w:rPr>
        <w:t xml:space="preserve">So AMSTAR 2 so far tells the reader little beyond "low confidence".</w:t>
      </w:r>
    </w:p>
    <w:p>
      <w:pPr>
        <w:numPr>
          <w:ilvl w:val="0"/>
          <w:numId w:val="1002"/>
        </w:numPr>
        <w:pStyle w:val="Compact"/>
      </w:pPr>
      <w:r>
        <w:rPr>
          <w:iCs/>
          <w:i/>
        </w:rPr>
        <w:t xml:space="preserve">Tentative flag (an observation of this draft, not a project ruling):</w:t>
      </w:r>
      <w:r>
        <w:t xml:space="preserve"> </w:t>
      </w:r>
      <w:r>
        <w:t xml:space="preserve">AMSTAR 2 was designed for reviews of healthcare interventions that include randomised or non-randomised studies; several of these reviews are realist, scoping or mapping reviews of qualitative and policy literature, for which a rating would be out-of-design even with full information. A decision on whether to keep AMSTAR 2 for these, or use a different instrument, is open.</w:t>
      </w:r>
    </w:p>
    <w:p>
      <w:pPr>
        <w:numPr>
          <w:ilvl w:val="0"/>
          <w:numId w:val="1002"/>
        </w:numPr>
        <w:pStyle w:val="Compact"/>
      </w:pPr>
      <w:r>
        <w:t xml:space="preserve">Reviews are secondary evidence and are never pooled as if primary. Whether their primary studies are also separate rows in this corpus was checked on 2026-10-04 for only 7 of the 18 reviews (those whose PDFs were to hand): their reference lists cite 48 distinct corpus studies, S319 (21) and S325 (19) cite cite ten or more. This is an upper bound (background citations count) and does not read the included-studies tables, so the real double-counting risk is</w:t>
      </w:r>
      <w:r>
        <w:t xml:space="preserve"> </w:t>
      </w:r>
      <w:r>
        <w:rPr>
          <w:bCs/>
          <w:b/>
        </w:rPr>
        <w:t xml:space="preserve">still unresolved</w:t>
      </w:r>
      <w:r>
        <w:t xml:space="preserve">, and 11 reviews are unchecked (Supplementary File S29).</w:t>
      </w:r>
    </w:p>
    <w:bookmarkEnd w:id="36"/>
    <w:bookmarkStart w:id="37" w:name="X4fb9df646c1be740a040261b55664d501fede44"/>
    <w:p>
      <w:pPr>
        <w:pStyle w:val="Heading3"/>
      </w:pPr>
      <w:r>
        <w:t xml:space="preserve">3.5 Quantitative evidence: three structured syntheses</w:t>
      </w:r>
    </w:p>
    <w:p>
      <w:pPr>
        <w:pStyle w:val="FirstParagraph"/>
      </w:pPr>
      <w:r>
        <w:t xml:space="preserve">58 studies have an extractable effect-size row. Of these, 37 are assigned to the three synthesis families (A 16, B 5, C 16) and 21 are classified as reasoned non-fits, whose exposure–outcome pair belongs to none of the families (Supplementary File S30 and later additions); none is pooled. Each family-assigned study is reported on two readings that must not be conflated (Campbell et al., 2020): the</w:t>
      </w:r>
      <w:r>
        <w:t xml:space="preserve"> </w:t>
      </w:r>
      <w:r>
        <w:rPr>
          <w:bCs/>
          <w:b/>
        </w:rPr>
        <w:t xml:space="preserve">raw coefficient sign</w:t>
      </w:r>
      <w:r>
        <w:t xml:space="preserve"> </w:t>
      </w:r>
      <w:r>
        <w:t xml:space="preserve">of its reported estimate, and its</w:t>
      </w:r>
      <w:r>
        <w:t xml:space="preserve"> </w:t>
      </w:r>
      <w:r>
        <w:rPr>
          <w:bCs/>
          <w:b/>
        </w:rPr>
        <w:t xml:space="preserve">substantive direction</w:t>
      </w:r>
      <w:r>
        <w:t xml:space="preserve"> </w:t>
      </w:r>
      <w:r>
        <w:t xml:space="preserve">for household access, affordability or equity (Favourable, Unfavourable, Null or Mixed). The second takes into account whether a higher value of the outcome is better or worse for households (a higher tariff, bill, interruption rate, collection time or water-poverty score is worse; a higher coverage or access rate is better) and, for three Family A studies of a non-recognised legal status, the pole of the exposure. Both are the AI's coding; the author's confirmation of them is reported below.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Studies</w:t>
            </w:r>
          </w:p>
        </w:tc>
        <w:tc>
          <w:tcPr/>
          <w:p>
            <w:pPr>
              <w:pStyle w:val="Compact"/>
              <w:jc w:val="left"/>
            </w:pPr>
            <w:r>
              <w:t xml:space="preserve">Raw sign: positive / negative / null / mixed</w:t>
            </w:r>
          </w:p>
        </w:tc>
        <w:tc>
          <w:tcPr/>
          <w:p>
            <w:pPr>
              <w:pStyle w:val="Compact"/>
              <w:jc w:val="left"/>
            </w:pPr>
            <w:r>
              <w:t xml:space="preserve">Substantive direction: favourable / unfavourable / null / mixed</w:t>
            </w:r>
          </w:p>
        </w:tc>
        <w:tc>
          <w:tcPr/>
          <w:p>
            <w:pPr>
              <w:pStyle w:val="Compact"/>
              <w:jc w:val="left"/>
            </w:pPr>
            <w:r>
              <w:t xml:space="preserve">Documents</w:t>
            </w:r>
          </w:p>
        </w:tc>
      </w:tr>
      <w:tr>
        <w:tc>
          <w:tcPr/>
          <w:p>
            <w:pPr>
              <w:pStyle w:val="Compact"/>
              <w:jc w:val="left"/>
            </w:pPr>
            <w:r>
              <w:t xml:space="preserve">A — legal status, tenure, recognition and governance arrangements</w:t>
            </w:r>
          </w:p>
        </w:tc>
        <w:tc>
          <w:tcPr/>
          <w:p>
            <w:pPr>
              <w:pStyle w:val="Compact"/>
              <w:jc w:val="left"/>
            </w:pPr>
            <w:r>
              <w:t xml:space="preserve">16</w:t>
            </w:r>
          </w:p>
        </w:tc>
        <w:tc>
          <w:tcPr/>
          <w:p>
            <w:pPr>
              <w:pStyle w:val="Compact"/>
              <w:jc w:val="left"/>
            </w:pPr>
            <w:r>
              <w:t xml:space="preserve">10 / 4 / 2 / 0</w:t>
            </w:r>
          </w:p>
        </w:tc>
        <w:tc>
          <w:tcPr/>
          <w:p>
            <w:pPr>
              <w:pStyle w:val="Compact"/>
              <w:jc w:val="left"/>
            </w:pPr>
            <w:r>
              <w:t xml:space="preserve">12 / 2 / 2 / 0</w:t>
            </w:r>
          </w:p>
        </w:tc>
        <w:tc>
          <w:tcPr/>
          <w:p>
            <w:pPr>
              <w:pStyle w:val="Compact"/>
              <w:jc w:val="left"/>
            </w:pPr>
            <w:r>
              <w:t xml:space="preserve">Supplementary File S31</w:t>
            </w:r>
          </w:p>
        </w:tc>
      </w:tr>
      <w:tr>
        <w:tc>
          <w:tcPr/>
          <w:p>
            <w:pPr>
              <w:pStyle w:val="Compact"/>
              <w:jc w:val="left"/>
            </w:pPr>
            <w:r>
              <w:t xml:space="preserve">B — assistance, participation, trust and external support</w:t>
            </w:r>
          </w:p>
        </w:tc>
        <w:tc>
          <w:tcPr/>
          <w:p>
            <w:pPr>
              <w:pStyle w:val="Compact"/>
              <w:jc w:val="left"/>
            </w:pPr>
            <w:r>
              <w:t xml:space="preserve">5</w:t>
            </w:r>
          </w:p>
        </w:tc>
        <w:tc>
          <w:tcPr/>
          <w:p>
            <w:pPr>
              <w:pStyle w:val="Compact"/>
              <w:jc w:val="left"/>
            </w:pPr>
            <w:r>
              <w:t xml:space="preserve">4 / 0 / 0 / 1</w:t>
            </w:r>
          </w:p>
        </w:tc>
        <w:tc>
          <w:tcPr/>
          <w:p>
            <w:pPr>
              <w:pStyle w:val="Compact"/>
              <w:jc w:val="left"/>
            </w:pPr>
            <w:r>
              <w:t xml:space="preserve">4 / 0 / 0 / 1</w:t>
            </w:r>
          </w:p>
        </w:tc>
        <w:tc>
          <w:tcPr/>
          <w:p>
            <w:pPr>
              <w:pStyle w:val="Compact"/>
              <w:jc w:val="left"/>
            </w:pPr>
            <w:r>
              <w:t xml:space="preserve">Supplementary File S31</w:t>
            </w:r>
          </w:p>
        </w:tc>
      </w:tr>
      <w:tr>
        <w:tc>
          <w:tcPr/>
          <w:p>
            <w:pPr>
              <w:pStyle w:val="Compact"/>
              <w:jc w:val="left"/>
            </w:pPr>
            <w:r>
              <w:t xml:space="preserve">C — ownership, regulation, institutional capacity and administrative structure</w:t>
            </w:r>
          </w:p>
        </w:tc>
        <w:tc>
          <w:tcPr/>
          <w:p>
            <w:pPr>
              <w:pStyle w:val="Compact"/>
              <w:jc w:val="left"/>
            </w:pPr>
            <w:r>
              <w:t xml:space="preserve">16</w:t>
            </w:r>
          </w:p>
        </w:tc>
        <w:tc>
          <w:tcPr/>
          <w:p>
            <w:pPr>
              <w:pStyle w:val="Compact"/>
              <w:jc w:val="left"/>
            </w:pPr>
            <w:r>
              <w:t xml:space="preserve">5 / 8 / 0 / 3</w:t>
            </w:r>
          </w:p>
        </w:tc>
        <w:tc>
          <w:tcPr/>
          <w:p>
            <w:pPr>
              <w:pStyle w:val="Compact"/>
              <w:jc w:val="left"/>
            </w:pPr>
            <w:r>
              <w:t xml:space="preserve">6 / 7 / 0 / 3</w:t>
            </w:r>
          </w:p>
        </w:tc>
        <w:tc>
          <w:tcPr/>
          <w:p>
            <w:pPr>
              <w:pStyle w:val="Compact"/>
              <w:jc w:val="left"/>
            </w:pPr>
            <w:r>
              <w:t xml:space="preserve">Supplementary File S31</w:t>
            </w:r>
          </w:p>
        </w:tc>
      </w:tr>
    </w:tbl>
    <w:p>
      <w:pPr>
        <w:pStyle w:val="BodyText"/>
      </w:pPr>
      <w:r>
        <w:t xml:space="preserve">Of the 37 studies in the three SWiM families, 27 (73%) carry a recorded human verification of the inclusion decision: 9 from the author's own earlier confirmations and rulings, and 18 entered in the final scope pass after the AI's own narrow-scope and outcome check, which the author has not yet checked against the papers (a source-verification dossier has been prepared for that check); for those 18 a confirmation of both direction codings (raw sign and substantive direction) was recorded on the same basis. 10 were flagged on the check and await the author's ruling, so they are not counted as confirmed. The effect estimates themselves were extracted and checked against the full texts by the AI, not by a human.</w:t>
      </w:r>
    </w:p>
    <w:p>
      <w:pPr>
        <w:pStyle w:val="BodyText"/>
      </w:pPr>
      <w:r>
        <w:t xml:space="preserve">The families are thematic mechanism groupings used to organise structured vote counting (SWiM), not homogeneous exposure–outcome pairs: their headings describe the mechanism clusters actually synthesised and are not the protocol's original titles (Supplementary File S4 §8, dated note). The per-study table of exposure, comparator, outcome, estimate, raw sign, substantive direction and appraisal is Supplementary File S32, and the coding behind the two directions is Supplementary File S33.</w:t>
      </w:r>
    </w:p>
    <w:p>
      <w:pPr>
        <w:pStyle w:val="BodyText"/>
      </w:pPr>
      <w:r>
        <w:rPr>
          <w:bCs/>
          <w:b/>
        </w:rPr>
        <w:t xml:space="preserve">Where studies agree.</w:t>
      </w:r>
      <w:r>
        <w:t xml:space="preserve"> </w:t>
      </w:r>
      <w:r>
        <w:t xml:space="preserve">In Family A, 12 of 16 (75.0%) are Favourable, that is concordant with "legal/institutional recognition or eligibility is associated with better access"; 2 are Unfavourable and 2 Null. All 5 Family B studies are Favourable or Mixed, and none is Unfavourable or Null. Three studies of private versus public ownership (S526, S539, S749; US ×2 and Brazil) are all Unfavourable for private ownership, with raw signs that differ (negative on a progressivity ratio, positive on a bill and on a tariff) because their outcomes point in opposite directions. Raw sign and substantive direction come apart for 11 of the 37 studies (S084, S104, S142, S404, S1020, S1122, S471, S539, S749, S1032, S1038), which is why the two are reported separately.</w:t>
      </w:r>
    </w:p>
    <w:p>
      <w:pPr>
        <w:pStyle w:val="BodyText"/>
      </w:pPr>
      <w:r>
        <w:rPr>
          <w:bCs/>
          <w:b/>
        </w:rPr>
        <w:t xml:space="preserve">Where they disagree or do not fit.</w:t>
      </w:r>
    </w:p>
    <w:p>
      <w:pPr>
        <w:numPr>
          <w:ilvl w:val="0"/>
          <w:numId w:val="1003"/>
        </w:numPr>
        <w:pStyle w:val="Compact"/>
      </w:pPr>
      <w:r>
        <w:t xml:space="preserve">Family A counter-pattern (exposure associated with</w:t>
      </w:r>
      <w:r>
        <w:t xml:space="preserve"> </w:t>
      </w:r>
      <w:r>
        <w:rPr>
          <w:iCs/>
          <w:i/>
        </w:rPr>
        <w:t xml:space="preserve">worse</w:t>
      </w:r>
      <w:r>
        <w:t xml:space="preserve"> </w:t>
      </w:r>
      <w:r>
        <w:t xml:space="preserve">access): S1020, S104; null: S037, S780.</w:t>
      </w:r>
    </w:p>
    <w:p>
      <w:pPr>
        <w:numPr>
          <w:ilvl w:val="0"/>
          <w:numId w:val="1003"/>
        </w:numPr>
        <w:pStyle w:val="Compact"/>
      </w:pPr>
      <w:r>
        <w:t xml:space="preserve">Family C has no dominant direction by either reading (6 Favourable / 7 Unfavourable / 3 Mixed; raw sign 5 positive / 8 negative / 3 mixed) — its exposures and outcomes are heterogeneous.</w:t>
      </w:r>
    </w:p>
    <w:p>
      <w:pPr>
        <w:numPr>
          <w:ilvl w:val="0"/>
          <w:numId w:val="1003"/>
        </w:numPr>
        <w:pStyle w:val="Compact"/>
      </w:pPr>
      <w:r>
        <w:t xml:space="preserve">Studies whose outcome is not a household water or sanitation access measure were taken out of the three families under the author's rulings of 2026-10-14: S358 (groundwater decline), S590 (a city's decision to build waterworks), S1140 (a village community's success in securing programme funding) and S1136 (road-level public sanitation infrastructure) are reasoned non-fits, and S1121 (residential building permits) was excluded; none of the 37 studies in the families is flagged as an indirect outcome. S471 is Favourable on its primary estimate but Null once fully adjusted, and S879 is Mixed (payment compliance rose, household water access did not change); the author kept both in the main count, and two further scenarios recode them.</w:t>
      </w:r>
    </w:p>
    <w:p>
      <w:pPr>
        <w:pStyle w:val="FirstParagraph"/>
      </w:pPr>
      <w:r>
        <w:t xml:space="preserve">Per-study results (exposure, outcome, direction, appraisal rating) are tabulated in the three family documents (Supplementary File S31).</w:t>
      </w:r>
    </w:p>
    <w:p>
      <w:pPr>
        <w:pStyle w:val="BodyText"/>
      </w:pPr>
      <w:r>
        <w:rPr>
          <w:bCs/>
          <w:b/>
        </w:rPr>
        <w:t xml:space="preserve">Sensitivity analyses.</w:t>
      </w:r>
      <w:r>
        <w:t xml:space="preserve"> </w:t>
      </w:r>
      <w:r>
        <w:t xml:space="preserve">(Supplementary File S15): under every scenario tried — dropping abstract-only extractions, dropping the sparse-audit rows that carry effect sizes, dropping effect-size rows of studies not flagged eligible (none remains since S589's row was removed on 2026-10-14; the scenario is kept as a check), collapsing linked reports, dropping Family A's remaining coding judgment call (S404), recoding S471 as Null, recoding S879 as Null, and keeping only the studies for which raw sign and substantive direction agree — the pre-stated conclusion tests for A, B and C hold; Family A's Favourable share ranges 73.3–80.0%.</w:t>
      </w:r>
    </w:p>
    <w:p>
      <w:pPr>
        <w:pStyle w:val="BodyText"/>
      </w:pPr>
      <w:r>
        <w:rPr>
          <w:bCs/>
          <w:b/>
        </w:rPr>
        <w:t xml:space="preserve">Reporting bias and certainty.</w:t>
      </w:r>
      <w:r>
        <w:t xml:space="preserve"> </w:t>
      </w:r>
      <w:r>
        <w:t xml:space="preserve">No publication-bias assessment was possible: although Family A contains 16 studies and Family C 16, no common effect metric exists, so no funnel-plot or small-study analysis is defined (Supplementary File S34 §9 requires about ten studies on a common scale). Certainty of evidence was</w:t>
      </w:r>
      <w:r>
        <w:t xml:space="preserve"> </w:t>
      </w:r>
      <w:r>
        <w:rPr>
          <w:bCs/>
          <w:b/>
        </w:rPr>
        <w:t xml:space="preserve">not</w:t>
      </w:r>
      <w:r>
        <w:t xml:space="preserve"> </w:t>
      </w:r>
      <w:r>
        <w:t xml:space="preserve">graded with GRADE; the direction-of-association syntheses carry no certainty rating and the overall confidence statement in Section 5.1 is qualitative.</w:t>
      </w:r>
    </w:p>
    <w:bookmarkEnd w:id="37"/>
    <w:bookmarkStart w:id="38" w:name="Xdbfb34eac2871b1a14a9d1a24ef7e50c68d5481"/>
    <w:p>
      <w:pPr>
        <w:pStyle w:val="Heading3"/>
      </w:pPr>
      <w:r>
        <w:t xml:space="preserve">3.6 Qualitative, doctrinal and mixed-methods evidence</w:t>
      </w:r>
    </w:p>
    <w:p>
      <w:pPr>
        <w:pStyle w:val="FirstParagraph"/>
      </w:pPr>
      <w:r>
        <w:t xml:space="preserve">A large part of the evidence base (848 studies by design class) is qualitative, mixed-methods or documentary rather than quantitative. Using the mechanism vocabulary adopted on 2026-10-14 (Supplementary File S35, mechanical and unvalidated), studies whose label maps to a single mechanism family are: eligibility status documentation 154, discretion accommodation 118, institutional structure coordination 115, enforcement sanctions 78, fees tariffs subsidies 49, regulatory model ownership 28, participation assistance 22, procedural burden 15, review redress 4; 495 carry several. The mapping is mechanical and unvalidated, so read the counts as indicative only. Examples of qualitative or doctrinal studies with</w:t>
      </w:r>
      <w:r>
        <w:t xml:space="preserve"> </w:t>
      </w:r>
      <w:r>
        <w:rPr>
          <w:rStyle w:val="VerbatimChar"/>
        </w:rPr>
        <w:t xml:space="preserve">mechanism_certainty</w:t>
      </w:r>
      <w:r>
        <w:t xml:space="preserve"> </w:t>
      </w:r>
      <w:r>
        <w:t xml:space="preserve">2 or higher ("mechanism directly observed" or above), showing the study's own recorded (original) mechanism label beside the adopted family, and the AI-extracted finding text: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Country</w:t>
            </w:r>
          </w:p>
        </w:tc>
        <w:tc>
          <w:tcPr/>
          <w:p>
            <w:pPr>
              <w:pStyle w:val="Compact"/>
              <w:jc w:val="left"/>
            </w:pPr>
            <w:r>
              <w:t xml:space="preserve">Design</w:t>
            </w:r>
          </w:p>
        </w:tc>
        <w:tc>
          <w:tcPr/>
          <w:p>
            <w:pPr>
              <w:pStyle w:val="Compact"/>
              <w:jc w:val="left"/>
            </w:pPr>
            <w:r>
              <w:t xml:space="preserve">Own recorded mechanism label (original) → adopted family</w:t>
            </w:r>
          </w:p>
        </w:tc>
        <w:tc>
          <w:tcPr/>
          <w:p>
            <w:pPr>
              <w:pStyle w:val="Compact"/>
              <w:jc w:val="left"/>
            </w:pPr>
            <w:r>
              <w:t xml:space="preserve">Extracted finding (truncated)</w:t>
            </w:r>
          </w:p>
        </w:tc>
      </w:tr>
      <w:tr>
        <w:tc>
          <w:tcPr/>
          <w:p>
            <w:pPr>
              <w:pStyle w:val="Compact"/>
              <w:jc w:val="left"/>
            </w:pPr>
            <w:r>
              <w:t xml:space="preserve">S101</w:t>
            </w:r>
          </w:p>
        </w:tc>
        <w:tc>
          <w:tcPr/>
          <w:p>
            <w:pPr>
              <w:pStyle w:val="Compact"/>
              <w:jc w:val="left"/>
            </w:pPr>
            <w:r>
              <w:t xml:space="preserve">Kenya</w:t>
            </w:r>
          </w:p>
        </w:tc>
        <w:tc>
          <w:tcPr/>
          <w:p>
            <w:pPr>
              <w:pStyle w:val="Compact"/>
              <w:jc w:val="left"/>
            </w:pPr>
            <w:r>
              <w:t xml:space="preserve">qualitative</w:t>
            </w:r>
          </w:p>
        </w:tc>
        <w:tc>
          <w:tcPr/>
          <w:p>
            <w:pPr>
              <w:pStyle w:val="Compact"/>
              <w:jc w:val="left"/>
            </w:pPr>
            <w:r>
              <w:t xml:space="preserve">DISCRETION_ACCOMMODATION → discretion accommodation</w:t>
            </w:r>
          </w:p>
        </w:tc>
        <w:tc>
          <w:tcPr/>
          <w:p>
            <w:pPr>
              <w:pStyle w:val="Compact"/>
              <w:jc w:val="left"/>
            </w:pPr>
            <w:r>
              <w:t xml:space="preserve">Formal water connection through Nairobi's piped grid does not equal reliable water access: neighborhood disparities exist even among neighbors with formally equivalent connections, because water rights are 'con…</w:t>
            </w:r>
          </w:p>
        </w:tc>
      </w:tr>
      <w:tr>
        <w:tc>
          <w:tcPr/>
          <w:p>
            <w:pPr>
              <w:pStyle w:val="Compact"/>
              <w:jc w:val="left"/>
            </w:pPr>
            <w:r>
              <w:t xml:space="preserve">S253</w:t>
            </w:r>
          </w:p>
        </w:tc>
        <w:tc>
          <w:tcPr/>
          <w:p>
            <w:pPr>
              <w:pStyle w:val="Compact"/>
              <w:jc w:val="left"/>
            </w:pPr>
            <w:r>
              <w:t xml:space="preserve">United States</w:t>
            </w:r>
          </w:p>
        </w:tc>
        <w:tc>
          <w:tcPr/>
          <w:p>
            <w:pPr>
              <w:pStyle w:val="Compact"/>
              <w:jc w:val="left"/>
            </w:pPr>
            <w:r>
              <w:t xml:space="preserve">qualitative</w:t>
            </w:r>
          </w:p>
        </w:tc>
        <w:tc>
          <w:tcPr/>
          <w:p>
            <w:pPr>
              <w:pStyle w:val="Compact"/>
              <w:jc w:val="left"/>
            </w:pPr>
            <w:r>
              <w:t xml:space="preserve">ENFORCEMENT → enforcement sanctions</w:t>
            </w:r>
          </w:p>
        </w:tc>
        <w:tc>
          <w:tcPr/>
          <w:p>
            <w:pPr>
              <w:pStyle w:val="Compact"/>
              <w:jc w:val="left"/>
            </w:pPr>
            <w:r>
              <w:t xml:space="preserve">Each case illustrates one literacy level in tribal water-quality contexts: Apsaalooke (functional EHL: accessible information and skills), Anishinaabe (interactive EHL), Hoopa Valley (critical EHL; the tribal o…</w:t>
            </w:r>
          </w:p>
        </w:tc>
      </w:tr>
      <w:tr>
        <w:tc>
          <w:tcPr/>
          <w:p>
            <w:pPr>
              <w:pStyle w:val="Compact"/>
              <w:jc w:val="left"/>
            </w:pPr>
            <w:r>
              <w:t xml:space="preserve">S305</w:t>
            </w:r>
          </w:p>
        </w:tc>
        <w:tc>
          <w:tcPr/>
          <w:p>
            <w:pPr>
              <w:pStyle w:val="Compact"/>
              <w:jc w:val="left"/>
            </w:pPr>
            <w:r>
              <w:t xml:space="preserve">multi-country (Ecuador,</w:t>
            </w:r>
          </w:p>
        </w:tc>
        <w:tc>
          <w:tcPr/>
          <w:p>
            <w:pPr>
              <w:pStyle w:val="Compact"/>
              <w:jc w:val="left"/>
            </w:pPr>
            <w:r>
              <w:t xml:space="preserve">qualitative</w:t>
            </w:r>
          </w:p>
        </w:tc>
        <w:tc>
          <w:tcPr/>
          <w:p>
            <w:pPr>
              <w:pStyle w:val="Compact"/>
              <w:jc w:val="left"/>
            </w:pPr>
            <w:r>
              <w:t xml:space="preserve">ELIGIBILITY → eligibility status documentation</w:t>
            </w:r>
          </w:p>
        </w:tc>
        <w:tc>
          <w:tcPr/>
          <w:p>
            <w:pPr>
              <w:pStyle w:val="Compact"/>
              <w:jc w:val="left"/>
            </w:pPr>
            <w:r>
              <w:t xml:space="preserve">Comparing successful (Ecuador 2008) and unsuccessful (Chile 2022) constitutional water-change processes, the article argues that where there is no agreement on either science or policy, politicization is requir…</w:t>
            </w:r>
          </w:p>
        </w:tc>
      </w:tr>
      <w:tr>
        <w:tc>
          <w:tcPr/>
          <w:p>
            <w:pPr>
              <w:pStyle w:val="Compact"/>
              <w:jc w:val="left"/>
            </w:pPr>
            <w:r>
              <w:t xml:space="preserve">S307</w:t>
            </w:r>
          </w:p>
        </w:tc>
        <w:tc>
          <w:tcPr/>
          <w:p>
            <w:pPr>
              <w:pStyle w:val="Compact"/>
              <w:jc w:val="left"/>
            </w:pPr>
            <w:r>
              <w:t xml:space="preserve">multi-country</w:t>
            </w:r>
          </w:p>
        </w:tc>
        <w:tc>
          <w:tcPr/>
          <w:p>
            <w:pPr>
              <w:pStyle w:val="Compact"/>
              <w:jc w:val="left"/>
            </w:pPr>
            <w:r>
              <w:t xml:space="preserve">qualitative</w:t>
            </w:r>
          </w:p>
        </w:tc>
        <w:tc>
          <w:tcPr/>
          <w:p>
            <w:pPr>
              <w:pStyle w:val="Compact"/>
              <w:jc w:val="left"/>
            </w:pPr>
            <w:r>
              <w:t xml:space="preserve">BURDEN → procedural burden</w:t>
            </w:r>
          </w:p>
        </w:tc>
        <w:tc>
          <w:tcPr/>
          <w:p>
            <w:pPr>
              <w:pStyle w:val="Compact"/>
              <w:jc w:val="left"/>
            </w:pPr>
            <w:r>
              <w:t xml:space="preserve">The dominant perceived driver of subscriber attrition from container-based sanitation services was economic challenges faced by subscribers, and the most common mitigation strategy was developing individual rep…</w:t>
            </w:r>
          </w:p>
        </w:tc>
      </w:tr>
      <w:tr>
        <w:tc>
          <w:tcPr/>
          <w:p>
            <w:pPr>
              <w:pStyle w:val="Compact"/>
              <w:jc w:val="left"/>
            </w:pPr>
            <w:r>
              <w:t xml:space="preserve">S594</w:t>
            </w:r>
          </w:p>
        </w:tc>
        <w:tc>
          <w:tcPr/>
          <w:p>
            <w:pPr>
              <w:pStyle w:val="Compact"/>
              <w:jc w:val="left"/>
            </w:pPr>
            <w:r>
              <w:t xml:space="preserve">United States</w:t>
            </w:r>
          </w:p>
        </w:tc>
        <w:tc>
          <w:tcPr/>
          <w:p>
            <w:pPr>
              <w:pStyle w:val="Compact"/>
              <w:jc w:val="left"/>
            </w:pPr>
            <w:r>
              <w:t xml:space="preserve">qualitative</w:t>
            </w:r>
          </w:p>
        </w:tc>
        <w:tc>
          <w:tcPr/>
          <w:p>
            <w:pPr>
              <w:pStyle w:val="Compact"/>
              <w:jc w:val="left"/>
            </w:pPr>
            <w:r>
              <w:t xml:space="preserve">emergency_manager_law_court_ordered_remediation → review redress</w:t>
            </w:r>
          </w:p>
        </w:tc>
        <w:tc>
          <w:tcPr/>
          <w:p>
            <w:pPr>
              <w:pStyle w:val="Compact"/>
              <w:jc w:val="left"/>
            </w:pPr>
            <w:r>
              <w:t xml:space="preserve">Qualitative findings: the Emergency Manager law's suspension of local democratic control enabled the 2014 switch to the corrosive Flint River water source without adequate treatment, precipitating the lead-cont…</w:t>
            </w:r>
          </w:p>
        </w:tc>
      </w:tr>
      <w:tr>
        <w:tc>
          <w:tcPr/>
          <w:p>
            <w:pPr>
              <w:pStyle w:val="Compact"/>
              <w:jc w:val="left"/>
            </w:pPr>
            <w:r>
              <w:t xml:space="preserve">S597</w:t>
            </w:r>
          </w:p>
        </w:tc>
        <w:tc>
          <w:tcPr/>
          <w:p>
            <w:pPr>
              <w:pStyle w:val="Compact"/>
              <w:jc w:val="left"/>
            </w:pPr>
            <w:r>
              <w:t xml:space="preserve">Burkina Faso</w:t>
            </w:r>
          </w:p>
        </w:tc>
        <w:tc>
          <w:tcPr/>
          <w:p>
            <w:pPr>
              <w:pStyle w:val="Compact"/>
              <w:jc w:val="left"/>
            </w:pPr>
            <w:r>
              <w:t xml:space="preserve">qualitative</w:t>
            </w:r>
          </w:p>
        </w:tc>
        <w:tc>
          <w:tcPr/>
          <w:p>
            <w:pPr>
              <w:pStyle w:val="Compact"/>
              <w:jc w:val="left"/>
            </w:pPr>
            <w:r>
              <w:t xml:space="preserve">clts_policy_ambiguity_institutional_coordination_failure → institutional structure coordination</w:t>
            </w:r>
          </w:p>
        </w:tc>
        <w:tc>
          <w:tcPr/>
          <w:p>
            <w:pPr>
              <w:pStyle w:val="Compact"/>
              <w:jc w:val="left"/>
            </w:pPr>
            <w:r>
              <w:t xml:space="preserve">Of factors cited for CLTS abandonment (implementation abandoned in 787 of 3,546 triggered villages nationally, 22.19% abandonment rate): sociocultural/economic factors 39.78% (cited by up to 96 participants for…</w:t>
            </w:r>
          </w:p>
        </w:tc>
      </w:tr>
      <w:tr>
        <w:tc>
          <w:tcPr/>
          <w:p>
            <w:pPr>
              <w:pStyle w:val="Compact"/>
              <w:jc w:val="left"/>
            </w:pPr>
            <w:r>
              <w:t xml:space="preserve">S630</w:t>
            </w:r>
          </w:p>
        </w:tc>
        <w:tc>
          <w:tcPr/>
          <w:p>
            <w:pPr>
              <w:pStyle w:val="Compact"/>
              <w:jc w:val="left"/>
            </w:pPr>
            <w:r>
              <w:t xml:space="preserve">India</w:t>
            </w:r>
          </w:p>
        </w:tc>
        <w:tc>
          <w:tcPr/>
          <w:p>
            <w:pPr>
              <w:pStyle w:val="Compact"/>
              <w:jc w:val="left"/>
            </w:pPr>
            <w:r>
              <w:t xml:space="preserve">qualitative</w:t>
            </w:r>
          </w:p>
        </w:tc>
        <w:tc>
          <w:tcPr/>
          <w:p>
            <w:pPr>
              <w:pStyle w:val="Compact"/>
              <w:jc w:val="left"/>
            </w:pPr>
            <w:r>
              <w:t xml:space="preserve">mandatory self-supply regulation shifting water-provision re… → regulatory model ownership</w:t>
            </w:r>
          </w:p>
        </w:tc>
        <w:tc>
          <w:tcPr/>
          <w:p>
            <w:pPr>
              <w:pStyle w:val="Compact"/>
              <w:jc w:val="left"/>
            </w:pPr>
            <w:r>
              <w:t xml:space="preserve">60% of Mumbai's population lives in informal settlements with low and decreasing water access. Mains water is supplied only a few hours per day city-wide. In case study 2, maids from an adjacent informal settle…</w:t>
            </w:r>
          </w:p>
        </w:tc>
      </w:tr>
      <w:tr>
        <w:tc>
          <w:tcPr/>
          <w:p>
            <w:pPr>
              <w:pStyle w:val="Compact"/>
              <w:jc w:val="left"/>
            </w:pPr>
            <w:r>
              <w:t xml:space="preserve">S718</w:t>
            </w:r>
          </w:p>
        </w:tc>
        <w:tc>
          <w:tcPr/>
          <w:p>
            <w:pPr>
              <w:pStyle w:val="Compact"/>
              <w:jc w:val="left"/>
            </w:pPr>
            <w:r>
              <w:t xml:space="preserve">Colombia</w:t>
            </w:r>
          </w:p>
        </w:tc>
        <w:tc>
          <w:tcPr/>
          <w:p>
            <w:pPr>
              <w:pStyle w:val="Compact"/>
              <w:jc w:val="left"/>
            </w:pPr>
            <w:r>
              <w:t xml:space="preserve">qualitative</w:t>
            </w:r>
          </w:p>
        </w:tc>
        <w:tc>
          <w:tcPr/>
          <w:p>
            <w:pPr>
              <w:pStyle w:val="Compact"/>
              <w:jc w:val="left"/>
            </w:pPr>
            <w:r>
              <w:t xml:space="preserve">fees → fees tariffs subsidies</w:t>
            </w:r>
          </w:p>
        </w:tc>
        <w:tc>
          <w:tcPr/>
          <w:p>
            <w:pPr>
              <w:pStyle w:val="Compact"/>
              <w:jc w:val="left"/>
            </w:pPr>
            <w:r>
              <w:t xml:space="preserve">narrative/descriptive: near-universal connection coverage in Bogota matched only by more affluent Latin American cities (Buenos Aires, Montevideo); in marginal neighborhoods, child deaths from diarrhoeic illnes…</w:t>
            </w:r>
          </w:p>
        </w:tc>
      </w:tr>
      <w:tr>
        <w:tc>
          <w:tcPr/>
          <w:p>
            <w:pPr>
              <w:pStyle w:val="Compact"/>
              <w:jc w:val="left"/>
            </w:pPr>
            <w:r>
              <w:t xml:space="preserve">S728</w:t>
            </w:r>
          </w:p>
        </w:tc>
        <w:tc>
          <w:tcPr/>
          <w:p>
            <w:pPr>
              <w:pStyle w:val="Compact"/>
              <w:jc w:val="left"/>
            </w:pPr>
            <w:r>
              <w:t xml:space="preserve">Uruguay</w:t>
            </w:r>
          </w:p>
        </w:tc>
        <w:tc>
          <w:tcPr/>
          <w:p>
            <w:pPr>
              <w:pStyle w:val="Compact"/>
              <w:jc w:val="left"/>
            </w:pPr>
            <w:r>
              <w:t xml:space="preserve">qualitative</w:t>
            </w:r>
          </w:p>
        </w:tc>
        <w:tc>
          <w:tcPr/>
          <w:p>
            <w:pPr>
              <w:pStyle w:val="Compact"/>
              <w:jc w:val="left"/>
            </w:pPr>
            <w:r>
              <w:t xml:space="preserve">participation → participation assistance</w:t>
            </w:r>
          </w:p>
        </w:tc>
        <w:tc>
          <w:tcPr/>
          <w:p>
            <w:pPr>
              <w:pStyle w:val="Compact"/>
              <w:jc w:val="left"/>
            </w:pPr>
            <w:r>
              <w:t xml:space="preserve">narrative/descriptive: prior to and during the Maldonado privatization experiment, poorest families were excluded from access to free public taps; OSE's public cross-subsidy policy provides water to almost 100%…</w:t>
            </w:r>
          </w:p>
        </w:tc>
      </w:tr>
    </w:tbl>
    <w:bookmarkEnd w:id="38"/>
    <w:bookmarkStart w:id="39" w:name="Xee4e634ae7bbaff6142ba362912b07c49ea9815"/>
    <w:p>
      <w:pPr>
        <w:pStyle w:val="Heading3"/>
      </w:pPr>
      <w:r>
        <w:t xml:space="preserve">3.7 Gaps in the evidence base</w:t>
      </w:r>
    </w:p>
    <w:p>
      <w:pPr>
        <w:numPr>
          <w:ilvl w:val="0"/>
          <w:numId w:val="1004"/>
        </w:numPr>
        <w:pStyle w:val="Compact"/>
      </w:pPr>
      <w:r>
        <w:rPr>
          <w:bCs/>
          <w:b/>
        </w:rPr>
        <w:t xml:space="preserve">Geographic:</w:t>
      </w:r>
      <w:r>
        <w:t xml:space="preserve"> </w:t>
      </w:r>
      <w:r>
        <w:t xml:space="preserve">Empirical research on the legal last mile is heavily concentrated in middle-income urbanising jurisdictions (India 122, Brazil 80, South Africa 77, Ghana 51) and the United States (62), where last-mile exclusion is studied primarily at the informal-settlement tenure, municipal incorporation and utility-connection boundary: in the four middle-income countries, 187 of 330 studies (57%) code a formal-connection outcome and 144 (44%) an eligibility mechanism. By contrast, high-coverage welfare states with near-universal physical networks are sparsely represented (for example, 15 single-country studies in Canada, 12 of them concerning the drinking water of First Nations and other Indigenous communities (advisories, infrastructure, regulation and jurisdictional gaps), and 1 in the Netherlands), leaving administrative exclusion mechanisms within universal-network systems, such as tariff hardship exemptions, tenant billing rules and administrative redress, comparatively under-examined in the evidence this review identified. 553 (51%) of studies sit in the ten commonest single countries.</w:t>
      </w:r>
    </w:p>
    <w:p>
      <w:pPr>
        <w:numPr>
          <w:ilvl w:val="0"/>
          <w:numId w:val="1004"/>
        </w:numPr>
        <w:pStyle w:val="Compact"/>
      </w:pPr>
      <w:r>
        <w:rPr>
          <w:bCs/>
          <w:b/>
        </w:rPr>
        <w:t xml:space="preserve">Design:</w:t>
      </w:r>
      <w:r>
        <w:t xml:space="preserve"> </w:t>
      </w:r>
      <w:r>
        <w:t xml:space="preserve">5 randomised trials (4 distinct) and 57 quasi-experimental studies against 426 (40%) studies appraised with the project's own non-validated framework (the residual category for designs no published instrument fits, including doctrinal and documentary studies).</w:t>
      </w:r>
    </w:p>
    <w:p>
      <w:pPr>
        <w:numPr>
          <w:ilvl w:val="0"/>
          <w:numId w:val="1004"/>
        </w:numPr>
        <w:pStyle w:val="Compact"/>
      </w:pPr>
      <w:r>
        <w:rPr>
          <w:bCs/>
          <w:b/>
        </w:rPr>
        <w:t xml:space="preserve">Mechanisms/outcomes:</w:t>
      </w:r>
      <w:r>
        <w:t xml:space="preserve"> </w:t>
      </w:r>
      <w:r>
        <w:t xml:space="preserve">redress and review mechanisms and application-process outcomes are thinly coded (see Section 3.3); sanitation access less than water.</w:t>
      </w:r>
    </w:p>
    <w:p>
      <w:pPr>
        <w:numPr>
          <w:ilvl w:val="0"/>
          <w:numId w:val="1004"/>
        </w:numPr>
        <w:pStyle w:val="Compact"/>
      </w:pPr>
      <w:r>
        <w:rPr>
          <w:bCs/>
          <w:b/>
        </w:rPr>
        <w:t xml:space="preserve">Retrieval:</w:t>
      </w:r>
      <w:r>
        <w:t xml:space="preserve"> </w:t>
      </w:r>
      <w:r>
        <w:t xml:space="preserve">1,382 title/abstract includes were never assessed. Their median publication year is 2014 versus 2018 for assessed records; 8.9% were published before 2000 versus 3.0%, and 30.8% in 2020 or later versus 42.7% — the unassessed set is older, so the corpus under-represents earlier literature.</w:t>
      </w:r>
    </w:p>
    <w:bookmarkEnd w:id="39"/>
    <w:bookmarkEnd w:id="40"/>
    <w:bookmarkStart w:id="41" w:name="X81a060a18a12739ffcbc529f09a725679a256cf"/>
    <w:p>
      <w:pPr>
        <w:pStyle w:val="Heading2"/>
      </w:pPr>
      <w:r>
        <w:t xml:space="preserve">4. Discussion</w:t>
      </w:r>
    </w:p>
    <w:p>
      <w:pPr>
        <w:pStyle w:val="FirstParagraph"/>
      </w:pPr>
      <w:r>
        <w:rPr>
          <w:iCs/>
          <w:i/>
        </w:rPr>
        <w:t xml:space="preserve">This section is interpretation. Each point rests on the numbers cited in Section 3 and could be wrong.</w:t>
      </w:r>
    </w:p>
    <w:p>
      <w:pPr>
        <w:numPr>
          <w:ilvl w:val="0"/>
          <w:numId w:val="1005"/>
        </w:numPr>
        <w:pStyle w:val="Compact"/>
      </w:pPr>
      <w:r>
        <w:rPr>
          <w:bCs/>
          <w:b/>
        </w:rPr>
        <w:t xml:space="preserve">The literature documents co-occurrence far more than causation.</w:t>
      </w:r>
      <w:r>
        <w:t xml:space="preserve"> </w:t>
      </w:r>
      <w:r>
        <w:t xml:space="preserve">With 62 (6%) causal-capable designs (the mechanism-certainty code now follows the design, Section 3.2), the base can say that legal/administrative features and access outcomes are associated across many settings, but rarely that one causes the other.</w:t>
      </w:r>
      <w:r>
        <w:t xml:space="preserve"> </w:t>
      </w:r>
      <w:r>
        <w:rPr>
          <w:iCs/>
          <w:i/>
        </w:rPr>
        <w:t xml:space="preserve">Rests on:</w:t>
      </w:r>
      <w:r>
        <w:t xml:space="preserve"> </w:t>
      </w:r>
      <w:r>
        <w:t xml:space="preserve">Section 3.2 counts.</w:t>
      </w:r>
      <w:r>
        <w:t xml:space="preserve"> </w:t>
      </w:r>
      <w:r>
        <w:rPr>
          <w:iCs/>
          <w:i/>
        </w:rPr>
        <w:t xml:space="preserve">Would change if:</w:t>
      </w:r>
      <w:r>
        <w:t xml:space="preserve"> </w:t>
      </w:r>
      <w:r>
        <w:t xml:space="preserve">the 1,382 unassessed records or future searches contain many more designs with credible identification.</w:t>
      </w:r>
    </w:p>
    <w:p>
      <w:pPr>
        <w:numPr>
          <w:ilvl w:val="0"/>
          <w:numId w:val="1005"/>
        </w:numPr>
        <w:pStyle w:val="Compact"/>
      </w:pPr>
      <w:r>
        <w:rPr>
          <w:bCs/>
          <w:b/>
        </w:rPr>
        <w:t xml:space="preserve">Recognition and formal status tend to go with better access (Family A), but the pattern is thin.</w:t>
      </w:r>
      <w:r>
        <w:t xml:space="preserve"> </w:t>
      </w:r>
      <w:r>
        <w:t xml:space="preserve">12 of 16 Favourable, 2 Unfavourable (S104 tenure and interruptions; S1020 a watershed programme and collection time, a study the author's narrow-scope check flagged): S104 appraised with JBI Cross-Sectional; S1020 appraised with ROBINS-I.</w:t>
      </w:r>
      <w:r>
        <w:t xml:space="preserve"> </w:t>
      </w:r>
      <w:r>
        <w:rPr>
          <w:iCs/>
          <w:i/>
        </w:rPr>
        <w:t xml:space="preserve">Rests on:</w:t>
      </w:r>
      <w:r>
        <w:t xml:space="preserve"> </w:t>
      </w:r>
      <w:r>
        <w:t xml:space="preserve">the SWiM coding, a judgment by the same AI. Not a pooled estimate and not certainty-graded.</w:t>
      </w:r>
    </w:p>
    <w:p>
      <w:pPr>
        <w:numPr>
          <w:ilvl w:val="0"/>
          <w:numId w:val="1005"/>
        </w:numPr>
        <w:pStyle w:val="Compact"/>
      </w:pPr>
      <w:r>
        <w:rPr>
          <w:bCs/>
          <w:b/>
        </w:rPr>
        <w:t xml:space="preserve">Assistance and trust mechanisms look uniformly favourable (Family B) — but on six studies with six different mechanisms.</w:t>
      </w:r>
      <w:r>
        <w:t xml:space="preserve"> </w:t>
      </w:r>
      <w:r>
        <w:t xml:space="preserve">The consistency may reflect small numbers or reporting of positive findings; nothing here excludes either.</w:t>
      </w:r>
    </w:p>
    <w:p>
      <w:pPr>
        <w:numPr>
          <w:ilvl w:val="0"/>
          <w:numId w:val="1005"/>
        </w:numPr>
        <w:pStyle w:val="Compact"/>
      </w:pPr>
      <w:r>
        <w:rPr>
          <w:bCs/>
          <w:b/>
        </w:rPr>
        <w:t xml:space="preserve">Ownership and price: private ownership goes with worse affordability in the three studies (S526, S539, S749), but the two US samples probably overlap</w:t>
      </w:r>
      <w:r>
        <w:t xml:space="preserve">, so this may be two independent samples, not three (Supplementary File S36 LR09, an audit inference).</w:t>
      </w:r>
    </w:p>
    <w:p>
      <w:pPr>
        <w:numPr>
          <w:ilvl w:val="0"/>
          <w:numId w:val="1005"/>
        </w:numPr>
        <w:pStyle w:val="Compact"/>
      </w:pPr>
      <w:r>
        <w:rPr>
          <w:bCs/>
          <w:b/>
        </w:rPr>
        <w:t xml:space="preserve">Most institutional analysis in this corpus is descriptive-qualitative and concentrated on fragmentation, discretion and fees.</w:t>
      </w:r>
      <w:r>
        <w:t xml:space="preserve"> </w:t>
      </w:r>
      <w:r>
        <w:t xml:space="preserve">This may reflect what the search and the closed retrieval surfaced (English-language, post-2010, database-indexed) as much as what the world contains.</w:t>
      </w:r>
    </w:p>
    <w:p>
      <w:pPr>
        <w:numPr>
          <w:ilvl w:val="0"/>
          <w:numId w:val="1005"/>
        </w:numPr>
        <w:pStyle w:val="Compact"/>
      </w:pPr>
      <w:r>
        <w:rPr>
          <w:bCs/>
          <w:b/>
        </w:rPr>
        <w:t xml:space="preserve">The evidence is concentrated where networks are incomplete and thin where they are near-universal.</w:t>
      </w:r>
      <w:r>
        <w:t xml:space="preserve"> </w:t>
      </w:r>
      <w:r>
        <w:t xml:space="preserve">Middle-income urbanising countries and the United States dominate, and high-coverage welfare states are represented by few studies (15 single-country studies in Canada, mostly on First Nations drinking water, and 1 in the Netherlands), so how administrative exclusion operates inside universal-network systems (tariff hardship exemptions, tenant billing rules, administrative redress) cannot be assessed from this evidence base.</w:t>
      </w:r>
    </w:p>
    <w:bookmarkEnd w:id="41"/>
    <w:bookmarkStart w:id="45" w:name="Xca64085187041cc1526defd50fc01b96fdb635b"/>
    <w:p>
      <w:pPr>
        <w:pStyle w:val="Heading2"/>
      </w:pPr>
      <w:r>
        <w:t xml:space="preserve">5. Limitations</w:t>
      </w:r>
    </w:p>
    <w:p>
      <w:pPr>
        <w:numPr>
          <w:ilvl w:val="0"/>
          <w:numId w:val="1006"/>
        </w:numPr>
        <w:pStyle w:val="Compact"/>
      </w:pPr>
      <w:r>
        <w:rPr>
          <w:bCs/>
          <w:b/>
        </w:rPr>
        <w:t xml:space="preserve">Incomplete full-text screening.</w:t>
      </w:r>
      <w:r>
        <w:t xml:space="preserve"> </w:t>
      </w:r>
      <w:r>
        <w:t xml:space="preserve">1,382 of 3,659 records (37.8%) were not assessed, and those not assessed are older on average; the review is not exhaustive and may under-represent earlier literature.</w:t>
      </w:r>
    </w:p>
    <w:p>
      <w:pPr>
        <w:numPr>
          <w:ilvl w:val="0"/>
          <w:numId w:val="1006"/>
        </w:numPr>
        <w:pStyle w:val="Compact"/>
      </w:pPr>
      <w:r>
        <w:rPr>
          <w:bCs/>
          <w:b/>
        </w:rPr>
        <w:t xml:space="preserve">AI-conducted judgments with partial verification.</w:t>
      </w:r>
      <w:r>
        <w:t xml:space="preserve"> </w:t>
      </w:r>
      <w:r>
        <w:t xml:space="preserve">Screening decisions, extraction, appraisal and coding of direction of association were made by the same AI system. The author confirmed 197 full-text includes (S001–S200) and adjudicated 270 further full-text decisions, so 467 of the 2,277 decisions (20.5%) carry human verification or adjudication (301 includes and 166 excludes); 73 decided rows had no reviewer recorded at the time (the label was inferred afterwards, and the author has since ruled on all of them), and the title/abstract exclusions were not human-checked. Of the 37 studies in the three SWiM families, 27 (73%) carry a recorded human verification of the inclusion decision: 9 from the author's own earlier confirmations and rulings, and 18 entered in the final scope pass after the AI's own narrow-scope and outcome check, which the author has not yet checked against the papers (a source-verification dossier has been prepared for that check); for those 18 a confirmation of both direction codings (raw sign and substantive direction) was recorded on the same basis. 10 were flagged on the check and await the author's ruling, so they are not counted as confirmed. The effect estimates themselves were extracted and checked against the full texts by the AI, not by a human. A blind re-read of 70 full-text exclusions with an available PDF (62 of them a random sample stratified by exclusion code) by two non-Claude models (Codex, Gemini) flagged 52; the author adjudicated all 52, confirming 49 exclusions and reversing 3 to inclusion (S1165, S1166, S1167). That is 3 of the 62 sampled exclusions (4.8%; 95% Wilson interval 1.7–13.3%), or about 50 of the 1,040 content-based exclusions if the rate held (interval 17–138; about 37 when scaled within exclusion code). It counts only the exclusions the models flagged and rests on the narrow reading of eligibility criterion 2 adopted after the disagreement was seen, so it is an estimate and not a verified count; it replaces an earlier unadjudicated extrapolation that took the models' verdicts at face value.</w:t>
      </w:r>
    </w:p>
    <w:p>
      <w:pPr>
        <w:numPr>
          <w:ilvl w:val="0"/>
          <w:numId w:val="1006"/>
        </w:numPr>
        <w:pStyle w:val="Compact"/>
      </w:pPr>
      <w:r>
        <w:rPr>
          <w:bCs/>
          <w:b/>
        </w:rPr>
        <w:t xml:space="preserve">Thin extraction for some studies.</w:t>
      </w:r>
      <w:r>
        <w:t xml:space="preserve"> </w:t>
      </w:r>
      <w:r>
        <w:t xml:space="preserve">10 studies were extracted from abstract or metadata only; there was no second extractor. The AI re-read 127 studies from full texts after the first extraction (an AI check of AI work, not independent verification); in 9 of the 76 sparse-audit rows among them the abstract-level extraction was materially wrong or incomplete (Supplementary File S11).</w:t>
      </w:r>
    </w:p>
    <w:p>
      <w:pPr>
        <w:numPr>
          <w:ilvl w:val="0"/>
          <w:numId w:val="1006"/>
        </w:numPr>
        <w:pStyle w:val="Compact"/>
      </w:pPr>
      <w:r>
        <w:rPr>
          <w:bCs/>
          <w:b/>
        </w:rPr>
        <w:t xml:space="preserve">Appraisal validity.</w:t>
      </w:r>
      <w:r>
        <w:t xml:space="preserve"> </w:t>
      </w:r>
      <w:r>
        <w:t xml:space="preserve">Ratings are rule-based; 426 studies were appraised with a non-validated project instrument; 51 of 129 JBI ratings are 'high concern' largely reflecting sparse extraction; all 18 AMSTAR 2 reviews received a confidence rating (17 Critically Low and 1 Low).</w:t>
      </w:r>
    </w:p>
    <w:p>
      <w:pPr>
        <w:numPr>
          <w:ilvl w:val="0"/>
          <w:numId w:val="1006"/>
        </w:numPr>
        <w:pStyle w:val="Compact"/>
      </w:pPr>
      <w:r>
        <w:rPr>
          <w:bCs/>
          <w:b/>
        </w:rPr>
        <w:t xml:space="preserve">No pooled estimate.</w:t>
      </w:r>
      <w:r>
        <w:t xml:space="preserve"> </w:t>
      </w:r>
      <w:r>
        <w:t xml:space="preserve">Direction-of-association syntheses rest on 58 effect-size rows and are neither effect estimates nor certainty-graded (GRADE).</w:t>
      </w:r>
    </w:p>
    <w:p>
      <w:pPr>
        <w:numPr>
          <w:ilvl w:val="0"/>
          <w:numId w:val="1006"/>
        </w:numPr>
        <w:pStyle w:val="Compact"/>
      </w:pPr>
      <w:r>
        <w:rPr>
          <w:bCs/>
          <w:b/>
        </w:rPr>
        <w:t xml:space="preserve">Classifications.</w:t>
      </w:r>
      <w:r>
        <w:t xml:space="preserve"> </w:t>
      </w:r>
      <w:r>
        <w:t xml:space="preserve">Mechanism, outcome and study-design labels were mapped to controlled vocabularies by keyword rules on 2026-10-14 (original labels preserved); the mapping is mechanical and unvalidated, and country and legal-system fields remain free text.</w:t>
      </w:r>
    </w:p>
    <w:p>
      <w:pPr>
        <w:numPr>
          <w:ilvl w:val="0"/>
          <w:numId w:val="1006"/>
        </w:numPr>
        <w:pStyle w:val="Compact"/>
      </w:pPr>
      <w:r>
        <w:rPr>
          <w:bCs/>
          <w:b/>
        </w:rPr>
        <w:t xml:space="preserve">A post-hoc scope reading.</w:t>
      </w:r>
      <w:r>
        <w:t xml:space="preserve"> </w:t>
      </w:r>
      <w:r>
        <w:t xml:space="preserve">Eligibility criterion 2 was applied under a narrow, rule-type reading adopted on 2026-10-13, after an AI-versus-AI disagreement about the exclusions had been seen. The adjudication and consistency passes that followed moved 86 included reports to the exclusions (the 4 inclusions that the models had also questioned, all excluded by the author, and 82 others) and 3 exclusions to the inclusions. It is a post-hoc clarification, not an a priori rule; the wording of the criterion is unchanged, and a different reading would change the included set (Supplementary Files S8 and S7).</w:t>
      </w:r>
    </w:p>
    <w:p>
      <w:pPr>
        <w:numPr>
          <w:ilvl w:val="0"/>
          <w:numId w:val="1006"/>
        </w:numPr>
        <w:pStyle w:val="Compact"/>
      </w:pPr>
      <w:r>
        <w:rPr>
          <w:bCs/>
          <w:b/>
        </w:rPr>
        <w:t xml:space="preserve">Counts are of reports.</w:t>
      </w:r>
      <w:r>
        <w:t xml:space="preserve"> </w:t>
      </w:r>
      <w:r>
        <w:t xml:space="preserve">The 1,078 included items are reports: they describe 1,076 distinct studies on the definite same-data links (1,074 counting the partial overlaps), the five RoB 2 report rows are four trials, and S526 and S539 (two US utility studies) are flagged for verification of sample overlap before any pooling.</w:t>
      </w:r>
    </w:p>
    <w:p>
      <w:pPr>
        <w:numPr>
          <w:ilvl w:val="0"/>
          <w:numId w:val="1006"/>
        </w:numPr>
        <w:pStyle w:val="Compact"/>
      </w:pPr>
      <w:r>
        <w:rPr>
          <w:bCs/>
          <w:b/>
        </w:rPr>
        <w:t xml:space="preserve">Search scope.</w:t>
      </w:r>
      <w:r>
        <w:t xml:space="preserve"> </w:t>
      </w:r>
      <w:r>
        <w:t xml:space="preserve">SSRN and Westlaw/Lexis were not searched (Supplementary File S37, Known limitations).</w:t>
      </w:r>
    </w:p>
    <w:p>
      <w:pPr>
        <w:pStyle w:val="FirstParagraph"/>
      </w:pPr>
      <w:r>
        <w:rPr>
          <w:iCs/>
          <w:i/>
        </w:rPr>
        <w:t xml:space="preserve">Source of every figure: Supplementary File S38; checked by Supplementary File S2.</w:t>
      </w:r>
    </w:p>
    <w:bookmarkStart w:id="42" w:name="Xb33c1c14fcafee04df965e2fb4427a3bad7c581"/>
    <w:p>
      <w:pPr>
        <w:pStyle w:val="Heading3"/>
      </w:pPr>
      <w:r>
        <w:t xml:space="preserve">5.1 Confidence in the evidence and in the review's own process</w:t>
      </w:r>
    </w:p>
    <w:p>
      <w:pPr>
        <w:pStyle w:val="FirstParagraph"/>
      </w:pPr>
      <w:r>
        <w:t xml:space="preserve">This is the author's tentative characterisation, not a GRADE judgment (none has been made): the direction-of-association statements rest on a small quantitative subset (16, 5 and 16 studies), AI-extracted and AI-coded values, mostly observational designs, and a screening stage that closed early. Reasons follow.</w:t>
      </w:r>
    </w:p>
    <w:bookmarkEnd w:id="42"/>
    <w:bookmarkStart w:id="43" w:name="X2e8874cd18624ea36ce0ec8afdc16b9d04de606"/>
    <w:p>
      <w:pPr>
        <w:pStyle w:val="Heading3"/>
      </w:pPr>
      <w:r>
        <w:t xml:space="preserve">5.2 Incomplete screening</w:t>
      </w:r>
    </w:p>
    <w:p>
      <w:pPr>
        <w:numPr>
          <w:ilvl w:val="0"/>
          <w:numId w:val="1007"/>
        </w:numPr>
        <w:pStyle w:val="Compact"/>
      </w:pPr>
      <w:r>
        <w:t xml:space="preserve">Full-text retrieval closed at 62.2%: 1,382 of 3,659 records (1,200 not retrievable, 182 wrong file delivered) were never assessed, and the unassessed set is systematically older (Section 3.7). Some may be duplicates of included studies, some not eligible; the direction of any bias is unknown.</w:t>
      </w:r>
    </w:p>
    <w:p>
      <w:pPr>
        <w:numPr>
          <w:ilvl w:val="0"/>
          <w:numId w:val="1007"/>
        </w:numPr>
        <w:pStyle w:val="Compact"/>
      </w:pPr>
      <w:r>
        <w:t xml:space="preserve">151 of the 1,199 full-text excludes are E10 (inaccessible text), i.e. never judged on content.</w:t>
      </w:r>
    </w:p>
    <w:p>
      <w:pPr>
        <w:numPr>
          <w:ilvl w:val="0"/>
          <w:numId w:val="1007"/>
        </w:numPr>
        <w:pStyle w:val="Compact"/>
      </w:pPr>
      <w:r>
        <w:t xml:space="preserve">The full-text decisions were made by the AI, and 467 of the 2,277 (20.5%) carry human verification or adjudication: the author confirmed 197 includes (S001–S200) and adjudicated 270 further decisions, which makes 301 human-checked includes and 166 human-checked excludes; the other 1,810 AI decisions have not been checked by a human. 73 decided rows had no reviewer label recorded at the time (an AI label was inferred for them on 2026-10-14 from the exclusion log and extraction records), and the author has since ruled on all of them. A prioritised queue for further human review exists (Supplementary File S39).</w:t>
      </w:r>
    </w:p>
    <w:p>
      <w:pPr>
        <w:numPr>
          <w:ilvl w:val="0"/>
          <w:numId w:val="1007"/>
        </w:numPr>
        <w:pStyle w:val="Compact"/>
      </w:pPr>
      <w:r>
        <w:rPr>
          <w:bCs/>
          <w:b/>
        </w:rPr>
        <w:t xml:space="preserve">A blind AI re-read of the exclusions was adjudicated by the author.</w:t>
      </w:r>
      <w:r>
        <w:t xml:space="preserve"> </w:t>
      </w:r>
      <w:r>
        <w:t xml:space="preserve">Two non-Claude models (Codex, Gemini), blind to the original decision, re-read 70 full-text exclusions whose PDF was available: 62 drawn at random, stratified by exclusion code, and 8 from the priority queue. The models disagreed with the AI on 52 of them (49 from the random sample and 3 from outside it), most often under wrong topic and engineering only. The author adjudicated all 52: 49 exclusions were confirmed and 3 were reversed to inclusions (S1165, S1166, S1167). Among the 62 randomly sampled exclusions, 3 were therefore false exclusions (4.8%, 95% Wilson interval 1.7–13.3%); scaled to the 1,040 content-based exclusions (all codes except the 151 inaccessible texts and the 8 duplicates, which were never sampled), that is about 50 studies (interval 17–138; about 37 when scaled within exclusion code). This replaces the earlier arithmetic of roughly 533 further includes, which took the models' verdicts at face value. The estimate has three limits: it counts only the exclusions the models flagged, it was made under the narrow reading of eligibility criterion 2 that the author adopted after seeing the disagreement, and it rests on a sample of 62. In the other direction the models questioned 4 inclusions, and the author excluded all 4; the consistency passes that followed under the same narrow reading moved 82 further included reports to the exclusions (86 in all). The author's reading list is Supplementary File S40.</w:t>
      </w:r>
    </w:p>
    <w:p>
      <w:pPr>
        <w:numPr>
          <w:ilvl w:val="0"/>
          <w:numId w:val="1007"/>
        </w:numPr>
        <w:pStyle w:val="Compact"/>
      </w:pPr>
      <w:r>
        <w:t xml:space="preserve">At title/abstract stage the human second pass covered the 3,665 include-plus-unsure records only; the 22,557 records the AI excluded were not human-checked, so any wrongly excluded record is invisible to this review. The 99.8% agreement on the reviewed set is unusually high and was flagged by the project itself (Supplementary Files S37 and S17).</w:t>
      </w:r>
    </w:p>
    <w:bookmarkEnd w:id="43"/>
    <w:bookmarkStart w:id="44" w:name="X67a5ecf3db98289f4d6d7e2ac746ecc19603518"/>
    <w:p>
      <w:pPr>
        <w:pStyle w:val="Heading3"/>
      </w:pPr>
      <w:r>
        <w:t xml:space="preserve">5.3 Missing or thin data</w:t>
      </w:r>
    </w:p>
    <w:p>
      <w:pPr>
        <w:numPr>
          <w:ilvl w:val="0"/>
          <w:numId w:val="1008"/>
        </w:numPr>
        <w:pStyle w:val="Compact"/>
      </w:pPr>
      <w:r>
        <w:t xml:space="preserve">10 studies were extracted from abstract or metadata only (0.9%); none has an effect-size row, so the SWiM syntheses are unaffected by them, but descriptive counts and ratings include them.</w:t>
      </w:r>
      <w:r>
        <w:t xml:space="preserve"> </w:t>
      </w:r>
      <w:r>
        <w:rPr>
          <w:bCs/>
          <w:b/>
        </w:rPr>
        <w:t xml:space="preserve">That count is a floor:</w:t>
      </w:r>
      <w:r>
        <w:t xml:space="preserve"> </w:t>
      </w:r>
      <w:r>
        <w:t xml:space="preserve">it counts one note prefix, and a sparse-record audit (Supplementary File S41) found 53 more rows with at least one sign of shallow extraction (none has notes saying that only the abstract or citation was read, and 15 have a recorded location that cites the abstract alone; a verification queue, not proof), of which 1 carries an effect-size row. There is no second extractor: extracted values have not been checked against the source papers.</w:t>
      </w:r>
    </w:p>
    <w:p>
      <w:pPr>
        <w:numPr>
          <w:ilvl w:val="0"/>
          <w:numId w:val="1008"/>
        </w:numPr>
        <w:pStyle w:val="Compact"/>
      </w:pPr>
      <w:r>
        <w:t xml:space="preserve">51 of 129 JBI ratings are "High concern", which here means sparse extraction rather than a poor study. For CASP and MMAT, several items are "Can't tell" for every study (for example CASP item 3, research design justified) because extraction did not capture methodological reporting. Ratings are rule-based and unreviewed by a human.</w:t>
      </w:r>
    </w:p>
    <w:p>
      <w:pPr>
        <w:numPr>
          <w:ilvl w:val="0"/>
          <w:numId w:val="1008"/>
        </w:numPr>
        <w:pStyle w:val="Compact"/>
      </w:pPr>
      <w:r>
        <w:t xml:space="preserve">Of 58 effect-size rows, 9 give a confidence interval and 25 a standard error; estimates are as the papers report them and none is pooled.</w:t>
      </w:r>
    </w:p>
    <w:bookmarkEnd w:id="44"/>
    <w:bookmarkEnd w:id="45"/>
    <w:bookmarkStart w:id="47" w:name="X6b297cc947e0db5526be369b1f0f4ddc67b2415"/>
    <w:p>
      <w:pPr>
        <w:pStyle w:val="Heading2"/>
      </w:pPr>
      <w:r>
        <w:t xml:space="preserve">6. Conclusion</w:t>
      </w:r>
    </w:p>
    <w:p>
      <w:pPr>
        <w:pStyle w:val="FirstParagraph"/>
      </w:pPr>
      <w:r>
        <w:t xml:space="preserve">The evidence assembled here shows that legal and administrative conditions are studied in association with water and sanitation access across a wide range of settings, most often descriptively and rarely with designs able to support causal claims (62 of 1,078 studies). Where quantitative estimates exist they are too heterogeneous to pool, and their direction is most consistent for legal-status, tenure and recognition mechanisms and for assistance and participation mechanisms, least consistent for ownership, regulation and administrative-structure mechanisms. These statements are provisional: extraction and appraisal were AI-conducted and only partly verified, screening of the full-text pool is incomplete, and the protocol was not registered in advance. The review does not establish the</w:t>
      </w:r>
      <w:r>
        <w:t xml:space="preserve"> </w:t>
      </w:r>
      <w:r>
        <w:rPr>
          <w:iCs/>
          <w:i/>
        </w:rPr>
        <w:t xml:space="preserve">legal last mile</w:t>
      </w:r>
      <w:r>
        <w:t xml:space="preserve"> </w:t>
      </w:r>
      <w:r>
        <w:t xml:space="preserve">as a general mechanism; it describes where evidence exists, where it is thin, and what a human-verified update would need to check first. [Author to revise.]</w:t>
      </w:r>
    </w:p>
    <w:bookmarkStart w:id="46" w:name="X83f7a660cb907bc51892bf58211085c7aa84e84"/>
    <w:p>
      <w:pPr>
        <w:pStyle w:val="Heading3"/>
      </w:pPr>
      <w:r>
        <w:t xml:space="preserve">6.1 Implications for research and practice</w:t>
      </w:r>
    </w:p>
    <w:p>
      <w:pPr>
        <w:pStyle w:val="FirstParagraph"/>
      </w:pPr>
      <w:r>
        <w:rPr>
          <w:iCs/>
          <w:i/>
        </w:rPr>
        <w:t xml:space="preserve">Conditional on human verification.</w:t>
      </w:r>
      <w:r>
        <w:t xml:space="preserve"> </w:t>
      </w:r>
      <w:r>
        <w:t xml:space="preserve">(1) Policy readers should not take this review as evidence that any single legal or administrative reform causes better access; the designs that could show that are few. (2) The next research step the repository supports is verification, not expansion: complete the human second pass of screening and a second extraction, fetch the full texts of the shallow extractions and the unassessed older records, and finish the check of overlap between the AMSTAR 2 reviews and the primary studies. (3) To examine administrative exclusion within universal-network systems, targeted searches for evidence from high-coverage welfare states are needed, because the corpus holds few such studies (Section 3.7).</w:t>
      </w:r>
    </w:p>
    <w:bookmarkEnd w:id="46"/>
    <w:bookmarkEnd w:id="47"/>
    <w:bookmarkStart w:id="48" w:name="X9d32ee00125eba017f6bdce12cd393edadce5ec"/>
    <w:p>
      <w:pPr>
        <w:pStyle w:val="Heading2"/>
      </w:pPr>
      <w:r>
        <w:t xml:space="preserve">7. Declarations</w:t>
      </w:r>
    </w:p>
    <w:p>
      <w:pPr>
        <w:numPr>
          <w:ilvl w:val="0"/>
          <w:numId w:val="1009"/>
        </w:numPr>
        <w:pStyle w:val="Compact"/>
      </w:pPr>
      <w:r>
        <w:rPr>
          <w:bCs/>
          <w:b/>
        </w:rPr>
        <w:t xml:space="preserve">Author and affiliation:</w:t>
      </w:r>
      <w:r>
        <w:t xml:space="preserve"> </w:t>
      </w:r>
      <w:r>
        <w:t xml:space="preserve">Claudio Klaus, External Doctoral Candidate, Erasmus School of Law, Erasmus University Rotterdam, Rotterdam, The Netherlands. This is the companion systematic review to the PhD dissertation</w:t>
      </w:r>
      <w:r>
        <w:t xml:space="preserve"> </w:t>
      </w:r>
      <w:r>
        <w:rPr>
          <w:iCs/>
          <w:i/>
        </w:rPr>
        <w:t xml:space="preserve">The Legal Last Mile: Administrative Law as a Mechanism of Connectivity and Exclusion in Sanitation Governance: A Comparative Study of the Netherlands, Canada (Ontario), and Brazil</w:t>
      </w:r>
      <w:r>
        <w:t xml:space="preserve">.</w:t>
      </w:r>
    </w:p>
    <w:p>
      <w:pPr>
        <w:numPr>
          <w:ilvl w:val="0"/>
          <w:numId w:val="1009"/>
        </w:numPr>
        <w:pStyle w:val="Compact"/>
      </w:pPr>
      <w:r>
        <w:rPr>
          <w:bCs/>
          <w:b/>
        </w:rPr>
        <w:t xml:space="preserve">Funding (PRISMA item 25):</w:t>
      </w:r>
      <w:r>
        <w:t xml:space="preserve"> </w:t>
      </w:r>
      <w:r>
        <w:t xml:space="preserve">This research received no specific grant from any funding agency in the public, commercial, or not-for-profit sectors. Database access was provided through institutional subscriptions at Erasmus University Rotterdam. API and subscription costs for Anthropic Claude and OpenAI Codex were paid personally by the author, and Google Gemini runs (</w:t>
      </w:r>
      <w:r>
        <w:rPr>
          <w:rStyle w:val="VerbatimChar"/>
        </w:rPr>
        <w:t xml:space="preserve">gemini-3.1-flash-lite</w:t>
      </w:r>
      <w:r>
        <w:t xml:space="preserve">) used the author's free-tier API key; no external, institutional, or vendor funding was received.</w:t>
      </w:r>
    </w:p>
    <w:p>
      <w:pPr>
        <w:numPr>
          <w:ilvl w:val="0"/>
          <w:numId w:val="1009"/>
        </w:numPr>
        <w:pStyle w:val="Compact"/>
      </w:pPr>
      <w:r>
        <w:rPr>
          <w:bCs/>
          <w:b/>
        </w:rPr>
        <w:t xml:space="preserve">Competing interests (PRISMA item 26):</w:t>
      </w:r>
      <w:r>
        <w:t xml:space="preserve"> </w:t>
      </w:r>
      <w:r>
        <w:t xml:space="preserve">The author declares no competing financial or non-financial interests. The author has no employment, consulting, equity or other financial or non-financial relationship with Anthropic, OpenAI, Google or any other AI vendor whose models were used in this project.</w:t>
      </w:r>
    </w:p>
    <w:p>
      <w:pPr>
        <w:numPr>
          <w:ilvl w:val="0"/>
          <w:numId w:val="1009"/>
        </w:numPr>
        <w:pStyle w:val="Compact"/>
      </w:pPr>
      <w:r>
        <w:rPr>
          <w:bCs/>
          <w:b/>
        </w:rPr>
        <w:t xml:space="preserve">Registration (PRISMA item 24):</w:t>
      </w:r>
      <w:r>
        <w:t xml:space="preserve"> </w:t>
      </w:r>
      <w:r>
        <w:t xml:space="preserve">retrospective, frozen at release</w:t>
      </w:r>
      <w:r>
        <w:t xml:space="preserve"> </w:t>
      </w:r>
      <w:r>
        <w:rPr>
          <w:rStyle w:val="VerbatimChar"/>
        </w:rPr>
        <w:t xml:space="preserve">0.2.0-interim</w:t>
      </w:r>
      <w:r>
        <w:t xml:space="preserve"> </w:t>
      </w:r>
      <w:r>
        <w:t xml:space="preserve">(2026-10-14); see Section 2.1 [author: add the identifier once submitted].</w:t>
      </w:r>
    </w:p>
    <w:p>
      <w:pPr>
        <w:numPr>
          <w:ilvl w:val="0"/>
          <w:numId w:val="1009"/>
        </w:numPr>
        <w:pStyle w:val="Compact"/>
      </w:pPr>
      <w:r>
        <w:rPr>
          <w:bCs/>
          <w:b/>
        </w:rPr>
        <w:t xml:space="preserve">AI use:</w:t>
      </w:r>
      <w:r>
        <w:t xml:space="preserve"> </w:t>
      </w:r>
      <w:r>
        <w:t xml:space="preserve">Claude (Anthropic) performed most screening, extraction, appraisal and synthesis drafting; see Supplementary File S17 for the stage-by-stage table. Model and tool provenance, as logged in the repository: Claude (Anthropic) made the title/abstract first-pass decisions (labels</w:t>
      </w:r>
      <w:r>
        <w:t xml:space="preserve"> </w:t>
      </w:r>
      <w:r>
        <w:rPr>
          <w:rStyle w:val="VerbatimChar"/>
        </w:rPr>
        <w:t xml:space="preserve">Claude-AI-1stpass-2026-09-10</w:t>
      </w:r>
      <w:r>
        <w:t xml:space="preserve"> </w:t>
      </w:r>
      <w:r>
        <w:t xml:space="preserve">and</w:t>
      </w:r>
      <w:r>
        <w:t xml:space="preserve"> </w:t>
      </w:r>
      <w:r>
        <w:rPr>
          <w:rStyle w:val="VerbatimChar"/>
        </w:rPr>
        <w:t xml:space="preserve">-2026-09-11</w:t>
      </w:r>
      <w:r>
        <w:t xml:space="preserve">), the full-text decisions (labels</w:t>
      </w:r>
      <w:r>
        <w:t xml:space="preserve"> </w:t>
      </w:r>
      <w:r>
        <w:rPr>
          <w:rStyle w:val="VerbatimChar"/>
        </w:rPr>
        <w:t xml:space="preserve">Claude-AI-fulltext-2026-09-12</w:t>
      </w:r>
      <w:r>
        <w:t xml:space="preserve"> </w:t>
      </w:r>
      <w:r>
        <w:t xml:space="preserve">to</w:t>
      </w:r>
      <w:r>
        <w:t xml:space="preserve"> </w:t>
      </w:r>
      <w:r>
        <w:rPr>
          <w:rStyle w:val="VerbatimChar"/>
        </w:rPr>
        <w:t xml:space="preserve">Claude-AI-fulltext-2026-10-14</w:t>
      </w:r>
      <w:r>
        <w:t xml:space="preserve">, plus 60 early rows labelled</w:t>
      </w:r>
      <w:r>
        <w:t xml:space="preserve"> </w:t>
      </w:r>
      <w:r>
        <w:rPr>
          <w:rStyle w:val="VerbatimChar"/>
        </w:rPr>
        <w:t xml:space="preserve">claude_sonnet_5</w:t>
      </w:r>
      <w:r>
        <w:t xml:space="preserve"> </w:t>
      </w:r>
      <w:r>
        <w:t xml:space="preserve">and 519 legacy rows labelled</w:t>
      </w:r>
      <w:r>
        <w:t xml:space="preserve"> </w:t>
      </w:r>
      <w:r>
        <w:rPr>
          <w:rStyle w:val="VerbatimChar"/>
        </w:rPr>
        <w:t xml:space="preserve">Claude</w:t>
      </w:r>
      <w:r>
        <w:t xml:space="preserve"> </w:t>
      </w:r>
      <w:r>
        <w:t xml:space="preserve">or</w:t>
      </w:r>
      <w:r>
        <w:t xml:space="preserve"> </w:t>
      </w:r>
      <w:r>
        <w:rPr>
          <w:rStyle w:val="VerbatimChar"/>
        </w:rPr>
        <w:t xml:space="preserve">claude</w:t>
      </w:r>
      <w:r>
        <w:t xml:space="preserve">) and the extraction and appraisal records (labels dated 2026-09-12 to 2026-10-14). The repository records a Claude model version only as the label</w:t>
      </w:r>
      <w:r>
        <w:t xml:space="preserve"> </w:t>
      </w:r>
      <w:r>
        <w:rPr>
          <w:rStyle w:val="VerbatimChar"/>
        </w:rPr>
        <w:t xml:space="preserve">claude_sonnet_5</w:t>
      </w:r>
      <w:r>
        <w:t xml:space="preserve"> </w:t>
      </w:r>
      <w:r>
        <w:t xml:space="preserve">on those 60 rows and as "Claude Sonnet 5" in the second-reviewer tools disclosure for 2026-10-03 and 2026-10-04; for the other decisions only the stage and the date are logged, so the exact Claude model version behind them is not recorded. The blind second reviewers (full-text re-screening, 2026-10-03 to 2026-10-04) were OpenAI Codex CLI 0.160.0 with model</w:t>
      </w:r>
      <w:r>
        <w:t xml:space="preserve"> </w:t>
      </w:r>
      <w:r>
        <w:rPr>
          <w:rStyle w:val="VerbatimChar"/>
        </w:rPr>
        <w:t xml:space="preserve">gpt-5.6-sol</w:t>
      </w:r>
      <w:r>
        <w:t xml:space="preserve"> </w:t>
      </w:r>
      <w:r>
        <w:t xml:space="preserve">(reasoning effort high) and Google Gemini CLI with model</w:t>
      </w:r>
      <w:r>
        <w:t xml:space="preserve"> </w:t>
      </w:r>
      <w:r>
        <w:rPr>
          <w:rStyle w:val="VerbatimChar"/>
        </w:rPr>
        <w:t xml:space="preserve">gemini-3.1-flash-lite</w:t>
      </w:r>
      <w:r>
        <w:t xml:space="preserve"> </w:t>
      </w:r>
      <w:r>
        <w:t xml:space="preserve">(</w:t>
      </w:r>
      <w:r>
        <w:rPr>
          <w:rStyle w:val="VerbatimChar"/>
        </w:rPr>
        <w:t xml:space="preserve">gemini-2.5-flash</w:t>
      </w:r>
      <w:r>
        <w:t xml:space="preserve"> </w:t>
      </w:r>
      <w:r>
        <w:t xml:space="preserve">was tried first and dropped when its daily quota ran out); their labels are in</w:t>
      </w:r>
      <w:r>
        <w:t xml:space="preserve"> </w:t>
      </w:r>
      <w:r>
        <w:rPr>
          <w:rStyle w:val="VerbatimChar"/>
        </w:rPr>
        <w:t xml:space="preserve">reviewer_2</w:t>
      </w:r>
      <w:r>
        <w:t xml:space="preserve"> </w:t>
      </w:r>
      <w:r>
        <w:t xml:space="preserve">of the full-text database and the tools are described in Supplementary File S16.</w:t>
      </w:r>
    </w:p>
    <w:p>
      <w:pPr>
        <w:numPr>
          <w:ilvl w:val="0"/>
          <w:numId w:val="1009"/>
        </w:numPr>
        <w:pStyle w:val="Compact"/>
      </w:pPr>
      <w:r>
        <w:rPr>
          <w:bCs/>
          <w:b/>
        </w:rPr>
        <w:t xml:space="preserve">Author contributions (CRediT):</w:t>
      </w:r>
      <w:r>
        <w:t xml:space="preserve"> </w:t>
      </w:r>
      <w:r>
        <w:t xml:space="preserve">Claudio Klaus: Conceptualization, Data curation, Formal analysis, Funding acquisition (self-funded), Investigation, Methodology, Project administration, Resources, Software, Supervision, Validation, Visualization, Writing – original draft (direction and revision of AI-assisted synthesis; see AI_USE_STATEMENT.md), Writing – review &amp; editing. The AI tools used (Anthropic Claude, OpenAI Codex, Google Gemini) are not authors; the AI-assisted stages are described in Supplementary File S17.</w:t>
      </w:r>
    </w:p>
    <w:p>
      <w:pPr>
        <w:numPr>
          <w:ilvl w:val="0"/>
          <w:numId w:val="1009"/>
        </w:numPr>
        <w:pStyle w:val="Compact"/>
      </w:pPr>
      <w:r>
        <w:rPr>
          <w:bCs/>
          <w:b/>
        </w:rPr>
        <w:t xml:space="preserve">Data and code availability:</w:t>
      </w:r>
      <w:r>
        <w:t xml:space="preserve"> </w:t>
      </w:r>
      <w:r>
        <w:t xml:space="preserve">all databases, scripts and generated files are in the project repository (release 0.2.0-interim, tag v0.2.0-interim); the Supplementary Files cited in the text are indexed, with their exact repository paths, in the Appendix. Source PDFs are not redistributed.</w:t>
      </w:r>
    </w:p>
    <w:p>
      <w:pPr>
        <w:numPr>
          <w:ilvl w:val="0"/>
          <w:numId w:val="1009"/>
        </w:numPr>
        <w:pStyle w:val="Compact"/>
      </w:pPr>
      <w:r>
        <w:rPr>
          <w:bCs/>
          <w:b/>
        </w:rPr>
        <w:t xml:space="preserve">Ethics:</w:t>
      </w:r>
      <w:r>
        <w:t xml:space="preserve"> </w:t>
      </w:r>
      <w:r>
        <w:t xml:space="preserve">Ethics approval was not required for this study as it is a systematic review of published and grey literature involving no primary data collection from human participants.</w:t>
      </w:r>
    </w:p>
    <w:bookmarkEnd w:id="48"/>
    <w:bookmarkStart w:id="59" w:name="references"/>
    <w:p>
      <w:pPr>
        <w:pStyle w:val="Heading2"/>
      </w:pPr>
      <w:r>
        <w:t xml:space="preserve">References</w:t>
      </w:r>
    </w:p>
    <w:p>
      <w:pPr>
        <w:pStyle w:val="FirstParagraph"/>
      </w:pPr>
      <w:r>
        <w:t xml:space="preserve">Abdulhadi R, Bailey A, Van Noorloos F (2024). Access inequalities to WASH and housing in slums in low- and middle-income countries (LMICs): A scoping review. Glob Public Health 19(1):2369099.</w:t>
      </w:r>
      <w:r>
        <w:t xml:space="preserve"> </w:t>
      </w:r>
      <w:hyperlink r:id="rId49">
        <w:r>
          <w:rPr>
            <w:rStyle w:val="Hyperlink"/>
          </w:rPr>
          <w:t xml:space="preserve">https://doi.org/10.1080/17441692.2024.2369099</w:t>
        </w:r>
      </w:hyperlink>
    </w:p>
    <w:p>
      <w:pPr>
        <w:pStyle w:val="BodyText"/>
      </w:pPr>
      <w:r>
        <w:t xml:space="preserve">Alam MU, Rahat MA, Nawaz S, Neeher N, Tabassum KF, Upoma TA, Kamal A, Evans B, Hutchings P (2025). Behaviour change interventions to promote household connectivity to sewer: a scoping review. Global Health Action, 18(1), 2476335.</w:t>
      </w:r>
      <w:r>
        <w:t xml:space="preserve"> </w:t>
      </w:r>
      <w:hyperlink r:id="rId50">
        <w:r>
          <w:rPr>
            <w:rStyle w:val="Hyperlink"/>
          </w:rPr>
          <w:t xml:space="preserve">https://doi.org/10.1080/16549716.2025.2476335</w:t>
        </w:r>
      </w:hyperlink>
    </w:p>
    <w:p>
      <w:pPr>
        <w:pStyle w:val="BodyText"/>
      </w:pPr>
      <w:r>
        <w:t xml:space="preserve">Bakker K, Kooy M, Shofiani NE, Martijn E-J (2008). Governance Failure: Rethinking the Institutional Dimensions of Urban Water Supply to Poor Households. World Development.</w:t>
      </w:r>
      <w:r>
        <w:t xml:space="preserve"> </w:t>
      </w:r>
      <w:hyperlink r:id="rId51">
        <w:r>
          <w:rPr>
            <w:rStyle w:val="Hyperlink"/>
          </w:rPr>
          <w:t xml:space="preserve">https://doi.org/10.1016/j.worlddev.2007.09.015</w:t>
        </w:r>
      </w:hyperlink>
    </w:p>
    <w:p>
      <w:pPr>
        <w:pStyle w:val="BodyText"/>
      </w:pPr>
      <w:r>
        <w:t xml:space="preserve">Campbell, M., McKenzie, J. E., Sowden, A., Katikireddi, S. V., Brennan, S. E., Ellis, S., et al. (2020). Synthesis without meta-analysis (SWiM) in systematic reviews: reporting guideline.</w:t>
      </w:r>
      <w:r>
        <w:t xml:space="preserve"> </w:t>
      </w:r>
      <w:r>
        <w:rPr>
          <w:iCs/>
          <w:i/>
        </w:rPr>
        <w:t xml:space="preserve">BMJ</w:t>
      </w:r>
      <w:r>
        <w:t xml:space="preserve">, 368, l6890.</w:t>
      </w:r>
      <w:r>
        <w:t xml:space="preserve"> </w:t>
      </w:r>
      <w:hyperlink r:id="rId52">
        <w:r>
          <w:rPr>
            <w:rStyle w:val="Hyperlink"/>
          </w:rPr>
          <w:t xml:space="preserve">https://doi.org/10.1136/bmj.l6890</w:t>
        </w:r>
      </w:hyperlink>
    </w:p>
    <w:p>
      <w:pPr>
        <w:pStyle w:val="BodyText"/>
      </w:pPr>
      <w:r>
        <w:t xml:space="preserve">Criqui L (2015). Infrastructure urbanism: Roadmaps for servicing unplanned urbanisation in emerging cities. Habitat International 47:93-102.</w:t>
      </w:r>
      <w:r>
        <w:t xml:space="preserve"> </w:t>
      </w:r>
      <w:hyperlink r:id="rId53">
        <w:r>
          <w:rPr>
            <w:rStyle w:val="Hyperlink"/>
          </w:rPr>
          <w:t xml:space="preserve">https://doi.org/10.1016/j.habitatint.2015.01.015</w:t>
        </w:r>
      </w:hyperlink>
    </w:p>
    <w:p>
      <w:pPr>
        <w:pStyle w:val="BodyText"/>
      </w:pPr>
      <w:r>
        <w:t xml:space="preserve">Hackenbroch K, Hossain S (2012). "The organised encroachment of the powerful"--Everyday practices of public space and water supply in Dhaka, Bangladesh. Planning Theory &amp; Practice 13:397-420.</w:t>
      </w:r>
      <w:r>
        <w:t xml:space="preserve"> </w:t>
      </w:r>
      <w:hyperlink r:id="rId54">
        <w:r>
          <w:rPr>
            <w:rStyle w:val="Hyperlink"/>
          </w:rPr>
          <w:t xml:space="preserve">https://doi.org/10.1080/14649357.2012.694265</w:t>
        </w:r>
      </w:hyperlink>
    </w:p>
    <w:p>
      <w:pPr>
        <w:pStyle w:val="BodyText"/>
      </w:pPr>
      <w:r>
        <w:t xml:space="preserve">Hendraputra A (2026). From privatization to a governance predicament: A systematic review of Jakarta's water governance, business models, and sustainability. SHS Web Conf 227:01001.</w:t>
      </w:r>
      <w:r>
        <w:t xml:space="preserve"> </w:t>
      </w:r>
      <w:hyperlink r:id="rId55">
        <w:r>
          <w:rPr>
            <w:rStyle w:val="Hyperlink"/>
          </w:rPr>
          <w:t xml:space="preserve">https://doi.org/10.1051/shsconf/202622701001</w:t>
        </w:r>
      </w:hyperlink>
    </w:p>
    <w:p>
      <w:pPr>
        <w:pStyle w:val="BodyText"/>
      </w:pPr>
      <w:r>
        <w:t xml:space="preserve">Nelson S, Drabarek D, Jenkins A, Negin J, Abimbola S (2021). How community participation in water and sanitation interventions impacts human health, WASH infrastructure and service longevity in low-income and middle-income countries: a realist review. BMJ Open 11:e053320.</w:t>
      </w:r>
      <w:r>
        <w:t xml:space="preserve"> </w:t>
      </w:r>
      <w:hyperlink r:id="rId56">
        <w:r>
          <w:rPr>
            <w:rStyle w:val="Hyperlink"/>
          </w:rPr>
          <w:t xml:space="preserve">https://doi.org/10.1136/bmjopen-2021-053320</w:t>
        </w:r>
      </w:hyperlink>
    </w:p>
    <w:p>
      <w:pPr>
        <w:pStyle w:val="BodyText"/>
      </w:pPr>
      <w:r>
        <w:t xml:space="preserve">Olmstead SM (2004). Thirsty colonias: Rate regulation and the provision of water service. Land Economics 80(1):136-150.</w:t>
      </w:r>
      <w:r>
        <w:t xml:space="preserve"> </w:t>
      </w:r>
      <w:hyperlink r:id="rId57">
        <w:r>
          <w:rPr>
            <w:rStyle w:val="Hyperlink"/>
          </w:rPr>
          <w:t xml:space="preserve">https://doi.org/10.2307/3147149</w:t>
        </w:r>
      </w:hyperlink>
    </w:p>
    <w:p>
      <w:pPr>
        <w:pStyle w:val="BodyText"/>
      </w:pPr>
      <w:r>
        <w:t xml:space="preserve">Page, M. J., McKenzie, J. E., Bossuyt, P. M., Boutron, I., Hoffmann, T. C., Mulrow, C. D., et al. (2021). The PRISMA 2020 statement: an updated guideline for reporting systematic reviews.</w:t>
      </w:r>
      <w:r>
        <w:t xml:space="preserve"> </w:t>
      </w:r>
      <w:r>
        <w:rPr>
          <w:iCs/>
          <w:i/>
        </w:rPr>
        <w:t xml:space="preserve">BMJ</w:t>
      </w:r>
      <w:r>
        <w:t xml:space="preserve">, 372, n71.</w:t>
      </w:r>
      <w:r>
        <w:t xml:space="preserve"> </w:t>
      </w:r>
      <w:hyperlink r:id="rId58">
        <w:r>
          <w:rPr>
            <w:rStyle w:val="Hyperlink"/>
          </w:rPr>
          <w:t xml:space="preserve">https://doi.org/10.1136/bmj.n71</w:t>
        </w:r>
      </w:hyperlink>
    </w:p>
    <w:p>
      <w:pPr>
        <w:pStyle w:val="BodyText"/>
      </w:pPr>
      <w:r>
        <w:t xml:space="preserve">[Author: the Introduction cites included studies and reviews as examples of each point; check each against the paper before submission, and add a general reference on administrative burden if wanted. Supplementary Files S42 and S43 list the methodological sources (RoB 2, ROBINS-I, JBI, CASP, MMAT and AMSTAR 2).]</w:t>
      </w:r>
    </w:p>
    <w:bookmarkEnd w:id="59"/>
    <w:bookmarkStart w:id="60" w:name="Xf3dc704933e85fa6fd2df3faa1bd81e548926c0"/>
    <w:p>
      <w:pPr>
        <w:pStyle w:val="Heading2"/>
      </w:pPr>
      <w:r>
        <w:t xml:space="preserve">Appendix. Data and code availability: Supplementary Files</w:t>
      </w:r>
    </w:p>
    <w:p>
      <w:pPr>
        <w:pStyle w:val="FirstParagraph"/>
      </w:pPr>
      <w:r>
        <w:t xml:space="preserve">All databases, scripts and generated files behind this manuscript are in the project repository (release 0.2.0-interim, tag v0.2.0-interim); the written protocol was fixed at commit d591062 on 2026-08-22, before any database was searched. The files cited in the text are indexed below with their exact paths, relative to the repository root. Source PDFs are not redistributed. The open items cited in earlier drafts of this manuscript (the dated decisions and adjudication passes, numbered A1 to A25) are documented in the Repository Audit Trail.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Supplementary File</w:t>
            </w:r>
          </w:p>
        </w:tc>
        <w:tc>
          <w:tcPr/>
          <w:p>
            <w:pPr>
              <w:pStyle w:val="Compact"/>
              <w:jc w:val="left"/>
            </w:pPr>
            <w:r>
              <w:t xml:space="preserve">Path in the repository</w:t>
            </w:r>
          </w:p>
        </w:tc>
        <w:tc>
          <w:tcPr/>
          <w:p>
            <w:pPr>
              <w:pStyle w:val="Compact"/>
              <w:jc w:val="left"/>
            </w:pPr>
            <w:r>
              <w:t xml:space="preserve">Content</w:t>
            </w:r>
          </w:p>
        </w:tc>
      </w:tr>
      <w:tr>
        <w:tc>
          <w:tcPr/>
          <w:p>
            <w:pPr>
              <w:pStyle w:val="Compact"/>
              <w:jc w:val="left"/>
            </w:pPr>
            <w:r>
              <w:t xml:space="preserve">S1</w:t>
            </w:r>
          </w:p>
        </w:tc>
        <w:tc>
          <w:tcPr/>
          <w:p>
            <w:pPr>
              <w:pStyle w:val="Compact"/>
              <w:jc w:val="left"/>
            </w:pPr>
            <w:r>
              <w:rPr>
                <w:rStyle w:val="VerbatimChar"/>
              </w:rPr>
              <w:t xml:space="preserve">code/analysis/build_manuscript_draft.py</w:t>
            </w:r>
          </w:p>
        </w:tc>
        <w:tc>
          <w:tcPr/>
          <w:p>
            <w:pPr>
              <w:pStyle w:val="Compact"/>
              <w:jc w:val="left"/>
            </w:pPr>
            <w:r>
              <w:t xml:space="preserve">Script that generates this manuscript from the verified figures</w:t>
            </w:r>
          </w:p>
        </w:tc>
      </w:tr>
      <w:tr>
        <w:tc>
          <w:tcPr/>
          <w:p>
            <w:pPr>
              <w:pStyle w:val="Compact"/>
              <w:jc w:val="left"/>
            </w:pPr>
            <w:r>
              <w:t xml:space="preserve">S2</w:t>
            </w:r>
          </w:p>
        </w:tc>
        <w:tc>
          <w:tcPr/>
          <w:p>
            <w:pPr>
              <w:pStyle w:val="Compact"/>
              <w:jc w:val="left"/>
            </w:pPr>
            <w:r>
              <w:rPr>
                <w:rStyle w:val="VerbatimChar"/>
              </w:rPr>
              <w:t xml:space="preserve">code/analysis/verify_repository.py</w:t>
            </w:r>
          </w:p>
        </w:tc>
        <w:tc>
          <w:tcPr/>
          <w:p>
            <w:pPr>
              <w:pStyle w:val="Compact"/>
              <w:jc w:val="left"/>
            </w:pPr>
            <w:r>
              <w:t xml:space="preserve">Verification script that re-derives every quoted figure and checks that generated files are current</w:t>
            </w:r>
          </w:p>
        </w:tc>
      </w:tr>
      <w:tr>
        <w:tc>
          <w:tcPr/>
          <w:p>
            <w:pPr>
              <w:pStyle w:val="Compact"/>
              <w:jc w:val="left"/>
            </w:pPr>
            <w:r>
              <w:t xml:space="preserve">S3</w:t>
            </w:r>
          </w:p>
        </w:tc>
        <w:tc>
          <w:tcPr/>
          <w:p>
            <w:pPr>
              <w:pStyle w:val="Compact"/>
              <w:jc w:val="left"/>
            </w:pPr>
            <w:r>
              <w:rPr>
                <w:rStyle w:val="VerbatimChar"/>
              </w:rPr>
              <w:t xml:space="preserve">00_admin/DECISIONS_AND_OPEN_ITEMS.md</w:t>
            </w:r>
          </w:p>
        </w:tc>
        <w:tc>
          <w:tcPr/>
          <w:p>
            <w:pPr>
              <w:pStyle w:val="Compact"/>
              <w:jc w:val="left"/>
            </w:pPr>
            <w:r>
              <w:t xml:space="preserve">Repository Audit Trail: the dated ledger of every decision and open item, with the author's rulings</w:t>
            </w:r>
          </w:p>
        </w:tc>
      </w:tr>
      <w:tr>
        <w:tc>
          <w:tcPr/>
          <w:p>
            <w:pPr>
              <w:pStyle w:val="Compact"/>
              <w:jc w:val="left"/>
            </w:pPr>
            <w:r>
              <w:t xml:space="preserve">S4</w:t>
            </w:r>
          </w:p>
        </w:tc>
        <w:tc>
          <w:tcPr/>
          <w:p>
            <w:pPr>
              <w:pStyle w:val="Compact"/>
              <w:jc w:val="left"/>
            </w:pPr>
            <w:r>
              <w:rPr>
                <w:rStyle w:val="VerbatimChar"/>
              </w:rPr>
              <w:t xml:space="preserve">PROJECT_SPEC.md</w:t>
            </w:r>
          </w:p>
        </w:tc>
        <w:tc>
          <w:tcPr/>
          <w:p>
            <w:pPr>
              <w:pStyle w:val="Compact"/>
              <w:jc w:val="left"/>
            </w:pPr>
            <w:r>
              <w:t xml:space="preserve">Project specification: research questions, outcome definitions and the planned synthesis families, with dated notes on later changes</w:t>
            </w:r>
          </w:p>
        </w:tc>
      </w:tr>
      <w:tr>
        <w:tc>
          <w:tcPr/>
          <w:p>
            <w:pPr>
              <w:pStyle w:val="Compact"/>
              <w:jc w:val="left"/>
            </w:pPr>
            <w:r>
              <w:t xml:space="preserve">S5</w:t>
            </w:r>
          </w:p>
        </w:tc>
        <w:tc>
          <w:tcPr/>
          <w:p>
            <w:pPr>
              <w:pStyle w:val="Compact"/>
              <w:jc w:val="left"/>
            </w:pPr>
            <w:r>
              <w:rPr>
                <w:rStyle w:val="VerbatimChar"/>
              </w:rPr>
              <w:t xml:space="preserve">PROTOCOL.md</w:t>
            </w:r>
          </w:p>
        </w:tc>
        <w:tc>
          <w:tcPr/>
          <w:p>
            <w:pPr>
              <w:pStyle w:val="Compact"/>
              <w:jc w:val="left"/>
            </w:pPr>
            <w:r>
              <w:t xml:space="preserve">Written protocol (PRISMA-P style), fixed in writing on 2026-08-22 before any database was searched</w:t>
            </w:r>
          </w:p>
        </w:tc>
      </w:tr>
      <w:tr>
        <w:tc>
          <w:tcPr/>
          <w:p>
            <w:pPr>
              <w:pStyle w:val="Compact"/>
              <w:jc w:val="left"/>
            </w:pPr>
            <w:r>
              <w:t xml:space="preserve">S6</w:t>
            </w:r>
          </w:p>
        </w:tc>
        <w:tc>
          <w:tcPr/>
          <w:p>
            <w:pPr>
              <w:pStyle w:val="Compact"/>
              <w:jc w:val="left"/>
            </w:pPr>
            <w:r>
              <w:rPr>
                <w:rStyle w:val="VerbatimChar"/>
              </w:rPr>
              <w:t xml:space="preserve">00_admin/preregistration/osf_preregistration_draft.md</w:t>
            </w:r>
          </w:p>
        </w:tc>
        <w:tc>
          <w:tcPr/>
          <w:p>
            <w:pPr>
              <w:pStyle w:val="Compact"/>
              <w:jc w:val="left"/>
            </w:pPr>
            <w:r>
              <w:t xml:space="preserve">Text of the retrospective OSF registration, frozen at release 0.2.0-interim</w:t>
            </w:r>
          </w:p>
        </w:tc>
      </w:tr>
      <w:tr>
        <w:tc>
          <w:tcPr/>
          <w:p>
            <w:pPr>
              <w:pStyle w:val="Compact"/>
              <w:jc w:val="left"/>
            </w:pPr>
            <w:r>
              <w:t xml:space="preserve">S7</w:t>
            </w:r>
          </w:p>
        </w:tc>
        <w:tc>
          <w:tcPr/>
          <w:p>
            <w:pPr>
              <w:pStyle w:val="Compact"/>
              <w:jc w:val="left"/>
            </w:pPr>
            <w:r>
              <w:rPr>
                <w:rStyle w:val="VerbatimChar"/>
              </w:rPr>
              <w:t xml:space="preserve">CHANGELOG.md</w:t>
            </w:r>
          </w:p>
        </w:tc>
        <w:tc>
          <w:tcPr/>
          <w:p>
            <w:pPr>
              <w:pStyle w:val="Compact"/>
              <w:jc w:val="left"/>
            </w:pPr>
            <w:r>
              <w:t xml:space="preserve">Dated change log of the data, rules and documents</w:t>
            </w:r>
          </w:p>
        </w:tc>
      </w:tr>
      <w:tr>
        <w:tc>
          <w:tcPr/>
          <w:p>
            <w:pPr>
              <w:pStyle w:val="Compact"/>
              <w:jc w:val="left"/>
            </w:pPr>
            <w:r>
              <w:t xml:space="preserve">S8</w:t>
            </w:r>
          </w:p>
        </w:tc>
        <w:tc>
          <w:tcPr/>
          <w:p>
            <w:pPr>
              <w:pStyle w:val="Compact"/>
              <w:jc w:val="left"/>
            </w:pPr>
            <w:r>
              <w:rPr>
                <w:rStyle w:val="VerbatimChar"/>
              </w:rPr>
              <w:t xml:space="preserve">INCLUSION_EXCLUSION.md</w:t>
            </w:r>
          </w:p>
        </w:tc>
        <w:tc>
          <w:tcPr/>
          <w:p>
            <w:pPr>
              <w:pStyle w:val="Compact"/>
              <w:jc w:val="left"/>
            </w:pPr>
            <w:r>
              <w:t xml:space="preserve">Eligibility criteria, standardised exclusion codes and the dated narrow reading of criterion 2</w:t>
            </w:r>
          </w:p>
        </w:tc>
      </w:tr>
      <w:tr>
        <w:tc>
          <w:tcPr/>
          <w:p>
            <w:pPr>
              <w:pStyle w:val="Compact"/>
              <w:jc w:val="left"/>
            </w:pPr>
            <w:r>
              <w:t xml:space="preserve">S9</w:t>
            </w:r>
          </w:p>
        </w:tc>
        <w:tc>
          <w:tcPr/>
          <w:p>
            <w:pPr>
              <w:pStyle w:val="Compact"/>
              <w:jc w:val="left"/>
            </w:pPr>
            <w:r>
              <w:rPr>
                <w:rStyle w:val="VerbatimChar"/>
              </w:rPr>
              <w:t xml:space="preserve">SEARCH_PROTOCOL.md</w:t>
            </w:r>
          </w:p>
        </w:tc>
        <w:tc>
          <w:tcPr/>
          <w:p>
            <w:pPr>
              <w:pStyle w:val="Compact"/>
              <w:jc w:val="left"/>
            </w:pPr>
            <w:r>
              <w:t xml:space="preserve">Search protocol: sources, strings and dates</w:t>
            </w:r>
          </w:p>
        </w:tc>
      </w:tr>
      <w:tr>
        <w:tc>
          <w:tcPr/>
          <w:p>
            <w:pPr>
              <w:pStyle w:val="Compact"/>
              <w:jc w:val="left"/>
            </w:pPr>
            <w:r>
              <w:t xml:space="preserve">S10</w:t>
            </w:r>
          </w:p>
        </w:tc>
        <w:tc>
          <w:tcPr/>
          <w:p>
            <w:pPr>
              <w:pStyle w:val="Compact"/>
              <w:jc w:val="left"/>
            </w:pPr>
            <w:r>
              <w:rPr>
                <w:rStyle w:val="VerbatimChar"/>
              </w:rPr>
              <w:t xml:space="preserve">CODEBOOK.md</w:t>
            </w:r>
          </w:p>
        </w:tc>
        <w:tc>
          <w:tcPr/>
          <w:p>
            <w:pPr>
              <w:pStyle w:val="Compact"/>
              <w:jc w:val="left"/>
            </w:pPr>
            <w:r>
              <w:t xml:space="preserve">Extraction codebook, including the design-driven mechanism-certainty scale</w:t>
            </w:r>
          </w:p>
        </w:tc>
      </w:tr>
      <w:tr>
        <w:tc>
          <w:tcPr/>
          <w:p>
            <w:pPr>
              <w:pStyle w:val="Compact"/>
              <w:jc w:val="left"/>
            </w:pPr>
            <w:r>
              <w:t xml:space="preserve">S11</w:t>
            </w:r>
          </w:p>
        </w:tc>
        <w:tc>
          <w:tcPr/>
          <w:p>
            <w:pPr>
              <w:pStyle w:val="Compact"/>
              <w:jc w:val="left"/>
            </w:pPr>
            <w:r>
              <w:rPr>
                <w:rStyle w:val="VerbatimChar"/>
              </w:rPr>
              <w:t xml:space="preserve">code/provenance/audit_and_repair/reextract_2026-10-04/CAMPAIGN_NOTES.md</w:t>
            </w:r>
          </w:p>
        </w:tc>
        <w:tc>
          <w:tcPr/>
          <w:p>
            <w:pPr>
              <w:pStyle w:val="Compact"/>
              <w:jc w:val="left"/>
            </w:pPr>
            <w:r>
              <w:t xml:space="preserve">Notes on the full-text re-extraction campaign</w:t>
            </w:r>
          </w:p>
        </w:tc>
      </w:tr>
      <w:tr>
        <w:tc>
          <w:tcPr/>
          <w:p>
            <w:pPr>
              <w:pStyle w:val="Compact"/>
              <w:jc w:val="left"/>
            </w:pPr>
            <w:r>
              <w:t xml:space="preserve">S12</w:t>
            </w:r>
          </w:p>
        </w:tc>
        <w:tc>
          <w:tcPr/>
          <w:p>
            <w:pPr>
              <w:pStyle w:val="Compact"/>
              <w:jc w:val="left"/>
            </w:pPr>
            <w:r>
              <w:rPr>
                <w:rStyle w:val="VerbatimChar"/>
              </w:rPr>
              <w:t xml:space="preserve">03_extraction/second_extractor/</w:t>
            </w:r>
          </w:p>
        </w:tc>
        <w:tc>
          <w:tcPr/>
          <w:p>
            <w:pPr>
              <w:pStyle w:val="Compact"/>
              <w:jc w:val="left"/>
            </w:pPr>
            <w:r>
              <w:t xml:space="preserve">Second-extractor sample (an AI check of the AI extraction) and its worksheets</w:t>
            </w:r>
          </w:p>
        </w:tc>
      </w:tr>
      <w:tr>
        <w:tc>
          <w:tcPr/>
          <w:p>
            <w:pPr>
              <w:pStyle w:val="Compact"/>
              <w:jc w:val="left"/>
            </w:pPr>
            <w:r>
              <w:t xml:space="preserve">S13</w:t>
            </w:r>
          </w:p>
        </w:tc>
        <w:tc>
          <w:tcPr/>
          <w:p>
            <w:pPr>
              <w:pStyle w:val="Compact"/>
              <w:jc w:val="left"/>
            </w:pPr>
            <w:r>
              <w:rPr>
                <w:rStyle w:val="VerbatimChar"/>
              </w:rPr>
              <w:t xml:space="preserve">06_outputs/supplementary/phase11_quantitative_feasibility_judgment.md</w:t>
            </w:r>
          </w:p>
        </w:tc>
        <w:tc>
          <w:tcPr/>
          <w:p>
            <w:pPr>
              <w:pStyle w:val="Compact"/>
              <w:jc w:val="left"/>
            </w:pPr>
            <w:r>
              <w:t xml:space="preserve">Judgment on the feasibility of pooling</w:t>
            </w:r>
          </w:p>
        </w:tc>
      </w:tr>
      <w:tr>
        <w:tc>
          <w:tcPr/>
          <w:p>
            <w:pPr>
              <w:pStyle w:val="Compact"/>
              <w:jc w:val="left"/>
            </w:pPr>
            <w:r>
              <w:t xml:space="preserve">S14</w:t>
            </w:r>
          </w:p>
        </w:tc>
        <w:tc>
          <w:tcPr/>
          <w:p>
            <w:pPr>
              <w:pStyle w:val="Compact"/>
              <w:jc w:val="left"/>
            </w:pPr>
            <w:r>
              <w:rPr>
                <w:rStyle w:val="VerbatimChar"/>
              </w:rPr>
              <w:t xml:space="preserve">05_analysis/effect_sizes/FAMILY_FIT_AUDIT_2026-10-04.md</w:t>
            </w:r>
          </w:p>
        </w:tc>
        <w:tc>
          <w:tcPr/>
          <w:p>
            <w:pPr>
              <w:pStyle w:val="Compact"/>
              <w:jc w:val="left"/>
            </w:pPr>
            <w:r>
              <w:t xml:space="preserve">Audit of whether each effect-size row fits the wording of its synthesis family</w:t>
            </w:r>
          </w:p>
        </w:tc>
      </w:tr>
      <w:tr>
        <w:tc>
          <w:tcPr/>
          <w:p>
            <w:pPr>
              <w:pStyle w:val="Compact"/>
              <w:jc w:val="left"/>
            </w:pPr>
            <w:r>
              <w:t xml:space="preserve">S15</w:t>
            </w:r>
          </w:p>
        </w:tc>
        <w:tc>
          <w:tcPr/>
          <w:p>
            <w:pPr>
              <w:pStyle w:val="Compact"/>
              <w:jc w:val="left"/>
            </w:pPr>
            <w:r>
              <w:rPr>
                <w:rStyle w:val="VerbatimChar"/>
              </w:rPr>
              <w:t xml:space="preserve">05_analysis/sensitivity/SENSITIVITY_ANALYSIS_2026-09-28.md</w:t>
            </w:r>
          </w:p>
        </w:tc>
        <w:tc>
          <w:tcPr/>
          <w:p>
            <w:pPr>
              <w:pStyle w:val="Compact"/>
              <w:jc w:val="left"/>
            </w:pPr>
            <w:r>
              <w:t xml:space="preserve">Sensitivity analysis of the three structured syntheses</w:t>
            </w:r>
          </w:p>
        </w:tc>
      </w:tr>
      <w:tr>
        <w:tc>
          <w:tcPr/>
          <w:p>
            <w:pPr>
              <w:pStyle w:val="Compact"/>
              <w:jc w:val="left"/>
            </w:pPr>
            <w:r>
              <w:t xml:space="preserve">S16</w:t>
            </w:r>
          </w:p>
        </w:tc>
        <w:tc>
          <w:tcPr/>
          <w:p>
            <w:pPr>
              <w:pStyle w:val="Compact"/>
              <w:jc w:val="left"/>
            </w:pPr>
            <w:r>
              <w:rPr>
                <w:rStyle w:val="VerbatimChar"/>
              </w:rPr>
              <w:t xml:space="preserve">_reviewer2_codex/AI_USE_AND_TOOLS_DISCLOSURE.md</w:t>
            </w:r>
          </w:p>
        </w:tc>
        <w:tc>
          <w:tcPr/>
          <w:p>
            <w:pPr>
              <w:pStyle w:val="Compact"/>
              <w:jc w:val="left"/>
            </w:pPr>
            <w:r>
              <w:t xml:space="preserve">Disclosure of the Codex and Gemini blind-reviewer runs</w:t>
            </w:r>
          </w:p>
        </w:tc>
      </w:tr>
      <w:tr>
        <w:tc>
          <w:tcPr/>
          <w:p>
            <w:pPr>
              <w:pStyle w:val="Compact"/>
              <w:jc w:val="left"/>
            </w:pPr>
            <w:r>
              <w:t xml:space="preserve">S17</w:t>
            </w:r>
          </w:p>
        </w:tc>
        <w:tc>
          <w:tcPr/>
          <w:p>
            <w:pPr>
              <w:pStyle w:val="Compact"/>
              <w:jc w:val="left"/>
            </w:pPr>
            <w:r>
              <w:rPr>
                <w:rStyle w:val="VerbatimChar"/>
              </w:rPr>
              <w:t xml:space="preserve">AI_USE_STATEMENT.md</w:t>
            </w:r>
          </w:p>
        </w:tc>
        <w:tc>
          <w:tcPr/>
          <w:p>
            <w:pPr>
              <w:pStyle w:val="Compact"/>
              <w:jc w:val="left"/>
            </w:pPr>
            <w:r>
              <w:t xml:space="preserve">AI-use statement: stage-by-stage division of labour, models and tools, with provenance taken from the logged labels</w:t>
            </w:r>
          </w:p>
        </w:tc>
      </w:tr>
      <w:tr>
        <w:tc>
          <w:tcPr/>
          <w:p>
            <w:pPr>
              <w:pStyle w:val="Compact"/>
              <w:jc w:val="left"/>
            </w:pPr>
            <w:r>
              <w:t xml:space="preserve">S18</w:t>
            </w:r>
          </w:p>
        </w:tc>
        <w:tc>
          <w:tcPr/>
          <w:p>
            <w:pPr>
              <w:pStyle w:val="Compact"/>
              <w:jc w:val="left"/>
            </w:pPr>
            <w:r>
              <w:rPr>
                <w:rStyle w:val="VerbatimChar"/>
              </w:rPr>
              <w:t xml:space="preserve">02_screening/exclusion_log/exclusion_log.csv</w:t>
            </w:r>
          </w:p>
        </w:tc>
        <w:tc>
          <w:tcPr/>
          <w:p>
            <w:pPr>
              <w:pStyle w:val="Compact"/>
              <w:jc w:val="left"/>
            </w:pPr>
            <w:r>
              <w:t xml:space="preserve">Exclusion log: standardised code and rationale for every full-text exclusion</w:t>
            </w:r>
          </w:p>
        </w:tc>
      </w:tr>
      <w:tr>
        <w:tc>
          <w:tcPr/>
          <w:p>
            <w:pPr>
              <w:pStyle w:val="Compact"/>
              <w:jc w:val="left"/>
            </w:pPr>
            <w:r>
              <w:t xml:space="preserve">S19</w:t>
            </w:r>
          </w:p>
        </w:tc>
        <w:tc>
          <w:tcPr/>
          <w:p>
            <w:pPr>
              <w:pStyle w:val="Compact"/>
              <w:jc w:val="left"/>
            </w:pPr>
            <w:r>
              <w:rPr>
                <w:rStyle w:val="VerbatimChar"/>
              </w:rPr>
              <w:t xml:space="preserve">06_outputs/figures/fig1_design_mix.svg</w:t>
            </w:r>
          </w:p>
        </w:tc>
        <w:tc>
          <w:tcPr/>
          <w:p>
            <w:pPr>
              <w:pStyle w:val="Compact"/>
              <w:jc w:val="left"/>
            </w:pPr>
            <w:r>
              <w:t xml:space="preserve">Figure 1: design mix</w:t>
            </w:r>
          </w:p>
        </w:tc>
      </w:tr>
      <w:tr>
        <w:tc>
          <w:tcPr/>
          <w:p>
            <w:pPr>
              <w:pStyle w:val="Compact"/>
              <w:jc w:val="left"/>
            </w:pPr>
            <w:r>
              <w:t xml:space="preserve">S20</w:t>
            </w:r>
          </w:p>
        </w:tc>
        <w:tc>
          <w:tcPr/>
          <w:p>
            <w:pPr>
              <w:pStyle w:val="Compact"/>
              <w:jc w:val="left"/>
            </w:pPr>
            <w:r>
              <w:rPr>
                <w:rStyle w:val="VerbatimChar"/>
              </w:rPr>
              <w:t xml:space="preserve">06_outputs/figures/fig2_publication_years.svg</w:t>
            </w:r>
          </w:p>
        </w:tc>
        <w:tc>
          <w:tcPr/>
          <w:p>
            <w:pPr>
              <w:pStyle w:val="Compact"/>
              <w:jc w:val="left"/>
            </w:pPr>
            <w:r>
              <w:t xml:space="preserve">Figure 2: publication years</w:t>
            </w:r>
          </w:p>
        </w:tc>
      </w:tr>
      <w:tr>
        <w:tc>
          <w:tcPr/>
          <w:p>
            <w:pPr>
              <w:pStyle w:val="Compact"/>
              <w:jc w:val="left"/>
            </w:pPr>
            <w:r>
              <w:t xml:space="preserve">S21</w:t>
            </w:r>
          </w:p>
        </w:tc>
        <w:tc>
          <w:tcPr/>
          <w:p>
            <w:pPr>
              <w:pStyle w:val="Compact"/>
              <w:jc w:val="left"/>
            </w:pPr>
            <w:r>
              <w:rPr>
                <w:rStyle w:val="VerbatimChar"/>
              </w:rPr>
              <w:t xml:space="preserve">06_outputs/figures/fig3_countries.svg</w:t>
            </w:r>
          </w:p>
        </w:tc>
        <w:tc>
          <w:tcPr/>
          <w:p>
            <w:pPr>
              <w:pStyle w:val="Compact"/>
              <w:jc w:val="left"/>
            </w:pPr>
            <w:r>
              <w:t xml:space="preserve">Figure 3: countries</w:t>
            </w:r>
          </w:p>
        </w:tc>
      </w:tr>
      <w:tr>
        <w:tc>
          <w:tcPr/>
          <w:p>
            <w:pPr>
              <w:pStyle w:val="Compact"/>
              <w:jc w:val="left"/>
            </w:pPr>
            <w:r>
              <w:t xml:space="preserve">S22</w:t>
            </w:r>
          </w:p>
        </w:tc>
        <w:tc>
          <w:tcPr/>
          <w:p>
            <w:pPr>
              <w:pStyle w:val="Compact"/>
              <w:jc w:val="left"/>
            </w:pPr>
            <w:r>
              <w:rPr>
                <w:rStyle w:val="VerbatimChar"/>
              </w:rPr>
              <w:t xml:space="preserve">06_outputs/figures/fig5_appraisal_tools.svg</w:t>
            </w:r>
          </w:p>
        </w:tc>
        <w:tc>
          <w:tcPr/>
          <w:p>
            <w:pPr>
              <w:pStyle w:val="Compact"/>
              <w:jc w:val="left"/>
            </w:pPr>
            <w:r>
              <w:t xml:space="preserve">Figure 5: appraisal instruments</w:t>
            </w:r>
          </w:p>
        </w:tc>
      </w:tr>
      <w:tr>
        <w:tc>
          <w:tcPr/>
          <w:p>
            <w:pPr>
              <w:pStyle w:val="Compact"/>
              <w:jc w:val="left"/>
            </w:pPr>
            <w:r>
              <w:t xml:space="preserve">S23</w:t>
            </w:r>
          </w:p>
        </w:tc>
        <w:tc>
          <w:tcPr/>
          <w:p>
            <w:pPr>
              <w:pStyle w:val="Compact"/>
              <w:jc w:val="left"/>
            </w:pPr>
            <w:r>
              <w:rPr>
                <w:rStyle w:val="VerbatimChar"/>
              </w:rPr>
              <w:t xml:space="preserve">06_outputs/figures/fig4_direction_by_family.svg</w:t>
            </w:r>
          </w:p>
        </w:tc>
        <w:tc>
          <w:tcPr/>
          <w:p>
            <w:pPr>
              <w:pStyle w:val="Compact"/>
              <w:jc w:val="left"/>
            </w:pPr>
            <w:r>
              <w:t xml:space="preserve">Figure 4: raw sign and substantive direction by family</w:t>
            </w:r>
          </w:p>
        </w:tc>
      </w:tr>
      <w:tr>
        <w:tc>
          <w:tcPr/>
          <w:p>
            <w:pPr>
              <w:pStyle w:val="Compact"/>
              <w:jc w:val="left"/>
            </w:pPr>
            <w:r>
              <w:t xml:space="preserve">S24</w:t>
            </w:r>
          </w:p>
        </w:tc>
        <w:tc>
          <w:tcPr/>
          <w:p>
            <w:pPr>
              <w:pStyle w:val="Compact"/>
              <w:jc w:val="left"/>
            </w:pPr>
            <w:r>
              <w:rPr>
                <w:rStyle w:val="VerbatimChar"/>
              </w:rPr>
              <w:t xml:space="preserve">code/analysis/build_figures.py</w:t>
            </w:r>
          </w:p>
        </w:tc>
        <w:tc>
          <w:tcPr/>
          <w:p>
            <w:pPr>
              <w:pStyle w:val="Compact"/>
              <w:jc w:val="left"/>
            </w:pPr>
            <w:r>
              <w:t xml:space="preserve">Script that draws Figures 1 to 5 from the databases</w:t>
            </w:r>
          </w:p>
        </w:tc>
      </w:tr>
      <w:tr>
        <w:tc>
          <w:tcPr/>
          <w:p>
            <w:pPr>
              <w:pStyle w:val="Compact"/>
              <w:jc w:val="left"/>
            </w:pPr>
            <w:r>
              <w:t xml:space="preserve">S25</w:t>
            </w:r>
          </w:p>
        </w:tc>
        <w:tc>
          <w:tcPr/>
          <w:p>
            <w:pPr>
              <w:pStyle w:val="Compact"/>
              <w:jc w:val="left"/>
            </w:pPr>
            <w:r>
              <w:rPr>
                <w:rStyle w:val="VerbatimChar"/>
              </w:rPr>
              <w:t xml:space="preserve">05_analysis/descriptive/evidence_map_original_labels_2026-10-14.csv</w:t>
            </w:r>
          </w:p>
        </w:tc>
        <w:tc>
          <w:tcPr/>
          <w:p>
            <w:pPr>
              <w:pStyle w:val="Compact"/>
              <w:jc w:val="left"/>
            </w:pPr>
            <w:r>
              <w:t xml:space="preserve">Original free-text design, mechanism and outcome labels before they were mapped to the controlled vocabularies</w:t>
            </w:r>
          </w:p>
        </w:tc>
      </w:tr>
      <w:tr>
        <w:tc>
          <w:tcPr/>
          <w:p>
            <w:pPr>
              <w:pStyle w:val="Compact"/>
              <w:jc w:val="left"/>
            </w:pPr>
            <w:r>
              <w:t xml:space="preserve">S26</w:t>
            </w:r>
          </w:p>
        </w:tc>
        <w:tc>
          <w:tcPr/>
          <w:p>
            <w:pPr>
              <w:pStyle w:val="Compact"/>
              <w:jc w:val="left"/>
            </w:pPr>
            <w:r>
              <w:rPr>
                <w:rStyle w:val="VerbatimChar"/>
              </w:rPr>
              <w:t xml:space="preserve">03_extraction/extracted_data/extraction_mechanism_certainty_original_2026-10-14.csv</w:t>
            </w:r>
          </w:p>
        </w:tc>
        <w:tc>
          <w:tcPr/>
          <w:p>
            <w:pPr>
              <w:pStyle w:val="Compact"/>
              <w:jc w:val="left"/>
            </w:pPr>
            <w:r>
              <w:t xml:space="preserve">Original mechanism-certainty values (including the narrative sentences) before the 2026-10-14 normalisation</w:t>
            </w:r>
          </w:p>
        </w:tc>
      </w:tr>
      <w:tr>
        <w:tc>
          <w:tcPr/>
          <w:p>
            <w:pPr>
              <w:pStyle w:val="Compact"/>
              <w:jc w:val="left"/>
            </w:pPr>
            <w:r>
              <w:t xml:space="preserve">S27</w:t>
            </w:r>
          </w:p>
        </w:tc>
        <w:tc>
          <w:tcPr/>
          <w:p>
            <w:pPr>
              <w:pStyle w:val="Compact"/>
              <w:jc w:val="left"/>
            </w:pPr>
            <w:r>
              <w:rPr>
                <w:rStyle w:val="VerbatimChar"/>
              </w:rPr>
              <w:t xml:space="preserve">RISK_OF_BIAS.md</w:t>
            </w:r>
          </w:p>
        </w:tc>
        <w:tc>
          <w:tcPr/>
          <w:p>
            <w:pPr>
              <w:pStyle w:val="Compact"/>
              <w:jc w:val="left"/>
            </w:pPr>
            <w:r>
              <w:t xml:space="preserve">Appraisal tools by study design and the rule-based rating procedure</w:t>
            </w:r>
          </w:p>
        </w:tc>
      </w:tr>
      <w:tr>
        <w:tc>
          <w:tcPr/>
          <w:p>
            <w:pPr>
              <w:pStyle w:val="Compact"/>
              <w:jc w:val="left"/>
            </w:pPr>
            <w:r>
              <w:t xml:space="preserve">S28</w:t>
            </w:r>
          </w:p>
        </w:tc>
        <w:tc>
          <w:tcPr/>
          <w:p>
            <w:pPr>
              <w:pStyle w:val="Compact"/>
              <w:jc w:val="left"/>
            </w:pPr>
            <w:r>
              <w:rPr>
                <w:rStyle w:val="VerbatimChar"/>
              </w:rPr>
              <w:t xml:space="preserve">05_analysis/descriptive/DATA_QUALITY_AUDIT_2026-09-29.md</w:t>
            </w:r>
          </w:p>
        </w:tc>
        <w:tc>
          <w:tcPr/>
          <w:p>
            <w:pPr>
              <w:pStyle w:val="Compact"/>
              <w:jc w:val="left"/>
            </w:pPr>
            <w:r>
              <w:t xml:space="preserve">Data-quality audit of the extraction database</w:t>
            </w:r>
          </w:p>
        </w:tc>
      </w:tr>
      <w:tr>
        <w:tc>
          <w:tcPr/>
          <w:p>
            <w:pPr>
              <w:pStyle w:val="Compact"/>
              <w:jc w:val="left"/>
            </w:pPr>
            <w:r>
              <w:t xml:space="preserve">S29</w:t>
            </w:r>
          </w:p>
        </w:tc>
        <w:tc>
          <w:tcPr/>
          <w:p>
            <w:pPr>
              <w:pStyle w:val="Compact"/>
              <w:jc w:val="left"/>
            </w:pPr>
            <w:r>
              <w:rPr>
                <w:rStyle w:val="VerbatimChar"/>
              </w:rPr>
              <w:t xml:space="preserve">05_analysis/descriptive/AMSTAR2_OVERLAP_CHECK_2026-10-04.md</w:t>
            </w:r>
          </w:p>
        </w:tc>
        <w:tc>
          <w:tcPr/>
          <w:p>
            <w:pPr>
              <w:pStyle w:val="Compact"/>
              <w:jc w:val="left"/>
            </w:pPr>
            <w:r>
              <w:t xml:space="preserve">Overlap between the AMSTAR 2-appraised reviews and the primary studies in the corpus</w:t>
            </w:r>
          </w:p>
        </w:tc>
      </w:tr>
      <w:tr>
        <w:tc>
          <w:tcPr/>
          <w:p>
            <w:pPr>
              <w:pStyle w:val="Compact"/>
              <w:jc w:val="left"/>
            </w:pPr>
            <w:r>
              <w:t xml:space="preserve">S30</w:t>
            </w:r>
          </w:p>
        </w:tc>
        <w:tc>
          <w:tcPr/>
          <w:p>
            <w:pPr>
              <w:pStyle w:val="Compact"/>
              <w:jc w:val="left"/>
            </w:pPr>
            <w:r>
              <w:rPr>
                <w:rStyle w:val="VerbatimChar"/>
              </w:rPr>
              <w:t xml:space="preserve">06_outputs/supplementary/phase11_blank_family_resolution_2026-09-28.md</w:t>
            </w:r>
          </w:p>
        </w:tc>
        <w:tc>
          <w:tcPr/>
          <w:p>
            <w:pPr>
              <w:pStyle w:val="Compact"/>
              <w:jc w:val="left"/>
            </w:pPr>
            <w:r>
              <w:t xml:space="preserve">Resolution of the effect-size rows that had no synthesis family</w:t>
            </w:r>
          </w:p>
        </w:tc>
      </w:tr>
      <w:tr>
        <w:tc>
          <w:tcPr/>
          <w:p>
            <w:pPr>
              <w:pStyle w:val="Compact"/>
              <w:jc w:val="left"/>
            </w:pPr>
            <w:r>
              <w:t xml:space="preserve">S31</w:t>
            </w:r>
          </w:p>
        </w:tc>
        <w:tc>
          <w:tcPr/>
          <w:p>
            <w:pPr>
              <w:pStyle w:val="Compact"/>
              <w:jc w:val="left"/>
            </w:pPr>
            <w:r>
              <w:rPr>
                <w:rStyle w:val="VerbatimChar"/>
              </w:rPr>
              <w:t xml:space="preserve">06_outputs/supplementary/family_{A,B,C}_swim_synthesis_2026-09-28.md</w:t>
            </w:r>
          </w:p>
        </w:tc>
        <w:tc>
          <w:tcPr/>
          <w:p>
            <w:pPr>
              <w:pStyle w:val="Compact"/>
              <w:jc w:val="left"/>
            </w:pPr>
            <w:r>
              <w:t xml:space="preserve">Structured (SWiM) syntheses of Families A, B and C: studies, tables, robustness and certainty</w:t>
            </w:r>
          </w:p>
        </w:tc>
      </w:tr>
      <w:tr>
        <w:tc>
          <w:tcPr/>
          <w:p>
            <w:pPr>
              <w:pStyle w:val="Compact"/>
              <w:jc w:val="left"/>
            </w:pPr>
            <w:r>
              <w:t xml:space="preserve">S32</w:t>
            </w:r>
          </w:p>
        </w:tc>
        <w:tc>
          <w:tcPr/>
          <w:p>
            <w:pPr>
              <w:pStyle w:val="Compact"/>
              <w:jc w:val="left"/>
            </w:pPr>
            <w:r>
              <w:rPr>
                <w:rStyle w:val="VerbatimChar"/>
              </w:rPr>
              <w:t xml:space="preserve">05_analysis/effect_sizes/SWIM_CORE_VERIFICATION_TABLE_2026-10-14.csv</w:t>
            </w:r>
          </w:p>
        </w:tc>
        <w:tc>
          <w:tcPr/>
          <w:p>
            <w:pPr>
              <w:pStyle w:val="Compact"/>
              <w:jc w:val="left"/>
            </w:pPr>
            <w:r>
              <w:t xml:space="preserve">The 44 family-assigned effect rows: exposure, comparator, outcome, estimate, raw sign, substantive direction, appraisal, and the worksheet for the human check</w:t>
            </w:r>
          </w:p>
        </w:tc>
      </w:tr>
      <w:tr>
        <w:tc>
          <w:tcPr/>
          <w:p>
            <w:pPr>
              <w:pStyle w:val="Compact"/>
              <w:jc w:val="left"/>
            </w:pPr>
            <w:r>
              <w:t xml:space="preserve">S33</w:t>
            </w:r>
          </w:p>
        </w:tc>
        <w:tc>
          <w:tcPr/>
          <w:p>
            <w:pPr>
              <w:pStyle w:val="Compact"/>
              <w:jc w:val="left"/>
            </w:pPr>
            <w:r>
              <w:rPr>
                <w:rStyle w:val="VerbatimChar"/>
              </w:rPr>
              <w:t xml:space="preserve">05_analysis/effect_sizes/SWIM_DIRECTION_CODING_2026-10-14.csv</w:t>
            </w:r>
          </w:p>
        </w:tc>
        <w:tc>
          <w:tcPr/>
          <w:p>
            <w:pPr>
              <w:pStyle w:val="Compact"/>
              <w:jc w:val="left"/>
            </w:pPr>
            <w:r>
              <w:t xml:space="preserve">Coding of the raw sign and the substantive direction of the 44 family-assigned effect rows, with the outcome polarity and the exposure pole</w:t>
            </w:r>
          </w:p>
        </w:tc>
      </w:tr>
      <w:tr>
        <w:tc>
          <w:tcPr/>
          <w:p>
            <w:pPr>
              <w:pStyle w:val="Compact"/>
              <w:jc w:val="left"/>
            </w:pPr>
            <w:r>
              <w:t xml:space="preserve">S34</w:t>
            </w:r>
          </w:p>
        </w:tc>
        <w:tc>
          <w:tcPr/>
          <w:p>
            <w:pPr>
              <w:pStyle w:val="Compact"/>
              <w:jc w:val="left"/>
            </w:pPr>
            <w:r>
              <w:rPr>
                <w:rStyle w:val="VerbatimChar"/>
              </w:rPr>
              <w:t xml:space="preserve">ANALYSIS_PLAN.md</w:t>
            </w:r>
          </w:p>
        </w:tc>
        <w:tc>
          <w:tcPr/>
          <w:p>
            <w:pPr>
              <w:pStyle w:val="Compact"/>
              <w:jc w:val="left"/>
            </w:pPr>
            <w:r>
              <w:t xml:space="preserve">Analysis plan: decision tree for pooling versus structured synthesis</w:t>
            </w:r>
          </w:p>
        </w:tc>
      </w:tr>
      <w:tr>
        <w:tc>
          <w:tcPr/>
          <w:p>
            <w:pPr>
              <w:pStyle w:val="Compact"/>
              <w:jc w:val="left"/>
            </w:pPr>
            <w:r>
              <w:t xml:space="preserve">S35</w:t>
            </w:r>
          </w:p>
        </w:tc>
        <w:tc>
          <w:tcPr/>
          <w:p>
            <w:pPr>
              <w:pStyle w:val="Compact"/>
              <w:jc w:val="left"/>
            </w:pPr>
            <w:r>
              <w:rPr>
                <w:rStyle w:val="VerbatimChar"/>
              </w:rPr>
              <w:t xml:space="preserve">05_analysis/descriptive/FAMILY_VOCABULARY_PROPOSAL_2026-09-28.md</w:t>
            </w:r>
          </w:p>
        </w:tc>
        <w:tc>
          <w:tcPr/>
          <w:p>
            <w:pPr>
              <w:pStyle w:val="Compact"/>
              <w:jc w:val="left"/>
            </w:pPr>
            <w:r>
              <w:t xml:space="preserve">Controlled vocabularies for mechanism and outcome families (mechanical, unvalidated)</w:t>
            </w:r>
          </w:p>
        </w:tc>
      </w:tr>
      <w:tr>
        <w:tc>
          <w:tcPr/>
          <w:p>
            <w:pPr>
              <w:pStyle w:val="Compact"/>
              <w:jc w:val="left"/>
            </w:pPr>
            <w:r>
              <w:t xml:space="preserve">S36</w:t>
            </w:r>
          </w:p>
        </w:tc>
        <w:tc>
          <w:tcPr/>
          <w:p>
            <w:pPr>
              <w:pStyle w:val="Compact"/>
              <w:jc w:val="left"/>
            </w:pPr>
            <w:r>
              <w:rPr>
                <w:rStyle w:val="VerbatimChar"/>
              </w:rPr>
              <w:t xml:space="preserve">03_extraction/extracted_data/linked_reports_2026-09-28.csv</w:t>
            </w:r>
          </w:p>
        </w:tc>
        <w:tc>
          <w:tcPr/>
          <w:p>
            <w:pPr>
              <w:pStyle w:val="Compact"/>
              <w:jc w:val="left"/>
            </w:pPr>
            <w:r>
              <w:t xml:space="preserve">Reports that share underlying data or overlap</w:t>
            </w:r>
          </w:p>
        </w:tc>
      </w:tr>
      <w:tr>
        <w:tc>
          <w:tcPr/>
          <w:p>
            <w:pPr>
              <w:pStyle w:val="Compact"/>
              <w:jc w:val="left"/>
            </w:pPr>
            <w:r>
              <w:t xml:space="preserve">S37</w:t>
            </w:r>
          </w:p>
        </w:tc>
        <w:tc>
          <w:tcPr/>
          <w:p>
            <w:pPr>
              <w:pStyle w:val="Compact"/>
              <w:jc w:val="left"/>
            </w:pPr>
            <w:r>
              <w:rPr>
                <w:rStyle w:val="VerbatimChar"/>
              </w:rPr>
              <w:t xml:space="preserve">README.md</w:t>
            </w:r>
          </w:p>
        </w:tc>
        <w:tc>
          <w:tcPr/>
          <w:p>
            <w:pPr>
              <w:pStyle w:val="Compact"/>
              <w:jc w:val="left"/>
            </w:pPr>
            <w:r>
              <w:t xml:space="preserve">Repository overview, workflow, known limitations and release history</w:t>
            </w:r>
          </w:p>
        </w:tc>
      </w:tr>
      <w:tr>
        <w:tc>
          <w:tcPr/>
          <w:p>
            <w:pPr>
              <w:pStyle w:val="Compact"/>
              <w:jc w:val="left"/>
            </w:pPr>
            <w:r>
              <w:t xml:space="preserve">S38</w:t>
            </w:r>
          </w:p>
        </w:tc>
        <w:tc>
          <w:tcPr/>
          <w:p>
            <w:pPr>
              <w:pStyle w:val="Compact"/>
              <w:jc w:val="left"/>
            </w:pPr>
            <w:r>
              <w:rPr>
                <w:rStyle w:val="VerbatimChar"/>
              </w:rPr>
              <w:t xml:space="preserve">00_admin/CURRENT_FIGURES.md</w:t>
            </w:r>
          </w:p>
        </w:tc>
        <w:tc>
          <w:tcPr/>
          <w:p>
            <w:pPr>
              <w:pStyle w:val="Compact"/>
              <w:jc w:val="left"/>
            </w:pPr>
            <w:r>
              <w:t xml:space="preserve">Every quoted figure with its source, regenerated from the databases</w:t>
            </w:r>
          </w:p>
        </w:tc>
      </w:tr>
      <w:tr>
        <w:tc>
          <w:tcPr/>
          <w:p>
            <w:pPr>
              <w:pStyle w:val="Compact"/>
              <w:jc w:val="left"/>
            </w:pPr>
            <w:r>
              <w:t xml:space="preserve">S39</w:t>
            </w:r>
          </w:p>
        </w:tc>
        <w:tc>
          <w:tcPr/>
          <w:p>
            <w:pPr>
              <w:pStyle w:val="Compact"/>
              <w:jc w:val="left"/>
            </w:pPr>
            <w:r>
              <w:rPr>
                <w:rStyle w:val="VerbatimChar"/>
              </w:rPr>
              <w:t xml:space="preserve">02_screening/full_text/REVIEWER_2_PRIORITY_QUEUE_README.md</w:t>
            </w:r>
          </w:p>
        </w:tc>
        <w:tc>
          <w:tcPr/>
          <w:p>
            <w:pPr>
              <w:pStyle w:val="Compact"/>
              <w:jc w:val="left"/>
            </w:pPr>
            <w:r>
              <w:t xml:space="preserve">Priority queue and instructions for the human second pass of the full-text decisions</w:t>
            </w:r>
          </w:p>
        </w:tc>
      </w:tr>
      <w:tr>
        <w:tc>
          <w:tcPr/>
          <w:p>
            <w:pPr>
              <w:pStyle w:val="Compact"/>
              <w:jc w:val="left"/>
            </w:pPr>
            <w:r>
              <w:t xml:space="preserve">S40</w:t>
            </w:r>
          </w:p>
        </w:tc>
        <w:tc>
          <w:tcPr/>
          <w:p>
            <w:pPr>
              <w:pStyle w:val="Compact"/>
              <w:jc w:val="left"/>
            </w:pPr>
            <w:r>
              <w:rPr>
                <w:rStyle w:val="VerbatimChar"/>
              </w:rPr>
              <w:t xml:space="preserve">02_screening/full_text/A16_ADJUDICATION_SHEET_2026-10-04.md</w:t>
            </w:r>
          </w:p>
        </w:tc>
        <w:tc>
          <w:tcPr/>
          <w:p>
            <w:pPr>
              <w:pStyle w:val="Compact"/>
              <w:jc w:val="left"/>
            </w:pPr>
            <w:r>
              <w:t xml:space="preserve">Reading list for the records on which two blind AI reviewers disagreed with the original AI decision (the author's rulings are in the filled sheet beside it)</w:t>
            </w:r>
          </w:p>
        </w:tc>
      </w:tr>
      <w:tr>
        <w:tc>
          <w:tcPr/>
          <w:p>
            <w:pPr>
              <w:pStyle w:val="Compact"/>
              <w:jc w:val="left"/>
            </w:pPr>
            <w:r>
              <w:t xml:space="preserve">S41</w:t>
            </w:r>
          </w:p>
        </w:tc>
        <w:tc>
          <w:tcPr/>
          <w:p>
            <w:pPr>
              <w:pStyle w:val="Compact"/>
              <w:jc w:val="left"/>
            </w:pPr>
            <w:r>
              <w:rPr>
                <w:rStyle w:val="VerbatimChar"/>
              </w:rPr>
              <w:t xml:space="preserve">05_analysis/descriptive/SPARSE_RECORD_AUDIT_2026-10-04.md</w:t>
            </w:r>
          </w:p>
        </w:tc>
        <w:tc>
          <w:tcPr/>
          <w:p>
            <w:pPr>
              <w:pStyle w:val="Compact"/>
              <w:jc w:val="left"/>
            </w:pPr>
            <w:r>
              <w:t xml:space="preserve">Audit of extraction rows that show signs of shallow (abstract-level) extraction</w:t>
            </w:r>
          </w:p>
        </w:tc>
      </w:tr>
      <w:tr>
        <w:tc>
          <w:tcPr/>
          <w:p>
            <w:pPr>
              <w:pStyle w:val="Compact"/>
              <w:jc w:val="left"/>
            </w:pPr>
            <w:r>
              <w:t xml:space="preserve">S42</w:t>
            </w:r>
          </w:p>
        </w:tc>
        <w:tc>
          <w:tcPr/>
          <w:p>
            <w:pPr>
              <w:pStyle w:val="Compact"/>
              <w:jc w:val="left"/>
            </w:pPr>
            <w:r>
              <w:rPr>
                <w:rStyle w:val="VerbatimChar"/>
              </w:rPr>
              <w:t xml:space="preserve">SOURCES.md</w:t>
            </w:r>
          </w:p>
        </w:tc>
        <w:tc>
          <w:tcPr/>
          <w:p>
            <w:pPr>
              <w:pStyle w:val="Compact"/>
              <w:jc w:val="left"/>
            </w:pPr>
            <w:r>
              <w:t xml:space="preserve">Methodological sources (RoB 2, ROBINS-I, JBI, CASP, MMAT, AMSTAR 2, PRISMA 2020, SWiM)</w:t>
            </w:r>
          </w:p>
        </w:tc>
      </w:tr>
      <w:tr>
        <w:tc>
          <w:tcPr/>
          <w:p>
            <w:pPr>
              <w:pStyle w:val="Compact"/>
              <w:jc w:val="left"/>
            </w:pPr>
            <w:r>
              <w:t xml:space="preserve">S43</w:t>
            </w:r>
          </w:p>
        </w:tc>
        <w:tc>
          <w:tcPr/>
          <w:p>
            <w:pPr>
              <w:pStyle w:val="Compact"/>
              <w:jc w:val="left"/>
            </w:pPr>
            <w:r>
              <w:rPr>
                <w:rStyle w:val="VerbatimChar"/>
              </w:rPr>
              <w:t xml:space="preserve">sources.bib</w:t>
            </w:r>
          </w:p>
        </w:tc>
        <w:tc>
          <w:tcPr/>
          <w:p>
            <w:pPr>
              <w:pStyle w:val="Compact"/>
              <w:jc w:val="left"/>
            </w:pPr>
            <w:r>
              <w:t xml:space="preserve">Bibliography file of the methodological and cited sources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doi.org/10.1016/j.habitatint.2015.01.015" TargetMode="External" /><Relationship Type="http://schemas.openxmlformats.org/officeDocument/2006/relationships/hyperlink" Id="rId51" Target="https://doi.org/10.1016/j.worlddev.2007.09.015" TargetMode="External" /><Relationship Type="http://schemas.openxmlformats.org/officeDocument/2006/relationships/hyperlink" Id="rId55" Target="https://doi.org/10.1051/shsconf/202622701001" TargetMode="External" /><Relationship Type="http://schemas.openxmlformats.org/officeDocument/2006/relationships/hyperlink" Id="rId54" Target="https://doi.org/10.1080/14649357.2012.694265" TargetMode="External" /><Relationship Type="http://schemas.openxmlformats.org/officeDocument/2006/relationships/hyperlink" Id="rId50" Target="https://doi.org/10.1080/16549716.2025.2476335" TargetMode="External" /><Relationship Type="http://schemas.openxmlformats.org/officeDocument/2006/relationships/hyperlink" Id="rId49" Target="https://doi.org/10.1080/17441692.2024.2369099" TargetMode="External" /><Relationship Type="http://schemas.openxmlformats.org/officeDocument/2006/relationships/hyperlink" Id="rId52" Target="https://doi.org/10.1136/bmj.l6890" TargetMode="External" /><Relationship Type="http://schemas.openxmlformats.org/officeDocument/2006/relationships/hyperlink" Id="rId58" Target="https://doi.org/10.1136/bmj.n71" TargetMode="External" /><Relationship Type="http://schemas.openxmlformats.org/officeDocument/2006/relationships/hyperlink" Id="rId56" Target="https://doi.org/10.1136/bmjopen-2021-053320" TargetMode="External" /><Relationship Type="http://schemas.openxmlformats.org/officeDocument/2006/relationships/hyperlink" Id="rId57" Target="https://doi.org/10.2307/3147149"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16/j.habitatint.2015.01.015" TargetMode="External" /><Relationship Type="http://schemas.openxmlformats.org/officeDocument/2006/relationships/hyperlink" Id="rId51" Target="https://doi.org/10.1016/j.worlddev.2007.09.015" TargetMode="External" /><Relationship Type="http://schemas.openxmlformats.org/officeDocument/2006/relationships/hyperlink" Id="rId55" Target="https://doi.org/10.1051/shsconf/202622701001" TargetMode="External" /><Relationship Type="http://schemas.openxmlformats.org/officeDocument/2006/relationships/hyperlink" Id="rId54" Target="https://doi.org/10.1080/14649357.2012.694265" TargetMode="External" /><Relationship Type="http://schemas.openxmlformats.org/officeDocument/2006/relationships/hyperlink" Id="rId50" Target="https://doi.org/10.1080/16549716.2025.2476335" TargetMode="External" /><Relationship Type="http://schemas.openxmlformats.org/officeDocument/2006/relationships/hyperlink" Id="rId49" Target="https://doi.org/10.1080/17441692.2024.2369099" TargetMode="External" /><Relationship Type="http://schemas.openxmlformats.org/officeDocument/2006/relationships/hyperlink" Id="rId52" Target="https://doi.org/10.1136/bmj.l6890" TargetMode="External" /><Relationship Type="http://schemas.openxmlformats.org/officeDocument/2006/relationships/hyperlink" Id="rId58" Target="https://doi.org/10.1136/bmj.n71" TargetMode="External" /><Relationship Type="http://schemas.openxmlformats.org/officeDocument/2006/relationships/hyperlink" Id="rId56" Target="https://doi.org/10.1136/bmjopen-2021-053320" TargetMode="External" /><Relationship Type="http://schemas.openxmlformats.org/officeDocument/2006/relationships/hyperlink" Id="rId57" Target="https://doi.org/10.2307/31471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2026-10-14T16:11:19Z</dcterms:created>
  <dcterms:modified xsi:type="dcterms:W3CDTF">2026-10-14T16:11:19Z</dcterms:modified>
</cp:coreProperties>
</file>

<file path=docProps/custom.xml><?xml version="1.0" encoding="utf-8"?>
<Properties xmlns="http://schemas.openxmlformats.org/officeDocument/2006/custom-properties" xmlns:vt="http://schemas.openxmlformats.org/officeDocument/2006/docPropsVTypes"/>
</file>