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8d035c071bab40273c3d7fc2387178c8305904"/>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2,276 full texts assessed; 1,159 studies were included, extracted into a 1,159-row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1,159 studies (85% since 2010) spanned many countries (India, Brazil, South Africa, the United States and Ghana the most frequent), but only 68 (6%) used designs able to support a causal claim. 62 studies had an extractable effect-size row; none could be pooled. In three SWiM families the direction of association was mostly favourable to recognition/eligibility (Family A, k = 20), uniformly favourable or mixed for administrative assistance (Family B, k = 6), and without a dominant direction for administrative barriers and ownership (Family C, k = 20). Only 200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conduct [author: state OSF identifier if registered retrospectively and label it retrospective].</w:t>
      </w:r>
    </w:p>
    <w:bookmarkEnd w:id="20"/>
    <w:bookmarkStart w:id="22" w:name="Xe3d0fc0bea9a42ce7605565d0964033d7f6ee47"/>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X447abc036ced1129bca8332ce64e6dab1737105"/>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X13a0e8c10c405dd53d0e570bcbfcb0c8de7ee9e"/>
    <w:p>
      <w:pPr>
        <w:pStyle w:val="Heading2"/>
      </w:pPr>
      <w:r>
        <w:t xml:space="preserve">2. Methods</w:t>
      </w:r>
    </w:p>
    <w:bookmarkStart w:id="23" w:name="Xd3da6107e1fe745e00ab113a136a87e2f340275"/>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an OSF Generalized Systematic Review registration was drafted (</w:t>
      </w:r>
      <w:r>
        <w:rPr>
          <w:rStyle w:val="VerbatimChar"/>
        </w:rPr>
        <w:t xml:space="preserve">00_admin/preregistration/</w:t>
      </w:r>
      <w:r>
        <w:t xml:space="preserve">) but not submitted [author: if registered now, declare it retrospective]. The title was amended on 2026-09-28 to state AI assistance; the research question, eligibility criteria and synthesis approach were not changed (</w:t>
      </w:r>
      <w:r>
        <w:rPr>
          <w:rStyle w:val="VerbatimChar"/>
        </w:rPr>
        <w:t xml:space="preserve">PROTOCOL.md</w:t>
      </w:r>
      <w:r>
        <w:t xml:space="preserve"> </w:t>
      </w:r>
      <w:r>
        <w:t xml:space="preserve">§12).</w:t>
      </w:r>
    </w:p>
    <w:bookmarkEnd w:id="23"/>
    <w:bookmarkStart w:id="24" w:name="X8e65a8097d6010840427e36476abe1d26607851"/>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p>
    <w:bookmarkEnd w:id="24"/>
    <w:bookmarkStart w:id="25" w:name="Xc9e1d4abe01cfeb139a773523bde3a3c67a68e5"/>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200 of the 1,159 full-text includes. Full-text retrieval was closed by the researcher's decision with 1,383 title/abstract includes never assessed; the unassessed set is older on average (see 3.1).</w:t>
      </w:r>
    </w:p>
    <w:bookmarkEnd w:id="25"/>
    <w:bookmarkStart w:id="26" w:name="Xe6fcde550539b21dc6f5892e304b31b0839c1d6"/>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62 studies were extracted from abstract or metadata only and an audit found further rows with signs of shallow extraction (Limitations).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Xc3593c5f6690a2c6d63a1627c005b05036497c5"/>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(63), JBI cross-sectional (140), MMAT (205), CASP qualitative (263) and AMSTAR 2 for systematic reviews (23). For 447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13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X9fc8cfaecae3d2d02a3b019aba342b7c70ed078"/>
    <w:p>
      <w:pPr>
        <w:pStyle w:val="Heading3"/>
      </w:pPr>
      <w:r>
        <w:t xml:space="preserve">2.6 Synthesis</w:t>
      </w:r>
    </w:p>
    <w:p>
      <w:pPr>
        <w:pStyle w:val="FirstParagraph"/>
      </w:pPr>
      <w:r>
        <w:t xml:space="preserve">Studies were coded to four mechanism families (eligibility, burden, discretion/accommodation, enforcement) and outcome families (formal connection, effective access, economic access, administrative outcomes) that are not pooled with each other. A feasibility judgment (</w:t>
      </w:r>
      <w:r>
        <w:rPr>
          <w:rStyle w:val="VerbatimChar"/>
        </w:rPr>
        <w:t xml:space="preserve">phase11_quantitative_feasibility_judgment.md</w:t>
      </w:r>
      <w:r>
        <w:t xml:space="preserve">) concluded that no family reaches the bar for meta-analysis, so 62 effect-size rows were compiled into three structured syntheses reporting direction and significance of each study's own estimate (SWiM). No effect was converted to a common scale. Sensitivity analyses removed abstract-only and shallow extractions, the one row for a study not flagged eligible, linked reports and two coding judgment calls.</w:t>
      </w:r>
    </w:p>
    <w:bookmarkEnd w:id="28"/>
    <w:bookmarkStart w:id="29" w:name="X6c06e75b38683b94af586d748d75efc5a8db992"/>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X9aa01c7253cc2ac3617f359aff160a0f98d0c23"/>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X19110ca892acb235d4262f1bca9fad5293600e7"/>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200 of the 1,159 full-text includes; no full-text exclusion, extracted value or risk-of-bias rating has been independently verified against source papers. [Model version and dates of use: add per journal policy.] The stage-by-stage division of labour is tabulated in</w:t>
      </w:r>
      <w:r>
        <w:t xml:space="preserve"> </w:t>
      </w:r>
      <w:r>
        <w:rPr>
          <w:rStyle w:val="VerbatimChar"/>
        </w:rPr>
        <w:t xml:space="preserve">AI_USE_STATEMENT.md</w:t>
      </w:r>
      <w:r>
        <w:t xml:space="preserve">.</w:t>
      </w:r>
    </w:p>
    <w:bookmarkEnd w:id="31"/>
    <w:bookmarkEnd w:id="32"/>
    <w:bookmarkStart w:id="40" w:name="Xc0c84230492598220627d6d71355f36de6acb67"/>
    <w:p>
      <w:pPr>
        <w:pStyle w:val="Heading2"/>
      </w:pPr>
      <w:r>
        <w:t xml:space="preserve">3. Results</w:t>
      </w:r>
    </w:p>
    <w:bookmarkStart w:id="33" w:name="X61513b2143ad34f3e9884952f1f2a4734b63493"/>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2,276 of 3,659 records were assessed and 1,383 were never assessed (1,201 not retrievable, 182 for which the wrong file was obtained). Of the 2,276 assessed, 1,117 were excluded (151 because the full text was inaccessible; reasons for the others are in</w:t>
      </w:r>
      <w:r>
        <w:t xml:space="preserve"> </w:t>
      </w:r>
      <w:r>
        <w:rPr>
          <w:rStyle w:val="VerbatimChar"/>
        </w:rPr>
        <w:t xml:space="preserve">exclusion_log.csv</w:t>
      </w:r>
      <w:r>
        <w:t xml:space="preserve">) and 1,159 were included (1,159 extraction rows, corresponding to 1,157 distinct studies after collapsing definite companion reports).</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496</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34</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77</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135</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26</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48</w:t>
            </w:r>
          </w:p>
        </w:tc>
      </w:tr>
    </w:tbl>
    <w:bookmarkEnd w:id="33"/>
    <w:bookmarkStart w:id="34" w:name="Xfa120f38e95c1a1ab81b7f1031cea98fc0e60b3"/>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Section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34"/>
    <w:bookmarkStart w:id="35" w:name="Xfdf15f29c7f46618bd5173cb3b110c70b0606a7"/>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577</w:t>
            </w:r>
          </w:p>
        </w:tc>
      </w:tr>
      <w:tr>
        <w:tc>
          <w:tcPr/>
          <w:p>
            <w:pPr>
              <w:pStyle w:val="Compact"/>
              <w:jc w:val="left"/>
            </w:pPr>
            <w:r>
              <w:rPr>
                <w:rStyle w:val="VerbatimChar"/>
              </w:rPr>
              <w:t xml:space="preserve">fees</w:t>
            </w:r>
          </w:p>
        </w:tc>
        <w:tc>
          <w:tcPr/>
          <w:p>
            <w:pPr>
              <w:pStyle w:val="Compact"/>
              <w:jc w:val="left"/>
            </w:pPr>
            <w:r>
              <w:t xml:space="preserve">542</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475</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455</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381</w:t>
            </w:r>
          </w:p>
        </w:tc>
      </w:tr>
      <w:tr>
        <w:tc>
          <w:tcPr/>
          <w:p>
            <w:pPr>
              <w:pStyle w:val="Compact"/>
              <w:jc w:val="left"/>
            </w:pPr>
            <w:r>
              <w:rPr>
                <w:rStyle w:val="VerbatimChar"/>
              </w:rPr>
              <w:t xml:space="preserve">participation</w:t>
            </w:r>
          </w:p>
        </w:tc>
        <w:tc>
          <w:tcPr/>
          <w:p>
            <w:pPr>
              <w:pStyle w:val="Compact"/>
              <w:jc w:val="left"/>
            </w:pPr>
            <w:r>
              <w:t xml:space="preserve">440</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301</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250</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69</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(542)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35"/>
    <w:bookmarkStart w:id="36" w:name="Xd640f1d0e7a2cd5105a61ad8d21bbcd5e9ad355"/>
    <w:p>
      <w:pPr>
        <w:pStyle w:val="Heading3"/>
      </w:pPr>
      <w:r>
        <w:t xml:space="preserve">3.4 Risk of bias and confidence in the evidence</w:t>
      </w:r>
    </w:p>
    <w:p>
      <w:pPr>
        <w:pStyle w:val="FirstParagraph"/>
      </w:pPr>
      <w:r>
        <w:t xml:space="preserve">Appraisal ratings are rule-based and, for most studies, depend on what was extracted (Methods 2.5). Of the 140 JBI cross-sectional studies, 59 were rated 'high concern', largely reflecting sparse extraction rather than demonstrated weakness. ROBINS-I ratings: Moderate 54, Serious 9. RoB 2 ratings: Some concerns 5; two of the randomised-trial studies (S294 and S366) report the same trial. A numeric mechanism-certainty code of 3 or 4 (quasi-experimental or experimental) was recorded for 35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the researcher,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2"/>
        </w:numPr>
        <w:pStyle w:val="Compact"/>
      </w:pPr>
      <w:r>
        <w:t xml:space="preserve">Of the 23 that kept AMSTAR 2, each was classed as a secondary systematic review. The recorded fields (publication type, design, method text, sample) support that unevenly: 12 name a registration, PRISMA or JBI method, 18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 "narrative review with systematic search" and S418 as a narrative/scoping review with a documented search (hybrids kept eligible with a noted caveat); S326, first flagged as an "evidence survey",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11 of the 23 received a formal AMSTAR 2 confidence rating</w:t>
      </w:r>
      <w:r>
        <w:t xml:space="preserve"> </w:t>
      </w:r>
      <w:r>
        <w:t xml:space="preserve">(S052 Critically Low, S319 Critically Low, S324 Critically Low, S325 Critically Low, S327 Low, S344 Critically Low, S370 Critically Low, S372 Critically Low, S418 Critically Low, S438 Critically Low, S697 Critically Low; 10 of the 11 are Critically Low; the others are S327 Low, mostly because of missing protocols, single-database searches, no list of excluded studies or no appraisal of the included studies); the other 12 are "Not ratable" because their extraction lacks the information for the critical items.</w:t>
      </w:r>
      <w:r>
        <w:t xml:space="preserve"> </w:t>
      </w:r>
      <w:r>
        <w:rPr>
          <w:bCs/>
          <w:b/>
        </w:rPr>
        <w:t xml:space="preserve">So AMSTAR 2 so far tells the reader little beyond "low confidence"; the 12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bookmarkEnd w:id="36"/>
    <w:bookmarkStart w:id="37" w:name="X4fb9df646c1be740a040261b55664d501fede44"/>
    <w:p>
      <w:pPr>
        <w:pStyle w:val="Heading3"/>
      </w:pPr>
      <w:r>
        <w:t xml:space="preserve">3.5 Quantitative evidence: three structured syntheses</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dbfb34eac2871b1a14a9d1a24ef7e50c68d5481"/>
    <w:p>
      <w:pPr>
        <w:pStyle w:val="Heading3"/>
      </w:pPr>
      <w:r>
        <w:t xml:space="preserve">3.6 Qualitative, doctrinal and mixed-methods evidence</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Xee4e634ae7bbaff6142ba362912b07c49ea9815"/>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4"/>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39"/>
    <w:bookmarkEnd w:id="40"/>
    <w:bookmarkStart w:id="41" w:name="X81a060a18a12739ffcbc529f09a725679a256cf"/>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Xca64085187041cc1526defd50fc01b96fdb635b"/>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1,383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200 full-text includes were human-confirmed, 73 decided rows carry no recorded reviewer, and the title/abstract exclusions were not human-checked.</w:t>
      </w:r>
    </w:p>
    <w:p>
      <w:pPr>
        <w:numPr>
          <w:ilvl w:val="0"/>
          <w:numId w:val="1006"/>
        </w:numPr>
        <w:pStyle w:val="Compact"/>
      </w:pPr>
      <w:r>
        <w:rPr>
          <w:bCs/>
          <w:b/>
        </w:rPr>
        <w:t xml:space="preserve">Thin extraction for some studies.</w:t>
      </w:r>
      <w:r>
        <w:t xml:space="preserve"> </w:t>
      </w:r>
      <w:r>
        <w:t xml:space="preserve">62 studies were extracted from abstract or metadata only; there was no second extractor.</w:t>
      </w:r>
    </w:p>
    <w:p>
      <w:pPr>
        <w:numPr>
          <w:ilvl w:val="0"/>
          <w:numId w:val="1006"/>
        </w:numPr>
        <w:pStyle w:val="Compact"/>
      </w:pPr>
      <w:r>
        <w:rPr>
          <w:bCs/>
          <w:b/>
        </w:rPr>
        <w:t xml:space="preserve">Appraisal validity.</w:t>
      </w:r>
      <w:r>
        <w:t xml:space="preserve"> </w:t>
      </w:r>
      <w:r>
        <w:t xml:space="preserve">Ratings are rule-based; 447 studies were appraised with a non-validated project instrument; 59 of 140 JBI ratings are 'high concern' largely reflecting sparse extraction; only 11 of 23 AMSTAR 2 reviews could be given a confidence rating (10 Critically Low and 1 Low).</w:t>
      </w:r>
    </w:p>
    <w:p>
      <w:pPr>
        <w:numPr>
          <w:ilvl w:val="0"/>
          <w:numId w:val="1006"/>
        </w:numPr>
        <w:pStyle w:val="Compact"/>
      </w:pPr>
      <w:r>
        <w:rPr>
          <w:bCs/>
          <w:b/>
        </w:rPr>
        <w:t xml:space="preserve">No pooled estimate.</w:t>
      </w:r>
      <w:r>
        <w:t xml:space="preserve"> </w:t>
      </w:r>
      <w:r>
        <w:t xml:space="preserve">Direction-of-association syntheses rest on 62 effect-size rows and are neither effect estimates nor certainty-graded (GRADE).</w:t>
      </w:r>
    </w:p>
    <w:p>
      <w:pPr>
        <w:numPr>
          <w:ilvl w:val="0"/>
          <w:numId w:val="1006"/>
        </w:numPr>
        <w:pStyle w:val="Compact"/>
      </w:pPr>
      <w:r>
        <w:rPr>
          <w:bCs/>
          <w:b/>
        </w:rPr>
        <w:t xml:space="preserve">Uncontrolled classifications.</w:t>
      </w:r>
      <w:r>
        <w:t xml:space="preserve"> </w:t>
      </w:r>
      <w:r>
        <w:t xml:space="preserve">Free-text country, legal-system, mechanism and outcome fields; a proposed controlled vocabulary is a mechanical draft.</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b33c1c14fcafee04df965e2fb4427a3bad7c581"/>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X2e8874cd18624ea36ce0ec8afdc16b9d04de606"/>
    <w:p>
      <w:pPr>
        <w:pStyle w:val="Heading3"/>
      </w:pPr>
      <w:r>
        <w:t xml:space="preserve">5.2 Incomplete screening</w:t>
      </w:r>
    </w:p>
    <w:p>
      <w:pPr>
        <w:numPr>
          <w:ilvl w:val="0"/>
          <w:numId w:val="1007"/>
        </w:numPr>
        <w:pStyle w:val="Compact"/>
      </w:pPr>
      <w:r>
        <w:t xml:space="preserve">Full-text retrieval closed at 62.2%: 1,383 of 3,659 records (1,201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1,117 full-text excludes are E10 (inaccessible text), i.e. never judged on content.</w:t>
      </w:r>
    </w:p>
    <w:p>
      <w:pPr>
        <w:numPr>
          <w:ilvl w:val="0"/>
          <w:numId w:val="1007"/>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43"/>
    <w:bookmarkStart w:id="44" w:name="X67a5ecf3db98289f4d6d7e2ac746ecc19603518"/>
    <w:p>
      <w:pPr>
        <w:pStyle w:val="Heading3"/>
      </w:pPr>
      <w:r>
        <w:t xml:space="preserve">5.3 Missing or thin data</w:t>
      </w:r>
    </w:p>
    <w:p>
      <w:pPr>
        <w:numPr>
          <w:ilvl w:val="0"/>
          <w:numId w:val="1008"/>
        </w:numPr>
        <w:pStyle w:val="Compact"/>
      </w:pPr>
      <w:r>
        <w:t xml:space="preserve">62 studies were extracted from abstract or metadata only (5.3%);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128 more rows with at least one sign of shallow extraction — 14 whose own notes say only the abstract or citation was read and 67 whose recorded location cites the abstract alone (a verification queue, not proof) — of which 3 carry effect-size rows. There is no second extractor: extracted values have not been checked against the source papers.</w:t>
      </w:r>
    </w:p>
    <w:p>
      <w:pPr>
        <w:numPr>
          <w:ilvl w:val="0"/>
          <w:numId w:val="1008"/>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62 effect-size rows, 7 give a confidence interval and 25 a standard error; estimates are as the papers report them and none is pooled.</w:t>
      </w:r>
    </w:p>
    <w:bookmarkEnd w:id="44"/>
    <w:bookmarkEnd w:id="45"/>
    <w:bookmarkStart w:id="47" w:name="X6b297cc947e0db5526be369b1f0f4ddc67b2415"/>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(68 of 1,159 studies). Where quantitative estimates exist they are too heterogeneous to pool, and their direction is most consistent for legal recognition and eligibility and for administrative assistance, least consistent for administrative barriers and ownership.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X83f7a660cb907bc51892bf58211085c7aa84e84"/>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X9d32ee00125eba017f6bdce12cd393edadce5ec"/>
    <w:p>
      <w:pPr>
        <w:pStyle w:val="Heading2"/>
      </w:pPr>
      <w:r>
        <w:t xml:space="preserve">7. Declarations</w:t>
      </w:r>
    </w:p>
    <w:p>
      <w:pPr>
        <w:numPr>
          <w:ilvl w:val="0"/>
          <w:numId w:val="1009"/>
        </w:numPr>
        <w:pStyle w:val="Compact"/>
      </w:pPr>
      <w:r>
        <w:rPr>
          <w:bCs/>
          <w:b/>
        </w:rPr>
        <w:t xml:space="preserve">Funding and competing interests:</w:t>
      </w:r>
      <w:r>
        <w:t xml:space="preserve"> </w:t>
      </w:r>
      <w:r>
        <w:t xml:space="preserve">[author to complete — prompts in</w:t>
      </w:r>
      <w:r>
        <w:t xml:space="preserve"> </w:t>
      </w:r>
      <w:r>
        <w:rPr>
          <w:rStyle w:val="VerbatimChar"/>
        </w:rPr>
        <w:t xml:space="preserve">00_admin/disclosures/FUNDING_AND_COMPETING_INTERESTS_TEMPLATE.md</w:t>
      </w:r>
      <w:r>
        <w:t xml:space="preserve">; PRISMA items 25 and 26].</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versions and dates: add per journal policy.]</w:t>
      </w:r>
    </w:p>
    <w:p>
      <w:pPr>
        <w:numPr>
          <w:ilvl w:val="0"/>
          <w:numId w:val="1009"/>
        </w:numPr>
        <w:pStyle w:val="Compact"/>
      </w:pPr>
      <w:r>
        <w:rPr>
          <w:bCs/>
          <w:b/>
        </w:rPr>
        <w:t xml:space="preserve">Author contributions:</w:t>
      </w:r>
      <w:r>
        <w:t xml:space="preserve"> </w:t>
      </w:r>
      <w:r>
        <w:t xml:space="preserve">[author to complete; AI is not an author].</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source PDFs are not redistributed.</w:t>
      </w:r>
    </w:p>
    <w:p>
      <w:pPr>
        <w:numPr>
          <w:ilvl w:val="0"/>
          <w:numId w:val="1009"/>
        </w:numPr>
        <w:pStyle w:val="Compact"/>
      </w:pPr>
      <w:r>
        <w:rPr>
          <w:bCs/>
          <w:b/>
        </w:rPr>
        <w:t xml:space="preserve">Ethics:</w:t>
      </w:r>
      <w:r>
        <w:t xml:space="preserve"> </w:t>
      </w:r>
      <w:r>
        <w:t xml:space="preserve">secondary analysis of published literature; [author to confirm no approval required].</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2026-10-04T02:50:11Z</dcterms:created>
  <dcterms:modified xsi:type="dcterms:W3CDTF">2026-10-04T02:50:11Z</dcterms:modified>
</cp:coreProperties>
</file>

<file path=docProps/custom.xml><?xml version="1.0" encoding="utf-8"?>
<Properties xmlns="http://schemas.openxmlformats.org/officeDocument/2006/custom-properties" xmlns:vt="http://schemas.openxmlformats.org/officeDocument/2006/docPropsVTypes"/>
</file>