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66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123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100 includes (S001–S100)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66 studies were extracted from abstract or metadata only (5.7%);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9 name a registration, PRISMA or JBI method, 9 state a count of included studies, and 6 (S052, S327, S344, S418, S438, S697)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w:t>
      </w:r>
      <w:r>
        <w:t xml:space="preserve"> </w:t>
      </w:r>
      <w:r>
        <w:rPr>
          <w:bCs/>
          <w:b/>
        </w:rPr>
        <w:t xml:space="preserve">4 of them (S319, S324, S325, S344) were extracted from abstract or metadata only, so their eligibility was never confirmed from the full text</w:t>
      </w:r>
      <w:r>
        <w:t xml:space="preserve">;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2 of the 23 received a formal AMSTAR 2 confidence rating</w:t>
      </w:r>
      <w:r>
        <w:t xml:space="preserve"> </w:t>
      </w:r>
      <w:r>
        <w:t xml:space="preserve">(S370, S372: Critically Low, because the review authors state they did no critical appraisal); the other 21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five AMSTAR 2 reviews extracted from abstracts (S319, S324, S325, S344), then the rest of the 66;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2026-09-29T18:20:31Z</dcterms:created>
  <dcterms:modified xsi:type="dcterms:W3CDTF">2026-09-29T18:20:31Z</dcterms:modified>
</cp:coreProperties>
</file>

<file path=docProps/custom.xml><?xml version="1.0" encoding="utf-8"?>
<Properties xmlns="http://schemas.openxmlformats.org/officeDocument/2006/custom-properties" xmlns:vt="http://schemas.openxmlformats.org/officeDocument/2006/docPropsVTypes"/>
</file>