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2,277 full texts assessed; 1,080 studies were included, extracted into a 1,080-row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1,080 included reports (1,078 distinct studies; 85% since 2010) spanned many countries (India, Brazil, South Africa, the United States and Ghana the most frequent), but only 63 (6%) used designs able to support a causal claim. 60 studies had an extractable effect-size row; none could be pooled. In three SWiM families the direction of association was mostly favourable for legal-status, tenure and recognition mechanisms (Family A, k = 18), uniformly favourable or mixed for assistance, participation, trust and external-support mechanisms (Family B, k = 6), and without a dominant direction for ownership, regulation, institutional-capacity and administrative-structure mechanisms (Family C, k = 20); the families are thematic mechanism groupings, not homogeneous exposure–outcome pairs. Only 197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the work was done. The protocol was fixed in writing on 2026-08-22 (git commit</w:t>
      </w:r>
      <w:r>
        <w:t xml:space="preserve"> </w:t>
      </w:r>
      <w:r>
        <w:rPr>
          <w:rStyle w:val="VerbatimChar"/>
        </w:rPr>
        <w:t xml:space="preserve">d591062</w:t>
      </w:r>
      <w:r>
        <w:t xml:space="preserve">), before any database was searched, and was registered retrospectively on OSF, frozen at release</w:t>
      </w:r>
      <w:r>
        <w:t xml:space="preserve"> </w:t>
      </w:r>
      <w:r>
        <w:rPr>
          <w:rStyle w:val="VerbatimChar"/>
        </w:rPr>
        <w:t xml:space="preserve">0.2.0-interim</w:t>
      </w:r>
      <w:r>
        <w:t xml:space="preserve"> </w:t>
      </w:r>
      <w:r>
        <w:t xml:space="preserve">(2026-10-14) [author: add the OSF identifier and submission date once submitted, and label the registration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w:t>
      </w:r>
      <w:r>
        <w:t xml:space="preserve">It was fixed in writing on 2026-08-22 (git commit</w:t>
      </w:r>
      <w:r>
        <w:t xml:space="preserve"> </w:t>
      </w:r>
      <w:r>
        <w:rPr>
          <w:rStyle w:val="VerbatimChar"/>
        </w:rPr>
        <w:t xml:space="preserve">d591062</w:t>
      </w:r>
      <w:r>
        <w:t xml:space="preserve">), before any database was searched, and an OSF Generalized Systematic Review registration is being filed retrospectively, frozen at release</w:t>
      </w:r>
      <w:r>
        <w:t xml:space="preserve"> </w:t>
      </w:r>
      <w:r>
        <w:rPr>
          <w:rStyle w:val="VerbatimChar"/>
        </w:rPr>
        <w:t xml:space="preserve">0.2.0-interim</w:t>
      </w:r>
      <w:r>
        <w:t xml:space="preserve"> </w:t>
      </w:r>
      <w:r>
        <w:t xml:space="preserve">(2026-10-14) and labelled as such (</w:t>
      </w:r>
      <w:r>
        <w:rPr>
          <w:rStyle w:val="VerbatimChar"/>
        </w:rPr>
        <w:t xml:space="preserve">00_admin/preregistration/osf_preregistration_draft.md</w:t>
      </w:r>
      <w:r>
        <w:t xml:space="preserve">) [author: add the registration identifier and date once submitted]. Specified a priori were the research questions, the PECO frame, the eligibility criteria and exclusion codes, the sources and search strings, the selection process, the 92-field codebook, the design-matched risk-of-bias tools, and the synthesis decision tree with its commitment not to claim a pooled finding unless the tree was satisfied. Decided or clarified afterwards, each with its date in</w:t>
      </w:r>
      <w:r>
        <w:t xml:space="preserve"> </w:t>
      </w:r>
      <w:r>
        <w:rPr>
          <w:rStyle w:val="VerbatimChar"/>
        </w:rPr>
        <w:t xml:space="preserve">CHANGELOG.md</w:t>
      </w:r>
      <w:r>
        <w:t xml:space="preserve">: the closure of the search on 2026-09-11 (SSRN and Westlaw/Lexis never searched) and of full-text retrieval on 2026-09-28; rule-based instead of item-by-item appraisal; the narrow reading of eligibility criterion 2 adopted on 2026-10-13 (Section 2.2); the clarification that results never decide eligibility (2026-10-14); the retitling of the synthesis families as thematic groupings (2026-10-14); and the adoption of controlled vocabularies (2026-10-14). The title was amended on 2026-09-28 to state AI assistance; the research question and the wording of the eligibility criteria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r>
        <w:t xml:space="preserve"> </w:t>
      </w:r>
      <w:r>
        <w:rPr>
          <w:bCs/>
          <w:b/>
        </w:rPr>
        <w:t xml:space="preserve">Scope reading of criterion 2 (post-hoc).</w:t>
      </w:r>
      <w:r>
        <w:t xml:space="preserve"> </w:t>
      </w:r>
      <w:r>
        <w:t xml:space="preserve">Criterion 2 is literally broad. After a blind re-read by two other AI models disagreed with about half of a sample of the AI’s full-text exclusions, the researcher ruled on 2026-10-13 that it would be applied as a legal or administrative access rule or mechanism (eligibility screening, administrative burden, documentation or tenure requirements, tariff or cost-recovery rules, discretion or accommodation, enforcement, or utility ownership or regulatory structure directly governing service access) rather than as project delivery, behavioural promotion or unanalysed macro-governance background, and to included and excluded studies alike. Because this was decided after the disagreement was seen, it is a post-hoc interpretive clarification of unchanged wording, not an a priori rule. It was followed on 2026-10-13 and 14 by consistency passes over the included studies (open items A16 and A22 to A25) applying criterion 3 (no primary data and no systematic method, code E05), criterion 4 (the outcome is not a household access outcome, E04) and the exposure test (E03); in these passes 83 included reports were moved to the exclusions and three exclusions to the inclusions. Eligibility never depends on the significance, magnitude or direction of a study’s estimate (clarification of 2026-10-14).</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197 of the 1,080 full-text includes. Full-text retrieval was closed by the researcher’s decision on 2026-09-28 with 1,382 title/abstract includes never assessed; the unassessed set is older on average (see 3.1). The 1,080 included items are reports, describing 1,078 distinct studies on the definite same-data links (1,076 counting the partial overlaps); no companion report was collapsed.</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10 studies were extracted from abstract or metadata only and an audit found further rows with signs of shallow extraction (Limitations). The AI later re-read 127 studies from full texts found in the researcher’s Drive; of the 76 rows flagged only by the sparse-record audit, 9 had an abstract-level extraction that was materially wrong or incomplete (</w:t>
      </w:r>
      <w:r>
        <w:rPr>
          <w:rStyle w:val="VerbatimChar"/>
        </w:rPr>
        <w:t xml:space="preserve">reextract_2026-10-04/CAMPAIGN_NOTES.md</w:t>
      </w:r>
      <w:r>
        <w:t xml:space="preserve">).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(58), JBI cross-sectional (130), MMAT (195), CASP qualitative (248) and AMSTAR 2 for systematic reviews (18). For 426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0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Each study was coded to one of nine mechanism families (eligibility, status and documentation; procedural burden; fees, tariffs and subsidies; discretion and accommodation; enforcement and sanctions; review and redress; institutional structure and coordination; participation and assistance; regulatory model and ownership) or to</w:t>
      </w:r>
      <w:r>
        <w:t xml:space="preserve"> </w:t>
      </w:r>
      <w:r>
        <w:rPr>
          <w:rStyle w:val="VerbatimChar"/>
        </w:rPr>
        <w:t xml:space="preserve">multiple</w:t>
      </w:r>
      <w:r>
        <w:t xml:space="preserve">, and to one of four outcome families (primary connection, effective access, economic access, administrative outcome) or</w:t>
      </w:r>
      <w:r>
        <w:t xml:space="preserve"> </w:t>
      </w:r>
      <w:r>
        <w:rPr>
          <w:rStyle w:val="VerbatimChar"/>
        </w:rPr>
        <w:t xml:space="preserve">multiple</w:t>
      </w:r>
      <w:r>
        <w:t xml:space="preserve">; the families are not pooled with each other. The labels were mapped from the free-text labels of the extraction by keyword rules, with the rows the rules could not place resolved by the AI under the researcher’s review (four studies the mapping could not place were excluded), and the original labels are preserved; the mapping is mechanical and unvalidated, and a human has not checked it. Free-text study-design labels were mapped to the design list (eight values plus</w:t>
      </w:r>
      <w:r>
        <w:t xml:space="preserve"> </w:t>
      </w:r>
      <w:r>
        <w:rPr>
          <w:rStyle w:val="VerbatimChar"/>
        </w:rPr>
        <w:t xml:space="preserve">other</w:t>
      </w:r>
      <w:r>
        <w:t xml:space="preserve">) in the same way. A feasibility judgment (</w:t>
      </w:r>
      <w:r>
        <w:rPr>
          <w:rStyle w:val="VerbatimChar"/>
        </w:rPr>
        <w:t xml:space="preserve">phase11_quantitative_feasibility_judgment.md</w:t>
      </w:r>
      <w:r>
        <w:t xml:space="preserve">) concluded that no family reaches the bar for meta-analysis, so 60 effect-size rows were compiled into three structured syntheses reporting direction and significance of each study’s own estimate (SWiM). The family assignments were made by judgement and organise the write-up only: on a keyword reading of the exposure definitions, 28 of 44 family-assigned rows sit outside the wording of the family they were placed in (</w:t>
      </w:r>
      <w:r>
        <w:rPr>
          <w:rStyle w:val="VerbatimChar"/>
        </w:rPr>
        <w:t xml:space="preserve">05_analysis/effect_sizes/FAMILY_FIT_AUDIT_2026-10-04.md</w:t>
      </w:r>
      <w:r>
        <w:t xml:space="preserve">), so the families are loose groupings, not tests of the specified constructs. Families A, B and C are therefore reported as thematic mechanism groupings used to organise structured vote counting (SWiM), not as homogeneous exposure–outcome pairs, and their headings describe the clusters actually synthesised (legal status, tenure, recognition and governance arrangements; assistance, participation, trust and external support; ownership, regulation, institutional capacity and administrative structure), which is also why pooling was rejected. No effect was converted to a common scale. Sensitivity analyses removed abstract-only and shallow extractions, the one row for a study not flagged eligible, linked reports and two coding judgment calls; they are reported as a supplementary table (</w:t>
      </w:r>
      <w:r>
        <w:rPr>
          <w:rStyle w:val="VerbatimChar"/>
        </w:rPr>
        <w:t xml:space="preserve">05_analysis/sensitivity/SENSITIVITY_ANALYSIS_2026-09-28.md</w:t>
      </w:r>
      <w:r>
        <w:t xml:space="preserve">), a standing pre-publication requirement, and the direction coding itself still awaits human verification on a sample.</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197 of the 1,080 full-text includes; no extracted value or risk-of-bias rating has been independently verified against source papers, and the researcher adjudicated about 175 further full-text decisions (open items A16 and A22 to A25) but the remaining AI full-text decisions have not been checked by a human.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2,277 of 3,659 records were assessed and 1,382 were never assessed (1,200 not retrievable, 182 for which the wrong file was obtained). Of the 2,277 assessed, 1,197 were excluded (151 because the full text was inaccessible; reasons for the others are in</w:t>
      </w:r>
      <w:r>
        <w:t xml:space="preserve"> </w:t>
      </w:r>
      <w:r>
        <w:rPr>
          <w:rStyle w:val="VerbatimChar"/>
        </w:rPr>
        <w:t xml:space="preserve">exclusion_log.csv</w:t>
      </w:r>
      <w:r>
        <w:t xml:space="preserve">) and 1,080 were included (1,080 extraction rows, one per included report). The 1,080 reports describe 1,078 distinct studies on the two definite same-data links (S294/S366, S097/S098) and 1,076 counting the two partial-overlap links (S681/S682, S357/S369). No pair was collapsed, because companion reports carry distinct outcome-specific extractions and risk-of-bias ratings; the five RoB 2 report rows are four distinct cluster-randomised trials, and S526/S539 are flagged for verification of sample overlap before any future pooling.</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490</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88</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86</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157</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29</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46</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1,080 studies; 913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the free-text design labels of 334 studies were mapped onto the design list (the eight documented values plus</w:t>
      </w:r>
      <w:r>
        <w:t xml:space="preserve"> </w:t>
      </w:r>
      <w:r>
        <w:rPr>
          <w:rStyle w:val="VerbatimChar"/>
        </w:rPr>
        <w:t xml:space="preserve">other</w:t>
      </w:r>
      <w:r>
        <w:t xml:space="preserve">, added for decision-analysis and theoretical models) on 2026-10-14 under open item A20, with the original strings kept in</w:t>
      </w:r>
      <w:r>
        <w:t xml:space="preserve"> </w:t>
      </w:r>
      <w:r>
        <w:rPr>
          <w:rStyle w:val="VerbatimChar"/>
        </w:rPr>
        <w:t xml:space="preserve">evidence_map_original_labels_2026-10-14.csv</w:t>
      </w:r>
      <w:r>
        <w:t xml:space="preserve">, so</w:t>
      </w:r>
      <w:r>
        <w:t xml:space="preserve"> </w:t>
      </w:r>
      <w:r>
        <w:rPr>
          <w:rStyle w:val="VerbatimChar"/>
        </w:rPr>
        <w:t xml:space="preserve">qualitative</w:t>
      </w:r>
      <w:r>
        <w:t xml:space="preserve"> </w:t>
      </w:r>
      <w:r>
        <w:t xml:space="preserve">lumps ethnographic, historical, institutional and documentary case studies; no study keeps a free-text label): qualitative 529, mixed-methods 229, observational 143, quasi-experimental 62, doctrinal 54, jurimetric 36, secondary systematic reviews 20, experimental 5, other 2. By appraisal tool: RoB 2 5, ROBINS-I 58, JBI Cross-Sectional 130, MMAT 195, CASP Qualitative 248, AMSTAR 2 18, Legal Framework 426.</w:t>
      </w:r>
    </w:p>
    <w:p>
      <w:pPr>
        <w:numPr>
          <w:ilvl w:val="0"/>
          <w:numId w:val="1001"/>
        </w:numPr>
        <w:pStyle w:val="Compact"/>
      </w:pPr>
      <w:r>
        <w:rPr>
          <w:bCs/>
          <w:b/>
        </w:rPr>
        <w:t xml:space="preserve">Designs able to support a causal claim about a legal/administrative mechanism:</w:t>
      </w:r>
      <w:r>
        <w:t xml:space="preserve"> </w:t>
      </w:r>
      <w:r>
        <w:t xml:space="preserve">63 (6%) — 58 quasi-experimental studies and 5 randomised trials (which are 4 distinct trials, see Section 3.4). 32 studies carry a numeric mechanism-certainty of 3 or 4 (the codebook’s quasi-experimental or experimental evidence),</w:t>
      </w:r>
      <w:r>
        <w:t xml:space="preserve"> </w:t>
      </w:r>
      <w:r>
        <w:rPr>
          <w:bCs/>
          <w:b/>
        </w:rPr>
        <w:t xml:space="preserve">but only 10 of them are among the 63 ROBINS-I/RoB 2 studies; the other 22 are other designs, a coding inconsistency the audit flags</w:t>
      </w:r>
      <w:r>
        <w:t xml:space="preserve"> </w:t>
      </w:r>
      <w:r>
        <w:t xml:space="preserve">(</w:t>
      </w:r>
      <w:r>
        <w:rPr>
          <w:rStyle w:val="VerbatimChar"/>
        </w:rPr>
        <w:t xml:space="preserve">DATA_QUALITY_AUDIT_2026-09-29.md</w:t>
      </w:r>
      <w:r>
        <w:t xml:space="preserve"> </w:t>
      </w:r>
      <w:r>
        <w:t xml:space="preserve">§5); 209 sit at level 1 (documented association) and 268 at level 2; 567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112 studies name several countries or a region and are not counted below): India 122, Brazil 80, South Africa 77, United States 64, Ghana 51, Kenya 47, Mexico 36, Indonesia 30, Bangladesh 24, Nigeria 24. The dissertation’s comparison countries are unevenly covered:</w:t>
      </w:r>
      <w:r>
        <w:t xml:space="preserve"> </w:t>
      </w:r>
      <w:r>
        <w:rPr>
          <w:bCs/>
          <w:b/>
        </w:rPr>
        <w:t xml:space="preserve">Brazil 80, Canada 15 (17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11, civil law 378, common law 511, mixed / both / customary 177, other 3.</w:t>
      </w:r>
    </w:p>
    <w:p>
      <w:pPr>
        <w:numPr>
          <w:ilvl w:val="0"/>
          <w:numId w:val="1001"/>
        </w:numPr>
        <w:pStyle w:val="Compact"/>
      </w:pPr>
      <w:r>
        <w:rPr>
          <w:bCs/>
          <w:b/>
        </w:rPr>
        <w:t xml:space="preserve">Setting and language:</w:t>
      </w:r>
      <w:r>
        <w:t xml:space="preserve"> </w:t>
      </w:r>
      <w:r>
        <w:t xml:space="preserve">urban (incl. informal settlements) 512, rural 274, mixed/both 242, peri-urban 27, blank/other 25; English 999 of 1,080 studies, Spanish 30, Portuguese 21,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623</w:t>
            </w:r>
          </w:p>
        </w:tc>
        <w:tc>
          <w:tcPr/>
          <w:p>
            <w:pPr>
              <w:pStyle w:val="Compact"/>
            </w:pPr>
          </w:p>
        </w:tc>
        <w:tc>
          <w:tcPr/>
          <w:p>
            <w:pPr>
              <w:pStyle w:val="Compact"/>
              <w:jc w:val="left"/>
            </w:pPr>
            <w:r>
              <w:rPr>
                <w:rStyle w:val="VerbatimChar"/>
              </w:rPr>
              <w:t xml:space="preserve">water_access</w:t>
            </w:r>
          </w:p>
        </w:tc>
        <w:tc>
          <w:tcPr/>
          <w:p>
            <w:pPr>
              <w:pStyle w:val="Compact"/>
              <w:jc w:val="left"/>
            </w:pPr>
            <w:r>
              <w:t xml:space="preserve">950</w:t>
            </w:r>
          </w:p>
        </w:tc>
      </w:tr>
      <w:tr>
        <w:tc>
          <w:tcPr/>
          <w:p>
            <w:pPr>
              <w:pStyle w:val="Compact"/>
              <w:jc w:val="left"/>
            </w:pPr>
            <w:r>
              <w:rPr>
                <w:rStyle w:val="VerbatimChar"/>
              </w:rPr>
              <w:t xml:space="preserve">discretion_accommodation</w:t>
            </w:r>
          </w:p>
        </w:tc>
        <w:tc>
          <w:tcPr/>
          <w:p>
            <w:pPr>
              <w:pStyle w:val="Compact"/>
              <w:jc w:val="left"/>
            </w:pPr>
            <w:r>
              <w:t xml:space="preserve">583</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561</w:t>
            </w:r>
          </w:p>
        </w:tc>
      </w:tr>
      <w:tr>
        <w:tc>
          <w:tcPr/>
          <w:p>
            <w:pPr>
              <w:pStyle w:val="Compact"/>
              <w:jc w:val="left"/>
            </w:pPr>
            <w:r>
              <w:rPr>
                <w:rStyle w:val="VerbatimChar"/>
              </w:rPr>
              <w:t xml:space="preserve">fees</w:t>
            </w:r>
          </w:p>
        </w:tc>
        <w:tc>
          <w:tcPr/>
          <w:p>
            <w:pPr>
              <w:pStyle w:val="Compact"/>
              <w:jc w:val="left"/>
            </w:pPr>
            <w:r>
              <w:t xml:space="preserve">535</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535</w:t>
            </w:r>
          </w:p>
        </w:tc>
      </w:tr>
      <w:tr>
        <w:tc>
          <w:tcPr/>
          <w:p>
            <w:pPr>
              <w:pStyle w:val="Compact"/>
              <w:jc w:val="left"/>
            </w:pPr>
            <w:r>
              <w:rPr>
                <w:rStyle w:val="VerbatimChar"/>
              </w:rPr>
              <w:t xml:space="preserve">service_area</w:t>
            </w:r>
          </w:p>
        </w:tc>
        <w:tc>
          <w:tcPr/>
          <w:p>
            <w:pPr>
              <w:pStyle w:val="Compact"/>
              <w:jc w:val="left"/>
            </w:pPr>
            <w:r>
              <w:t xml:space="preserve">477</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490</w:t>
            </w:r>
          </w:p>
        </w:tc>
      </w:tr>
      <w:tr>
        <w:tc>
          <w:tcPr/>
          <w:p>
            <w:pPr>
              <w:pStyle w:val="Compact"/>
              <w:jc w:val="left"/>
            </w:pPr>
            <w:r>
              <w:rPr>
                <w:rStyle w:val="VerbatimChar"/>
              </w:rPr>
              <w:t xml:space="preserve">political_coordination</w:t>
            </w:r>
          </w:p>
        </w:tc>
        <w:tc>
          <w:tcPr/>
          <w:p>
            <w:pPr>
              <w:pStyle w:val="Compact"/>
              <w:jc w:val="left"/>
            </w:pPr>
            <w:r>
              <w:t xml:space="preserve">461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419</w:t>
            </w:r>
          </w:p>
        </w:tc>
      </w:tr>
      <w:tr>
        <w:tc>
          <w:tcPr/>
          <w:p>
            <w:pPr>
              <w:pStyle w:val="Compact"/>
              <w:jc w:val="left"/>
            </w:pPr>
            <w:r>
              <w:rPr>
                <w:rStyle w:val="VerbatimChar"/>
              </w:rPr>
              <w:t xml:space="preserve">enforcement</w:t>
            </w:r>
          </w:p>
        </w:tc>
        <w:tc>
          <w:tcPr/>
          <w:p>
            <w:pPr>
              <w:pStyle w:val="Compact"/>
              <w:jc w:val="left"/>
            </w:pPr>
            <w:r>
              <w:t xml:space="preserve">455</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367</w:t>
            </w:r>
          </w:p>
        </w:tc>
      </w:tr>
      <w:tr>
        <w:tc>
          <w:tcPr/>
          <w:p>
            <w:pPr>
              <w:pStyle w:val="Compact"/>
              <w:jc w:val="left"/>
            </w:pPr>
            <w:r>
              <w:rPr>
                <w:rStyle w:val="VerbatimChar"/>
              </w:rPr>
              <w:t xml:space="preserve">participation</w:t>
            </w:r>
          </w:p>
        </w:tc>
        <w:tc>
          <w:tcPr/>
          <w:p>
            <w:pPr>
              <w:pStyle w:val="Compact"/>
              <w:jc w:val="left"/>
            </w:pPr>
            <w:r>
              <w:t xml:space="preserve">417</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291</w:t>
            </w:r>
          </w:p>
        </w:tc>
      </w:tr>
      <w:tr>
        <w:tc>
          <w:tcPr/>
          <w:p>
            <w:pPr>
              <w:pStyle w:val="Compact"/>
              <w:jc w:val="left"/>
            </w:pPr>
            <w:r>
              <w:rPr>
                <w:rStyle w:val="VerbatimChar"/>
              </w:rPr>
              <w:t xml:space="preserve">eligibility</w:t>
            </w:r>
          </w:p>
        </w:tc>
        <w:tc>
          <w:tcPr/>
          <w:p>
            <w:pPr>
              <w:pStyle w:val="Compact"/>
              <w:jc w:val="left"/>
            </w:pPr>
            <w:r>
              <w:t xml:space="preserve">413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243</w:t>
            </w:r>
          </w:p>
        </w:tc>
      </w:tr>
      <w:tr>
        <w:tc>
          <w:tcPr/>
          <w:p>
            <w:pPr>
              <w:pStyle w:val="Compact"/>
              <w:jc w:val="left"/>
            </w:pPr>
            <w:r>
              <w:rPr>
                <w:rStyle w:val="VerbatimChar"/>
              </w:rPr>
              <w:t xml:space="preserve">burden</w:t>
            </w:r>
          </w:p>
        </w:tc>
        <w:tc>
          <w:tcPr/>
          <w:p>
            <w:pPr>
              <w:pStyle w:val="Compact"/>
              <w:jc w:val="left"/>
            </w:pPr>
            <w:r>
              <w:t xml:space="preserve">411</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205</w:t>
            </w:r>
          </w:p>
        </w:tc>
      </w:tr>
      <w:tr>
        <w:tc>
          <w:tcPr/>
          <w:p>
            <w:pPr>
              <w:pStyle w:val="Compact"/>
              <w:jc w:val="left"/>
            </w:pPr>
            <w:r>
              <w:rPr>
                <w:rStyle w:val="VerbatimChar"/>
              </w:rPr>
              <w:t xml:space="preserve">documentation</w:t>
            </w:r>
          </w:p>
        </w:tc>
        <w:tc>
          <w:tcPr/>
          <w:p>
            <w:pPr>
              <w:pStyle w:val="Compact"/>
              <w:jc w:val="left"/>
            </w:pPr>
            <w:r>
              <w:t xml:space="preserve">260</w:t>
            </w:r>
          </w:p>
        </w:tc>
        <w:tc>
          <w:tcPr/>
          <w:p>
            <w:pPr>
              <w:pStyle w:val="Compact"/>
            </w:pPr>
          </w:p>
        </w:tc>
        <w:tc>
          <w:tcPr/>
          <w:p>
            <w:pPr>
              <w:pStyle w:val="Compact"/>
              <w:jc w:val="left"/>
            </w:pPr>
            <w:r>
              <w:rPr>
                <w:rStyle w:val="VerbatimChar"/>
              </w:rPr>
              <w:t xml:space="preserve">refusal</w:t>
            </w:r>
          </w:p>
        </w:tc>
        <w:tc>
          <w:tcPr/>
          <w:p>
            <w:pPr>
              <w:pStyle w:val="Compact"/>
              <w:jc w:val="left"/>
            </w:pPr>
            <w:r>
              <w:t xml:space="preserve">104</w:t>
            </w:r>
          </w:p>
        </w:tc>
      </w:tr>
      <w:tr>
        <w:tc>
          <w:tcPr/>
          <w:p>
            <w:pPr>
              <w:pStyle w:val="Compact"/>
              <w:jc w:val="left"/>
            </w:pPr>
            <w:r>
              <w:rPr>
                <w:rStyle w:val="VerbatimChar"/>
              </w:rPr>
              <w:t xml:space="preserve">bureaucratic_assistance</w:t>
            </w:r>
          </w:p>
        </w:tc>
        <w:tc>
          <w:tcPr/>
          <w:p>
            <w:pPr>
              <w:pStyle w:val="Compact"/>
              <w:jc w:val="left"/>
            </w:pPr>
            <w:r>
              <w:t xml:space="preserve">194</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69</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73</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22</w:t>
            </w:r>
          </w:p>
        </w:tc>
        <w:tc>
          <w:tcPr/>
          <w:p>
            <w:pPr>
              <w:pStyle w:val="Compact"/>
            </w:pPr>
          </w:p>
        </w:tc>
        <w:tc>
          <w:tcPr/>
          <w:p>
            <w:pPr>
              <w:pStyle w:val="Compact"/>
            </w:pPr>
          </w:p>
        </w:tc>
        <w:tc>
          <w:tcPr/>
          <w:p>
            <w:pPr>
              <w:pStyle w:val="Compact"/>
            </w:pPr>
          </w:p>
        </w:tc>
      </w:tr>
    </w:tbl>
    <w:p>
      <w:pPr>
        <w:pStyle w:val="BodyText"/>
      </w:pPr>
      <w:r>
        <w:t xml:space="preserve">Institutional fragmentation (623), official discretion/accommodation (583) and fees/tariffs (535) are the most frequently coded mechanisms; formal-connection (561) and affordability (490) outcomes are well represented, while sanitation access (419) is coded about half as often as water access (950). Mechanisms concerning redress and review — administrative review (69), judicial review (64), complaint (124), reconnection (22) — and application outcomes (refusal 104, delay 95, success 73)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130 JBI cross-sectional studies, 51 were rated</w:t>
      </w:r>
      <w:r>
        <w:t xml:space="preserve"> </w:t>
      </w:r>
      <w:r>
        <w:t xml:space="preserve">‘</w:t>
      </w:r>
      <w:r>
        <w:t xml:space="preserve">high concern</w:t>
      </w:r>
      <w:r>
        <w:t xml:space="preserve">’</w:t>
      </w:r>
      <w:r>
        <w:t xml:space="preserve">, largely reflecting sparse extraction rather than demonstrated weakness. ROBINS-I ratings: Moderate 49, Serious 9. RoB 2 ratings: Some concerns 5; two of the randomised-trial studies (S294 and S366) report the same trial. A numeric mechanism-certainty code of 3 or 4 (quasi-experimental or experimental) was recorded for 32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18 studies carry AMSTAR 2. Eleven further studies had a secondary-review design class but were reclassified to</w:t>
      </w:r>
      <w:r>
        <w:t xml:space="preserve"> </w:t>
      </w:r>
      <w:r>
        <w:rPr>
          <w:rStyle w:val="VerbatimChar"/>
        </w:rPr>
        <w:t xml:space="preserve">NONE</w:t>
      </w:r>
      <w:r>
        <w:t xml:space="preserve"> </w:t>
      </w:r>
      <w:r>
        <w:t xml:space="preserve">in 2026-09-28/29 after an eligibility check found them to be self-described narrative, conceptual or documentary reviews that never claim a systematic search (</w:t>
      </w:r>
      <w:r>
        <w:rPr>
          <w:rStyle w:val="VerbatimChar"/>
        </w:rPr>
        <w:t xml:space="preserve">RISK_OF_BIAS.md</w:t>
      </w:r>
      <w:r>
        <w:t xml:space="preserve"> </w:t>
      </w:r>
      <w:r>
        <w:t xml:space="preserve">§4). On 2026-10-14 the PI ruled on all of them (open item A25): ten were excluded (E05, no systematic method or primary data, or E03, outside the narrow scope) and one, S480, stayed included under the Legal Institutional Evidence Appraisal Framework. No included study is now tagged</w:t>
      </w:r>
      <w:r>
        <w:t xml:space="preserve"> </w:t>
      </w:r>
      <w:r>
        <w:rPr>
          <w:rStyle w:val="VerbatimChar"/>
        </w:rPr>
        <w:t xml:space="preserve">NONE</w:t>
      </w:r>
      <w:r>
        <w:t xml:space="preserve">, so the gap of a validated instrument for a non-systematic review no longer affects an included study, though it would again if such reviews were admitted.</w:t>
      </w:r>
    </w:p>
    <w:p>
      <w:pPr>
        <w:numPr>
          <w:ilvl w:val="0"/>
          <w:numId w:val="1002"/>
        </w:numPr>
        <w:pStyle w:val="Compact"/>
      </w:pPr>
      <w:r>
        <w:t xml:space="preserve">Of the 18 that kept AMSTAR 2, each was classed as a secondary systematic review. The recorded fields (publication type, design, method text, sample) support that unevenly: 12 name a registration, PRISMA or JBI method, 14 state a count of included studies, and 1 (S521) show at most one weak signal (the word</w:t>
      </w:r>
      <w:r>
        <w:t xml:space="preserve"> </w:t>
      </w:r>
      <w:r>
        <w:t xml:space="preserve">“</w:t>
      </w:r>
      <w:r>
        <w:t xml:space="preserve">systematic</w:t>
      </w:r>
      <w:r>
        <w:t xml:space="preserve">”</w:t>
      </w:r>
      <w:r>
        <w:t xml:space="preserve"> </w:t>
      </w:r>
      <w:r>
        <w:t xml:space="preserve">or a review type)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18 of the 18 received a formal AMSTAR 2 confidence rating</w:t>
      </w:r>
      <w:r>
        <w:t xml:space="preserve"> </w:t>
      </w:r>
      <w:r>
        <w:t xml:space="preserve">(S015 Critically Low, S019 Critically Low, S027 Critically Low, S052 Critically Low, S116 Critically Low, S319 Critically Low, S325 Critically Low, S344 Critically Low, S350 Critically Low, S370 Critically Low, S372 Critically Low, S418 Critically Low, S427 Critically Low, S438 Critically Low, S475 Critically Low, S521 Critically Low, S537 Low, S1168 Critically Low; 17 of the 18 are Critically Low; the others are S537 Low, mostly because of missing protocols, single-database searches, no list of excluded studies or no appraisal of the included studies); the other 0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0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18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11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60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status, tenure, recognition and governance arrangements</w:t>
            </w:r>
          </w:p>
        </w:tc>
        <w:tc>
          <w:tcPr/>
          <w:p>
            <w:pPr>
              <w:pStyle w:val="Compact"/>
              <w:jc w:val="left"/>
            </w:pPr>
            <w:r>
              <w:t xml:space="preserve">18</w:t>
            </w:r>
          </w:p>
        </w:tc>
        <w:tc>
          <w:tcPr/>
          <w:p>
            <w:pPr>
              <w:pStyle w:val="Compact"/>
              <w:jc w:val="left"/>
            </w:pPr>
            <w:r>
              <w:t xml:space="preserve">11 / 5 / 2 / 0</w:t>
            </w:r>
          </w:p>
        </w:tc>
        <w:tc>
          <w:tcPr/>
          <w:p>
            <w:pPr>
              <w:pStyle w:val="Compact"/>
              <w:jc w:val="left"/>
            </w:pPr>
            <w:r>
              <w:rPr>
                <w:rStyle w:val="VerbatimChar"/>
              </w:rPr>
              <w:t xml:space="preserve">family_A_swim_synthesis_2026-09-28.md</w:t>
            </w:r>
          </w:p>
        </w:tc>
      </w:tr>
      <w:tr>
        <w:tc>
          <w:tcPr/>
          <w:p>
            <w:pPr>
              <w:pStyle w:val="Compact"/>
              <w:jc w:val="left"/>
            </w:pPr>
            <w:r>
              <w:t xml:space="preserve">B — assistance, participation, trust and external support</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ownership, regulation, institutional capacity and administrative structure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t xml:space="preserve">The families are thematic mechanism groupings used to organise structured vote counting (SWiM), not homogeneous exposure–outcome pairs: their headings describe the mechanism clusters actually synthesised and are not the protocol’s original titles (</w:t>
      </w:r>
      <w:r>
        <w:rPr>
          <w:rStyle w:val="VerbatimChar"/>
        </w:rPr>
        <w:t xml:space="preserve">PROJECT_SPEC.md</w:t>
      </w:r>
      <w:r>
        <w:t xml:space="preserve"> </w:t>
      </w:r>
      <w:r>
        <w:t xml:space="preserve">§8, dated note; open item A21).</w:t>
      </w:r>
    </w:p>
    <w:p>
      <w:pPr>
        <w:pStyle w:val="BodyText"/>
      </w:pPr>
      <w:r>
        <w:rPr>
          <w:bCs/>
          <w:b/>
        </w:rPr>
        <w:t xml:space="preserve">Where studies agree.</w:t>
      </w:r>
      <w:r>
        <w:t xml:space="preserve"> </w:t>
      </w:r>
      <w:r>
        <w:t xml:space="preserve">In Family A, 13 of 18 (72.2%)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(10 positive-sign studies plus 3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effect-size rows of studies not flagged eligible (none remains since S589’s row was removed on 2026-10-14; the scenario is kept as a check), collapsing linked reports, and dropping Family A’s two coding judgment calls — the pre-stated conclusion tests for A, B and C hold; Family A’s concordant share ranges 68.8–72.2%.</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(848 studies by design class, plus 0 with unmapped free-text design labels) is qualitative, mixed-methods or documentary rather than quantitative. Using the mechanism vocabulary adopted on 2026-10-14 (</w:t>
      </w:r>
      <w:r>
        <w:rPr>
          <w:rStyle w:val="VerbatimChar"/>
        </w:rPr>
        <w:t xml:space="preserve">FAMILY_VOCABULARY_PROPOSAL_2026-09-28.md</w:t>
      </w:r>
      <w:r>
        <w:t xml:space="preserve">, mechanical and unvalidated), studies whose label maps to a single mechanism family are: eligibility status documentation 154, discretion accommodation 118, institutional structure coordination 115, enforcement sanctions 78, fees tariffs subsidies 49, regulatory model ownership 28, participation assistance 22, procedural burden 15, review redress 4; 497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(original) mechanism label beside the adopted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(original) → adopted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Each case illustrates one literacy level in tribal water-quality contexts: Apsaalooke (functional EHL: accessible information and skills), Anishinaabe (interactive EHL), Hoopa Valley (critical EHL; the tribal o…</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(80); 555 (51%) of studies sit in the ten commonest single countries.</w:t>
      </w:r>
    </w:p>
    <w:p>
      <w:pPr>
        <w:numPr>
          <w:ilvl w:val="0"/>
          <w:numId w:val="1004"/>
        </w:numPr>
        <w:pStyle w:val="Compact"/>
      </w:pPr>
      <w:r>
        <w:rPr>
          <w:bCs/>
          <w:b/>
        </w:rPr>
        <w:t xml:space="preserve">Design:</w:t>
      </w:r>
      <w:r>
        <w:t xml:space="preserve"> </w:t>
      </w:r>
      <w:r>
        <w:t xml:space="preserve">5 randomised trials (4 distinct) and 58 quasi-experimental studies against 426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1,382 title/abstract includes were never assessed. Their median publication year is 2014 versus 2018 for assessed records; 8.9% were published before 2000 versus 3.0%, and 30.8%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63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1,382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13 of 18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1,382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197 full-text includes were human-confirmed, 73 decided rows had no reviewer recorded at the time (the label was inferred afterwards), and the title/abstract exclusions were not human-checked. A blind re-read by two non-Claude models (Codex, Gemini) of 70 of the AI’s full-text excludes (a stratified sample, limited to records whose PDF was available) judged 34 of them to be includes; this is an AI-versus-AI check, it was not human-adjudicated, and, scaled by exclusion code, the rate would imply roughly 532 further includes if the models were right, and an AI triage of the same records puts about 37 under a narrow reading of the criteria (arithmetic only), so the exclusion log may understate the eligible literature substantially; in the other direction, the models would exclude 3 of 40 sampled unconfirmed includes, roughly 66 of the unconfirmed includes if the rate held (open item A16;</w:t>
      </w:r>
      <w:r>
        <w:t xml:space="preserve"> </w:t>
      </w:r>
      <w:r>
        <w:rPr>
          <w:rStyle w:val="VerbatimChar"/>
        </w:rPr>
        <w:t xml:space="preserve">02_screening/full_text/A16_ADJUDICATION_SHEET_2026-10-04.md</w:t>
      </w:r>
      <w:r>
        <w:t xml:space="preserve">).</w:t>
      </w:r>
    </w:p>
    <w:p>
      <w:pPr>
        <w:numPr>
          <w:ilvl w:val="0"/>
          <w:numId w:val="1006"/>
        </w:numPr>
        <w:pStyle w:val="Compact"/>
      </w:pPr>
      <w:r>
        <w:rPr>
          <w:bCs/>
          <w:b/>
        </w:rPr>
        <w:t xml:space="preserve">Thin extraction for some studies.</w:t>
      </w:r>
      <w:r>
        <w:t xml:space="preserve"> </w:t>
      </w:r>
      <w:r>
        <w:t xml:space="preserve">10 studies were extracted from abstract or metadata only; there was no second extractor. The AI re-read 127 studies from full texts after the first extraction (an AI check of AI work, not independent verification); in 9 of the 76 sparse-audit rows among them the abstract-level extraction was materially wrong or incomplete (</w:t>
      </w:r>
      <w:r>
        <w:rPr>
          <w:rStyle w:val="VerbatimChar"/>
        </w:rPr>
        <w:t xml:space="preserve">CAMPAIGN_NOTES.md</w:t>
      </w:r>
      <w:r>
        <w:t xml:space="preserve">).</w:t>
      </w:r>
    </w:p>
    <w:p>
      <w:pPr>
        <w:numPr>
          <w:ilvl w:val="0"/>
          <w:numId w:val="1006"/>
        </w:numPr>
        <w:pStyle w:val="Compact"/>
      </w:pPr>
      <w:r>
        <w:rPr>
          <w:bCs/>
          <w:b/>
        </w:rPr>
        <w:t xml:space="preserve">Appraisal validity.</w:t>
      </w:r>
      <w:r>
        <w:t xml:space="preserve"> </w:t>
      </w:r>
      <w:r>
        <w:t xml:space="preserve">Ratings are rule-based; 426 studies were appraised with a non-validated project instrument; 51 of 130 JBI ratings are</w:t>
      </w:r>
      <w:r>
        <w:t xml:space="preserve"> </w:t>
      </w:r>
      <w:r>
        <w:t xml:space="preserve">‘</w:t>
      </w:r>
      <w:r>
        <w:t xml:space="preserve">high concern</w:t>
      </w:r>
      <w:r>
        <w:t xml:space="preserve">’</w:t>
      </w:r>
      <w:r>
        <w:t xml:space="preserve"> </w:t>
      </w:r>
      <w:r>
        <w:t xml:space="preserve">largely reflecting sparse extraction; only 18 of 18 AMSTAR 2 reviews could be given a confidence rating (17 Critically Low and 1 Low).</w:t>
      </w:r>
    </w:p>
    <w:p>
      <w:pPr>
        <w:numPr>
          <w:ilvl w:val="0"/>
          <w:numId w:val="1006"/>
        </w:numPr>
        <w:pStyle w:val="Compact"/>
      </w:pPr>
      <w:r>
        <w:rPr>
          <w:bCs/>
          <w:b/>
        </w:rPr>
        <w:t xml:space="preserve">No pooled estimate.</w:t>
      </w:r>
      <w:r>
        <w:t xml:space="preserve"> </w:t>
      </w:r>
      <w:r>
        <w:t xml:space="preserve">Direction-of-association syntheses rest on 60 effect-size rows and are neither effect estimates nor certainty-graded (GRADE).</w:t>
      </w:r>
    </w:p>
    <w:p>
      <w:pPr>
        <w:numPr>
          <w:ilvl w:val="0"/>
          <w:numId w:val="1006"/>
        </w:numPr>
        <w:pStyle w:val="Compact"/>
      </w:pPr>
      <w:r>
        <w:rPr>
          <w:bCs/>
          <w:b/>
        </w:rPr>
        <w:t xml:space="preserve">Classifications.</w:t>
      </w:r>
      <w:r>
        <w:t xml:space="preserve"> </w:t>
      </w:r>
      <w:r>
        <w:t xml:space="preserve">Mechanism, outcome and study-design labels were mapped to controlled vocabularies by keyword rules on 2026-10-14 (original labels preserved); the mapping is mechanical and unvalidated, and country and legal-system fields remain free text.</w:t>
      </w:r>
    </w:p>
    <w:p>
      <w:pPr>
        <w:numPr>
          <w:ilvl w:val="0"/>
          <w:numId w:val="1006"/>
        </w:numPr>
        <w:pStyle w:val="Compact"/>
      </w:pPr>
      <w:r>
        <w:rPr>
          <w:bCs/>
          <w:b/>
        </w:rPr>
        <w:t xml:space="preserve">A post-hoc scope reading.</w:t>
      </w:r>
      <w:r>
        <w:t xml:space="preserve"> </w:t>
      </w:r>
      <w:r>
        <w:t xml:space="preserve">Eligibility criterion 2 was applied under a narrow, rule-type reading adopted on 2026-10-13, after an AI-versus-AI disagreement about the exclusions had been seen, and followed by consistency passes (open items A16 and A22 to A25) that moved 83 included reports to the exclusions and three exclusions to the inclusions. It is a post-hoc clarification, not an a priori rule; the wording of the criterion is unchanged, and a different reading would change the included set (</w:t>
      </w:r>
      <w:r>
        <w:rPr>
          <w:rStyle w:val="VerbatimChar"/>
        </w:rPr>
        <w:t xml:space="preserve">INCLUSION_EXCLUSION.md</w:t>
      </w:r>
      <w:r>
        <w:t xml:space="preserve">,</w:t>
      </w:r>
      <w:r>
        <w:t xml:space="preserve"> </w:t>
      </w:r>
      <w:r>
        <w:rPr>
          <w:rStyle w:val="VerbatimChar"/>
        </w:rPr>
        <w:t xml:space="preserve">CHANGELOG.md</w:t>
      </w:r>
      <w:r>
        <w:t xml:space="preserve">).</w:t>
      </w:r>
    </w:p>
    <w:p>
      <w:pPr>
        <w:numPr>
          <w:ilvl w:val="0"/>
          <w:numId w:val="1006"/>
        </w:numPr>
        <w:pStyle w:val="Compact"/>
      </w:pPr>
      <w:r>
        <w:rPr>
          <w:bCs/>
          <w:b/>
        </w:rPr>
        <w:t xml:space="preserve">Counts are of reports.</w:t>
      </w:r>
      <w:r>
        <w:t xml:space="preserve"> </w:t>
      </w:r>
      <w:r>
        <w:t xml:space="preserve">The 1,080 included items are reports: they describe 1,078 distinct studies on the definite same-data links (1,076 counting the partial overlaps), the five RoB 2 report rows are four trials, and S526 and S539 (two US utility studies) are flagged for verification of sample overlap before any pooling.</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1,382 of 3,659 records (1,200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1,197 full-text excludes are E10 (inaccessible text), i.e. never judged on content.</w:t>
      </w:r>
    </w:p>
    <w:p>
      <w:pPr>
        <w:numPr>
          <w:ilvl w:val="0"/>
          <w:numId w:val="1007"/>
        </w:numPr>
        <w:pStyle w:val="Compact"/>
      </w:pPr>
      <w:r>
        <w:t xml:space="preserve">Every full-text decision is the AI’s; a human confirmed 197 includes (S001–S200) and no excludes; 73 decided rows had no reviewer label recorded at the time (an AI label was inferred for them on 2026-10-14 from the exclusion log and extraction records, open item A2). A prioritised queue for human review exists (</w:t>
      </w:r>
      <w:r>
        <w:rPr>
          <w:rStyle w:val="VerbatimChar"/>
        </w:rPr>
        <w:t xml:space="preserve">02_screening/full_text/REVIEWER_2_PRIORITY_QUEUE_README.md</w:t>
      </w:r>
      <w:r>
        <w:t xml:space="preserve">).</w:t>
      </w:r>
    </w:p>
    <w:p>
      <w:pPr>
        <w:numPr>
          <w:ilvl w:val="0"/>
          <w:numId w:val="1007"/>
        </w:numPr>
        <w:pStyle w:val="Compact"/>
      </w:pPr>
      <w:r>
        <w:rPr>
          <w:bCs/>
          <w:b/>
        </w:rPr>
        <w:t xml:space="preserve">An AI-versus-AI check found many contested excludes.</w:t>
      </w:r>
      <w:r>
        <w:t xml:space="preserve"> </w:t>
      </w:r>
      <w:r>
        <w:t xml:space="preserve">Two non-Claude models (Codex, Gemini), blind to the original decision, re-read 121 full-text decisions whose PDF was available; of the 70 the AI had excluded, 34 were judged includes (concentrated in E01 wrong topic and E06 engineering only). This was not human-adjudicated, the models may read the criteria too loosely, and nothing was changed; scaled by exclusion code the rate would imply roughly 532 further includes if the models were right, and about 37 even under a narrow reading of criterion 2 by an AI triage of the same records (arithmetic only, against 1,080 current includes); if even a fraction are eligible, the exclusion log and every count built on it are understated. In the other direction the models would exclude 3 of 40 sampled includes beyond S001–S200, roughly 66 (range 23–175) of the unconfirmed includes if the rate held — a precision question that the human second-screening of includes would settle. The researcher’s reading list is</w:t>
      </w:r>
      <w:r>
        <w:t xml:space="preserve"> </w:t>
      </w:r>
      <w:r>
        <w:rPr>
          <w:rStyle w:val="VerbatimChar"/>
        </w:rPr>
        <w:t xml:space="preserve">02_screening/full_text/A16_ADJUDICATION_SHEET_2026-10-04.md</w:t>
      </w:r>
      <w:r>
        <w:t xml:space="preserve"> </w:t>
      </w:r>
      <w:r>
        <w:t xml:space="preserve">(open item A16).</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10 studies were extracted from abstract or metadata only (0.9%);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53 more rows with at least one sign of shallow extraction — 0 whose own notes say only the abstract or citation was read and 15 whose recorded location cites the abstract alone (a verification queue, not proof) — of which 1 carry effect-size rows. There is no second extractor: extracted values have not been checked against the source papers.</w:t>
      </w:r>
    </w:p>
    <w:p>
      <w:pPr>
        <w:numPr>
          <w:ilvl w:val="0"/>
          <w:numId w:val="1008"/>
        </w:numPr>
        <w:pStyle w:val="Compact"/>
      </w:pPr>
      <w:r>
        <w:t xml:space="preserve">51 of 130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60 effect-size rows, 9 give a confidence interval and 26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(63 of 1,080 studies). Where quantitative estimates exist they are too heterogeneous to pool, and their direction is most consistent for legal-status, tenure and recognition mechanisms and for assistance and participation mechanisms, least consistent for ownership, regulation and administrative-structure mechanisms.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Author and affiliation:</w:t>
      </w:r>
      <w:r>
        <w:t xml:space="preserve"> </w:t>
      </w:r>
      <w:r>
        <w:t xml:space="preserve">Claudio Klaus, External Doctoral Candidate, Erasmus School of Law, Erasmus University Rotterdam, Rotterdam, The Netherlands. This is the companion systematic review to the PhD dissertation</w:t>
      </w:r>
      <w:r>
        <w:t xml:space="preserve"> </w:t>
      </w:r>
      <w:r>
        <w:rPr>
          <w:iCs/>
          <w:i/>
        </w:rPr>
        <w:t xml:space="preserve">The Legal Last Mile: Administrative Law as a Mechanism of Connectivity and Exclusion in Sanitation Governance: A Comparative Study of the Netherlands, Canada (Ontario), and Brazil</w:t>
      </w:r>
      <w:r>
        <w:t xml:space="preserve">.</w:t>
      </w:r>
    </w:p>
    <w:p>
      <w:pPr>
        <w:numPr>
          <w:ilvl w:val="0"/>
          <w:numId w:val="1009"/>
        </w:numPr>
        <w:pStyle w:val="Compact"/>
      </w:pPr>
      <w:r>
        <w:rPr>
          <w:bCs/>
          <w:b/>
        </w:rPr>
        <w:t xml:space="preserve">Funding (PRISMA item 25):</w:t>
      </w:r>
      <w:r>
        <w:t xml:space="preserve"> </w:t>
      </w:r>
      <w:r>
        <w:t xml:space="preserve">This research received no specific grant from any funding agency in the public, commercial, or not-for-profit sectors. Database access was provided through institutional subscriptions at Erasmus University Rotterdam. API and subscription costs for Anthropic Claude and OpenAI Codex were paid personally by the author, and Google Gemini runs (</w:t>
      </w:r>
      <w:r>
        <w:rPr>
          <w:rStyle w:val="VerbatimChar"/>
        </w:rPr>
        <w:t xml:space="preserve">gemini-3.1-flash-lite</w:t>
      </w:r>
      <w:r>
        <w:t xml:space="preserve">) used the author’s free-tier API key; no external, institutional, or vendor funding was received.</w:t>
      </w:r>
    </w:p>
    <w:p>
      <w:pPr>
        <w:numPr>
          <w:ilvl w:val="0"/>
          <w:numId w:val="1009"/>
        </w:numPr>
        <w:pStyle w:val="Compact"/>
      </w:pPr>
      <w:r>
        <w:rPr>
          <w:bCs/>
          <w:b/>
        </w:rPr>
        <w:t xml:space="preserve">Competing interests (PRISMA item 26):</w:t>
      </w:r>
      <w:r>
        <w:t xml:space="preserve"> </w:t>
      </w:r>
      <w:r>
        <w:t xml:space="preserve">The author declares no competing financial or non-financial interests. The author has no employment, consulting, equity or other financial or non-financial relationship with Anthropic, OpenAI, Google or any other AI vendor whose models were used in this project.</w:t>
      </w:r>
    </w:p>
    <w:p>
      <w:pPr>
        <w:numPr>
          <w:ilvl w:val="0"/>
          <w:numId w:val="1009"/>
        </w:numPr>
        <w:pStyle w:val="Compact"/>
      </w:pPr>
      <w:r>
        <w:rPr>
          <w:bCs/>
          <w:b/>
        </w:rPr>
        <w:t xml:space="preserve">Registration (PRISMA item 24):</w:t>
      </w:r>
      <w:r>
        <w:t xml:space="preserve"> </w:t>
      </w:r>
      <w:r>
        <w:t xml:space="preserve">retrospective, frozen at release</w:t>
      </w:r>
      <w:r>
        <w:t xml:space="preserve"> </w:t>
      </w:r>
      <w:r>
        <w:rPr>
          <w:rStyle w:val="VerbatimChar"/>
        </w:rPr>
        <w:t xml:space="preserve">0.2.0-interim</w:t>
      </w:r>
      <w:r>
        <w:t xml:space="preserve"> </w:t>
      </w:r>
      <w:r>
        <w:t xml:space="preserve">(2026-10-14); see Section 2.1 [author: add the identifier once submitted].</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and tool provenance, as logged in the repository: Claude (Anthropic) made the title/abstract first-pass decisions (labels</w:t>
      </w:r>
      <w:r>
        <w:t xml:space="preserve"> </w:t>
      </w:r>
      <w:r>
        <w:rPr>
          <w:rStyle w:val="VerbatimChar"/>
        </w:rPr>
        <w:t xml:space="preserve">Claude-AI-1stpass-2026-09-10</w:t>
      </w:r>
      <w:r>
        <w:t xml:space="preserve"> </w:t>
      </w:r>
      <w:r>
        <w:t xml:space="preserve">and</w:t>
      </w:r>
      <w:r>
        <w:t xml:space="preserve"> </w:t>
      </w:r>
      <w:r>
        <w:rPr>
          <w:rStyle w:val="VerbatimChar"/>
        </w:rPr>
        <w:t xml:space="preserve">-2026-09-11</w:t>
      </w:r>
      <w:r>
        <w:t xml:space="preserve">), the full-text decisions (labels</w:t>
      </w:r>
      <w:r>
        <w:t xml:space="preserve"> </w:t>
      </w:r>
      <w:r>
        <w:rPr>
          <w:rStyle w:val="VerbatimChar"/>
        </w:rPr>
        <w:t xml:space="preserve">Claude-AI-fulltext-2026-09-12</w:t>
      </w:r>
      <w:r>
        <w:t xml:space="preserve"> </w:t>
      </w:r>
      <w:r>
        <w:t xml:space="preserve">to</w:t>
      </w:r>
      <w:r>
        <w:t xml:space="preserve"> </w:t>
      </w:r>
      <w:r>
        <w:rPr>
          <w:rStyle w:val="VerbatimChar"/>
        </w:rPr>
        <w:t xml:space="preserve">Claude-AI-fulltext-2026-10-14</w:t>
      </w:r>
      <w:r>
        <w:t xml:space="preserve">, plus 60 early rows labelled</w:t>
      </w:r>
      <w:r>
        <w:t xml:space="preserve"> </w:t>
      </w:r>
      <w:r>
        <w:rPr>
          <w:rStyle w:val="VerbatimChar"/>
        </w:rPr>
        <w:t xml:space="preserve">claude_sonnet_5</w:t>
      </w:r>
      <w:r>
        <w:t xml:space="preserve"> </w:t>
      </w:r>
      <w:r>
        <w:t xml:space="preserve">and 519 legacy rows labelled</w:t>
      </w:r>
      <w:r>
        <w:t xml:space="preserve"> </w:t>
      </w:r>
      <w:r>
        <w:rPr>
          <w:rStyle w:val="VerbatimChar"/>
        </w:rPr>
        <w:t xml:space="preserve">Claude</w:t>
      </w:r>
      <w:r>
        <w:t xml:space="preserve"> </w:t>
      </w:r>
      <w:r>
        <w:t xml:space="preserve">or</w:t>
      </w:r>
      <w:r>
        <w:t xml:space="preserve"> </w:t>
      </w:r>
      <w:r>
        <w:rPr>
          <w:rStyle w:val="VerbatimChar"/>
        </w:rPr>
        <w:t xml:space="preserve">claude</w:t>
      </w:r>
      <w:r>
        <w:t xml:space="preserve">) and the extraction and appraisal records (labels dated 2026-09-12 to 2026-10-14). The repository records a Claude model version only as the label</w:t>
      </w:r>
      <w:r>
        <w:t xml:space="preserve"> </w:t>
      </w:r>
      <w:r>
        <w:rPr>
          <w:rStyle w:val="VerbatimChar"/>
        </w:rPr>
        <w:t xml:space="preserve">claude_sonnet_5</w:t>
      </w:r>
      <w:r>
        <w:t xml:space="preserve"> </w:t>
      </w:r>
      <w:r>
        <w:t xml:space="preserve">on those 60 rows and as</w:t>
      </w:r>
      <w:r>
        <w:t xml:space="preserve"> </w:t>
      </w:r>
      <w:r>
        <w:t xml:space="preserve">“</w:t>
      </w:r>
      <w:r>
        <w:t xml:space="preserve">Claude Sonnet 5</w:t>
      </w:r>
      <w:r>
        <w:t xml:space="preserve">”</w:t>
      </w:r>
      <w:r>
        <w:t xml:space="preserve"> </w:t>
      </w:r>
      <w:r>
        <w:t xml:space="preserve">in the second-reviewer tools disclosure for 2026-10-03 and 2026-10-04; for the other decisions only the stage and the date are logged, so the exact Claude model version behind them is not recorded. The blind second reviewers (full-text re-screening, 2026-10-03 to 2026-10-04) were OpenAI Codex CLI 0.160.0 with model</w:t>
      </w:r>
      <w:r>
        <w:t xml:space="preserve"> </w:t>
      </w:r>
      <w:r>
        <w:rPr>
          <w:rStyle w:val="VerbatimChar"/>
        </w:rPr>
        <w:t xml:space="preserve">gpt-5.6-sol</w:t>
      </w:r>
      <w:r>
        <w:t xml:space="preserve"> </w:t>
      </w:r>
      <w:r>
        <w:t xml:space="preserve">(reasoning effort high) and Google Gemini CLI with model</w:t>
      </w:r>
      <w:r>
        <w:t xml:space="preserve"> </w:t>
      </w:r>
      <w:r>
        <w:rPr>
          <w:rStyle w:val="VerbatimChar"/>
        </w:rPr>
        <w:t xml:space="preserve">gemini-3.1-flash-lite</w:t>
      </w:r>
      <w:r>
        <w:t xml:space="preserve"> </w:t>
      </w:r>
      <w:r>
        <w:t xml:space="preserve">(</w:t>
      </w:r>
      <w:r>
        <w:rPr>
          <w:rStyle w:val="VerbatimChar"/>
        </w:rPr>
        <w:t xml:space="preserve">gemini-2.5-flash</w:t>
      </w:r>
      <w:r>
        <w:t xml:space="preserve"> </w:t>
      </w:r>
      <w:r>
        <w:t xml:space="preserve">was tried first and dropped when its daily quota ran out); their labels are in</w:t>
      </w:r>
      <w:r>
        <w:t xml:space="preserve"> </w:t>
      </w:r>
      <w:r>
        <w:rPr>
          <w:rStyle w:val="VerbatimChar"/>
        </w:rPr>
        <w:t xml:space="preserve">reviewer_2</w:t>
      </w:r>
      <w:r>
        <w:t xml:space="preserve"> </w:t>
      </w:r>
      <w:r>
        <w:t xml:space="preserve">of the full-text database and the tools are described in</w:t>
      </w:r>
      <w:r>
        <w:t xml:space="preserve"> </w:t>
      </w:r>
      <w:r>
        <w:rPr>
          <w:rStyle w:val="VerbatimChar"/>
        </w:rPr>
        <w:t xml:space="preserve">_reviewer2_codex/AI_USE_AND_TOOLS_DISCLOSURE.md</w:t>
      </w:r>
      <w:r>
        <w:t xml:space="preserve">.</w:t>
      </w:r>
    </w:p>
    <w:p>
      <w:pPr>
        <w:numPr>
          <w:ilvl w:val="0"/>
          <w:numId w:val="1009"/>
        </w:numPr>
        <w:pStyle w:val="Compact"/>
      </w:pPr>
      <w:r>
        <w:rPr>
          <w:bCs/>
          <w:b/>
        </w:rPr>
        <w:t xml:space="preserve">Author contributions (CRediT):</w:t>
      </w:r>
      <w:r>
        <w:t xml:space="preserve"> </w:t>
      </w:r>
      <w:r>
        <w:t xml:space="preserve">Claudio Klaus: Conceptualization, Data curation, Formal analysis, Funding acquisition (self-funded), Investigation, Methodology, Project administration, Resources, Software, Supervision, Validation, Visualization, Writing – original draft (direction and revision of AI-assisted synthesis; see AI_USE_STATEMENT.md), Writing – review &amp; editing. The AI tools used (Anthropic Claude, OpenAI Codex, Google Gemini) are not authors; the AI-assisted stages are described in</w:t>
      </w:r>
      <w:r>
        <w:t xml:space="preserve"> </w:t>
      </w:r>
      <w:r>
        <w:rPr>
          <w:rStyle w:val="VerbatimChar"/>
        </w:rPr>
        <w:t xml:space="preserve">AI_USE_STATEMENT.md</w:t>
      </w:r>
      <w:r>
        <w:t xml:space="preserve">.</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release</w:t>
      </w:r>
      <w:r>
        <w:t xml:space="preserve"> </w:t>
      </w:r>
      <w:r>
        <w:rPr>
          <w:rStyle w:val="VerbatimChar"/>
        </w:rPr>
        <w:t xml:space="preserve">0.2.0-interim</w:t>
      </w:r>
      <w:r>
        <w:t xml:space="preserve"> </w:t>
      </w:r>
      <w:r>
        <w:t xml:space="preserve">(tag</w:t>
      </w:r>
      <w:r>
        <w:t xml:space="preserve"> </w:t>
      </w:r>
      <w:r>
        <w:rPr>
          <w:rStyle w:val="VerbatimChar"/>
        </w:rPr>
        <w:t xml:space="preserve">v0.2.0-interim</w:t>
      </w:r>
      <w:r>
        <w:t xml:space="preserve">); source PDFs are not redistributed.</w:t>
      </w:r>
    </w:p>
    <w:p>
      <w:pPr>
        <w:numPr>
          <w:ilvl w:val="0"/>
          <w:numId w:val="1009"/>
        </w:numPr>
        <w:pStyle w:val="Compact"/>
      </w:pPr>
      <w:r>
        <w:rPr>
          <w:bCs/>
          <w:b/>
        </w:rPr>
        <w:t xml:space="preserve">Ethics:</w:t>
      </w:r>
      <w:r>
        <w:t xml:space="preserve"> </w:t>
      </w:r>
      <w:r>
        <w:t xml:space="preserve">Ethics approval was not required for this study as it is a systematic review of published and grey literature involving no primary data collection from human participants.</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2026-10-14T04:05:55Z</dcterms:created>
  <dcterms:modified xsi:type="dcterms:W3CDTF">2026-10-14T04:05:55Z</dcterms:modified>
</cp:coreProperties>
</file>

<file path=docProps/custom.xml><?xml version="1.0" encoding="utf-8"?>
<Properties xmlns="http://schemas.openxmlformats.org/officeDocument/2006/custom-properties" xmlns:vt="http://schemas.openxmlformats.org/officeDocument/2006/docPropsVTypes"/>
</file>