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36"/>
          <w:szCs w:val="36"/>
        </w:rPr>
        <w:t xml:space="preserve">Global Water Law Judicial Decisions Dataset</w:t>
      </w:r>
    </w:p>
    <w:p>
      <w:pPr>
        <w:spacing w:after="80" w:before="0"/>
        <w:jc w:val="center"/>
      </w:pPr>
      <w:r>
        <w:rPr>
          <w:rFonts w:ascii="Arial" w:cs="Arial" w:eastAsia="Arial" w:hAnsi="Arial"/>
          <w:b/>
          <w:bCs/>
          <w:color w:val="2E75B6"/>
          <w:sz w:val="28"/>
          <w:szCs w:val="28"/>
        </w:rPr>
        <w:t xml:space="preserve">Validation Report — Version 0.3.0</w:t>
      </w:r>
    </w:p>
    <w:p>
      <w:pPr>
        <w:spacing w:after="40" w:before="0"/>
        <w:jc w:val="center"/>
      </w:pPr>
      <w:r>
        <w:rPr>
          <w:rFonts w:ascii="Arial" w:cs="Arial" w:eastAsia="Arial" w:hAnsi="Arial"/>
          <w:i/>
          <w:iCs/>
          <w:color w:val="595959"/>
          <w:sz w:val="22"/>
          <w:szCs w:val="22"/>
        </w:rPr>
        <w:t xml:space="preserve">Inter-Coder Reliability | Residual Audit | Precision/Recall | Thesis Robustness</w:t>
      </w:r>
    </w:p>
    <w:p>
      <w:pPr>
        <w:spacing w:after="40" w:before="0"/>
        <w:jc w:val="center"/>
      </w:pPr>
      <w:r>
        <w:rPr>
          <w:rFonts w:ascii="Arial" w:cs="Arial" w:eastAsia="Arial" w:hAnsi="Arial"/>
          <w:color w:val="595959"/>
          <w:sz w:val="20"/>
          <w:szCs w:val="20"/>
        </w:rPr>
        <w:t xml:space="preserve">Claudio Klaus Junior  ·  May 2026</w:t>
      </w:r>
    </w:p>
    <w:p>
      <w:pPr>
        <w:spacing w:after="240" w:before="0"/>
        <w:jc w:val="center"/>
      </w:pPr>
      <w:r>
        <w:rPr>
          <w:rFonts w:ascii="Arial" w:cs="Arial" w:eastAsia="Arial" w:hAnsi="Arial"/>
          <w:i/>
          <w:iCs/>
          <w:color w:val="595959"/>
          <w:sz w:val="20"/>
          <w:szCs w:val="20"/>
        </w:rPr>
        <w:t xml:space="preserve">Prepared for supervisor review — The Legal Last Mile (doctoral dissertation)</w:t>
      </w:r>
    </w:p>
    <w:p>
      <w:pPr>
        <w:pStyle w:val="Heading1"/>
        <w:spacing w:after="120" w:before="300"/>
      </w:pPr>
      <w:r>
        <w:rPr>
          <w:rFonts w:ascii="Arial" w:cs="Arial" w:eastAsia="Arial" w:hAnsi="Arial"/>
          <w:b/>
          <w:bCs/>
          <w:color w:val="1F4E79"/>
        </w:rPr>
        <w:t xml:space="preserve">1.  Executive Summary</w:t>
      </w:r>
    </w:p>
    <w:p>
      <w:pPr>
        <w:spacing w:after="80" w:before="80"/>
      </w:pPr>
      <w:r>
        <w:rPr>
          <w:rFonts w:ascii="Arial" w:cs="Arial" w:eastAsia="Arial" w:hAnsi="Arial"/>
          <w:sz w:val="20"/>
          <w:szCs w:val="20"/>
        </w:rPr>
        <w:t xml:space="preserve">This report addresses the four methodological critiques raised in supervisor review and documents the execution of the two outstanding publishability requirements. All figures are drawn from the v0.3.0 dataset deposited on Harvard Dataverse (doi:10.7910/DVN/C9PEFS) and Zenodo (doi:10.5281/zenodo.19836413).</w:t>
      </w:r>
    </w:p>
    <w:p>
      <w:pPr>
        <w:spacing w:after="80" w:before="80"/>
      </w:pPr>
      <w:r>
        <w:rPr>
          <w:rFonts w:ascii="Arial" w:cs="Arial" w:eastAsia="Arial" w:hAnsi="Arial"/>
          <w:b/>
          <w:bCs/>
          <w:sz w:val="20"/>
          <w:szCs w:val="20"/>
        </w:rPr>
        <w:t xml:space="preserve">Four supervisor critiques — all addressed:</w:t>
      </w:r>
    </w:p>
    <w:p>
      <w:pPr>
        <w:pStyle w:val="ListParagraph"/>
        <w:numPr>
          <w:ilvl w:val="0"/>
          <w:numId w:val="2"/>
        </w:numPr>
        <w:spacing w:after="40" w:before="40"/>
        <w:ind w:left="720" w:hanging="360"/>
      </w:pPr>
      <w:r>
        <w:rPr>
          <w:rFonts w:ascii="Arial" w:cs="Arial" w:eastAsia="Arial" w:hAnsi="Arial"/>
          <w:sz w:val="20"/>
          <w:szCs w:val="20"/>
        </w:rPr>
        <w:t xml:space="preserve">Reconciliation gap (~17,000 NL cases): fully accounted for in §3 (pre-existing immigration filter 15,589 + vocab-check movements 51,076 = 67,665 NWR ✓)</w:t>
      </w:r>
    </w:p>
    <w:p>
      <w:pPr>
        <w:pStyle w:val="ListParagraph"/>
        <w:numPr>
          <w:ilvl w:val="0"/>
          <w:numId w:val="2"/>
        </w:numPr>
        <w:spacing w:after="40" w:before="40"/>
        <w:ind w:left="720" w:hanging="360"/>
      </w:pPr>
      <w:r>
        <w:rPr>
          <w:rFonts w:ascii="Arial" w:cs="Arial" w:eastAsia="Arial" w:hAnsi="Arial"/>
          <w:sz w:val="20"/>
          <w:szCs w:val="20"/>
        </w:rPr>
        <w:t xml:space="preserve">NWR not a clean dustbin: quantified — 263 confirmed NL NWR decisions contain substantive water vocabulary; population-weighted precision = 99.79%</w:t>
      </w:r>
    </w:p>
    <w:p>
      <w:pPr>
        <w:pStyle w:val="ListParagraph"/>
        <w:numPr>
          <w:ilvl w:val="0"/>
          <w:numId w:val="2"/>
        </w:numPr>
        <w:spacing w:after="40" w:before="40"/>
        <w:ind w:left="720" w:hanging="360"/>
      </w:pPr>
      <w:r>
        <w:rPr>
          <w:rFonts w:ascii="Arial" w:cs="Arial" w:eastAsia="Arial" w:hAnsi="Arial"/>
          <w:sz w:val="20"/>
          <w:szCs w:val="20"/>
        </w:rPr>
        <w:t xml:space="preserve">Aansluitplicht confound: 14 hits in NWR, all electricity/heat network (Elektriciteitswet Art. 23, Warmtewet), zero water/sanitation — an affirmative finding, not a classification failure</w:t>
      </w:r>
    </w:p>
    <w:p>
      <w:pPr>
        <w:pStyle w:val="ListParagraph"/>
        <w:numPr>
          <w:ilvl w:val="0"/>
          <w:numId w:val="2"/>
        </w:numPr>
        <w:spacing w:after="40" w:before="40"/>
        <w:ind w:left="720" w:hanging="360"/>
      </w:pPr>
      <w:r>
        <w:rPr>
          <w:rFonts w:ascii="Arial" w:cs="Arial" w:eastAsia="Arial" w:hAnsi="Arial"/>
          <w:sz w:val="20"/>
          <w:szCs w:val="20"/>
        </w:rPr>
        <w:t xml:space="preserve">Publishability roadmap: gold-standard sample executed (207 NWR decisions, hand-coded), kappa infrastructure executed (91 decisions), methods note drafted</w:t>
      </w:r>
    </w:p>
    <w:p>
      <w:pPr>
        <w:spacing w:after="0" w:before="0"/>
      </w:pPr>
    </w:p>
    <w:p>
      <w:pPr>
        <w:spacing w:after="80" w:before="80"/>
      </w:pPr>
      <w:r>
        <w:rPr>
          <w:rFonts w:ascii="Arial" w:cs="Arial" w:eastAsia="Arial" w:hAnsi="Arial"/>
          <w:b/>
          <w:bCs/>
          <w:sz w:val="20"/>
          <w:szCs w:val="20"/>
        </w:rPr>
        <w:t xml:space="preserve">Key results:</w:t>
      </w:r>
    </w:p>
    <w:p>
      <w:pPr>
        <w:pStyle w:val="ListParagraph"/>
        <w:numPr>
          <w:ilvl w:val="0"/>
          <w:numId w:val="2"/>
        </w:numPr>
        <w:spacing w:after="40" w:before="40"/>
        <w:ind w:left="720" w:hanging="360"/>
      </w:pPr>
      <w:r>
        <w:rPr>
          <w:rFonts w:ascii="Arial" w:cs="Arial" w:eastAsia="Arial" w:hAnsi="Arial"/>
          <w:sz w:val="20"/>
          <w:szCs w:val="20"/>
        </w:rPr>
        <w:t xml:space="preserve">Population-weighted NWR filter precision: 99.79% (~141 false positives in 67,703 NWR)</w:t>
      </w:r>
    </w:p>
    <w:p>
      <w:pPr>
        <w:pStyle w:val="ListParagraph"/>
        <w:numPr>
          <w:ilvl w:val="0"/>
          <w:numId w:val="2"/>
        </w:numPr>
        <w:spacing w:after="40" w:before="40"/>
        <w:ind w:left="720" w:hanging="360"/>
      </w:pPr>
      <w:r>
        <w:rPr>
          <w:rFonts w:ascii="Arial" w:cs="Arial" w:eastAsia="Arial" w:hAnsi="Arial"/>
          <w:sz w:val="20"/>
          <w:szCs w:val="20"/>
        </w:rPr>
        <w:t xml:space="preserve">Cohen's kappa: κ = 0.734 (95% CI [0.622, 0.835], n = 91); zero disagreements on thesis-critical labels (connection_refusal, informal_settlement)</w:t>
      </w:r>
    </w:p>
    <w:p>
      <w:pPr>
        <w:pStyle w:val="ListParagraph"/>
        <w:numPr>
          <w:ilvl w:val="0"/>
          <w:numId w:val="2"/>
        </w:numPr>
        <w:spacing w:after="40" w:before="40"/>
        <w:ind w:left="720" w:hanging="360"/>
      </w:pPr>
      <w:r>
        <w:rPr>
          <w:rFonts w:ascii="Arial" w:cs="Arial" w:eastAsia="Arial" w:hAnsi="Arial"/>
          <w:sz w:val="20"/>
          <w:szCs w:val="20"/>
        </w:rPr>
        <w:t xml:space="preserve">Brazil informal settlement: 88 decisions, 0 user wins, 0 HR language — the starkest quantitative expression of the Administrative Ghost thesis</w:t>
      </w:r>
    </w:p>
    <w:p>
      <w:pPr>
        <w:pStyle w:val="ListParagraph"/>
        <w:numPr>
          <w:ilvl w:val="0"/>
          <w:numId w:val="2"/>
        </w:numPr>
        <w:spacing w:after="40" w:before="40"/>
        <w:ind w:left="720" w:hanging="360"/>
      </w:pPr>
      <w:r>
        <w:rPr>
          <w:rFonts w:ascii="Arial" w:cs="Arial" w:eastAsia="Arial" w:hAnsi="Arial"/>
          <w:sz w:val="20"/>
          <w:szCs w:val="20"/>
        </w:rPr>
        <w:t xml:space="preserve">Netherlands: 8 connection-refusal decisions of 68,654 total (0.012%); all 14 aansluitplicht NWR hits are electricity/heat, zero water</w:t>
      </w:r>
    </w:p>
    <w:p>
      <w:pPr>
        <w:spacing w:after="0" w:before="0"/>
      </w:pPr>
    </w:p>
    <w:p>
      <w:pPr>
        <w:pStyle w:val="Heading1"/>
        <w:spacing w:after="120" w:before="300"/>
      </w:pPr>
      <w:r>
        <w:rPr>
          <w:rFonts w:ascii="Arial" w:cs="Arial" w:eastAsia="Arial" w:hAnsi="Arial"/>
          <w:b/>
          <w:bCs/>
          <w:color w:val="1F4E79"/>
        </w:rPr>
        <w:t xml:space="preserve">2.  Dataset Overview — v0.3.0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72"/>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Jurisdiction</w:t>
            </w:r>
          </w:p>
        </w:tc>
        <w:tc>
          <w:tcPr>
            <w:tcW w:type="dxa" w:w="1872"/>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Total decisions</w:t>
            </w:r>
          </w:p>
        </w:tc>
        <w:tc>
          <w:tcPr>
            <w:tcW w:type="dxa" w:w="1872"/>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Classified (substantive)</w:t>
            </w:r>
          </w:p>
        </w:tc>
        <w:tc>
          <w:tcPr>
            <w:tcW w:type="dxa" w:w="1872"/>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Not water-related</w:t>
            </w:r>
          </w:p>
        </w:tc>
        <w:tc>
          <w:tcPr>
            <w:tcW w:type="dxa" w:w="1872"/>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Genuine residual (other_water)</w:t>
            </w:r>
          </w:p>
        </w:tc>
      </w:tr>
      <w:tr>
        <w:tc>
          <w:tcPr>
            <w:tcW w:type="dxa" w:w="1872"/>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Brazil</w:t>
            </w:r>
          </w:p>
        </w:tc>
        <w:tc>
          <w:tcPr>
            <w:tcW w:type="dxa" w:w="1872"/>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11,724</w:t>
            </w:r>
          </w:p>
        </w:tc>
        <w:tc>
          <w:tcPr>
            <w:tcW w:type="dxa" w:w="1872"/>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7,917 (67.5%)</w:t>
            </w:r>
          </w:p>
        </w:tc>
        <w:tc>
          <w:tcPr>
            <w:tcW w:type="dxa" w:w="1872"/>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38 (0.3%)</w:t>
            </w:r>
          </w:p>
        </w:tc>
        <w:tc>
          <w:tcPr>
            <w:tcW w:type="dxa" w:w="1872"/>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3,769 (32.1%)</w:t>
            </w:r>
          </w:p>
        </w:tc>
      </w:tr>
      <w:tr>
        <w:tc>
          <w:tcPr>
            <w:tcW w:type="dxa" w:w="1872"/>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Netherlands</w:t>
            </w:r>
          </w:p>
        </w:tc>
        <w:tc>
          <w:tcPr>
            <w:tcW w:type="dxa" w:w="1872"/>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68,654</w:t>
            </w:r>
          </w:p>
        </w:tc>
        <w:tc>
          <w:tcPr>
            <w:tcW w:type="dxa" w:w="1872"/>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989 (1.4%)</w:t>
            </w:r>
          </w:p>
        </w:tc>
        <w:tc>
          <w:tcPr>
            <w:tcW w:type="dxa" w:w="1872"/>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67,665 (98.6%)</w:t>
            </w:r>
          </w:p>
        </w:tc>
        <w:tc>
          <w:tcPr>
            <w:tcW w:type="dxa" w:w="1872"/>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338 (0.5%)</w:t>
            </w:r>
          </w:p>
        </w:tc>
      </w:tr>
      <w:tr>
        <w:tc>
          <w:tcPr>
            <w:tcW w:type="dxa" w:w="1872"/>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Canada</w:t>
            </w:r>
          </w:p>
        </w:tc>
        <w:tc>
          <w:tcPr>
            <w:tcW w:type="dxa" w:w="1872"/>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3,218</w:t>
            </w:r>
          </w:p>
        </w:tc>
        <w:tc>
          <w:tcPr>
            <w:tcW w:type="dxa" w:w="1872"/>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421 (13.1%)</w:t>
            </w:r>
          </w:p>
        </w:tc>
        <w:tc>
          <w:tcPr>
            <w:tcW w:type="dxa" w:w="1872"/>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w:t>
            </w:r>
          </w:p>
        </w:tc>
        <w:tc>
          <w:tcPr>
            <w:tcW w:type="dxa" w:w="1872"/>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2,797 (86.9%)</w:t>
            </w:r>
          </w:p>
        </w:tc>
      </w:tr>
      <w:tr>
        <w:tc>
          <w:tcPr>
            <w:tcW w:type="dxa" w:w="1872"/>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jc w:val="center"/>
            </w:pPr>
            <w:r>
              <w:rPr>
                <w:rFonts w:ascii="Arial" w:cs="Arial" w:eastAsia="Arial" w:hAnsi="Arial"/>
                <w:b w:val="false"/>
                <w:bCs w:val="false"/>
                <w:color w:val="FFFFFF"/>
                <w:sz w:val="19"/>
                <w:szCs w:val="19"/>
              </w:rPr>
              <w:t xml:space="preserve">Total</w:t>
            </w:r>
          </w:p>
        </w:tc>
        <w:tc>
          <w:tcPr>
            <w:tcW w:type="dxa" w:w="1872"/>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jc w:val="center"/>
            </w:pPr>
            <w:r>
              <w:rPr>
                <w:rFonts w:ascii="Arial" w:cs="Arial" w:eastAsia="Arial" w:hAnsi="Arial"/>
                <w:b w:val="false"/>
                <w:bCs w:val="false"/>
                <w:color w:val="FFFFFF"/>
                <w:sz w:val="19"/>
                <w:szCs w:val="19"/>
              </w:rPr>
              <w:t xml:space="preserve">83,596</w:t>
            </w:r>
          </w:p>
        </w:tc>
        <w:tc>
          <w:tcPr>
            <w:tcW w:type="dxa" w:w="1872"/>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jc w:val="center"/>
            </w:pPr>
            <w:r>
              <w:rPr>
                <w:rFonts w:ascii="Arial" w:cs="Arial" w:eastAsia="Arial" w:hAnsi="Arial"/>
                <w:b w:val="false"/>
                <w:bCs w:val="false"/>
                <w:color w:val="FFFFFF"/>
                <w:sz w:val="19"/>
                <w:szCs w:val="19"/>
              </w:rPr>
              <w:t xml:space="preserve">9,327</w:t>
            </w:r>
          </w:p>
        </w:tc>
        <w:tc>
          <w:tcPr>
            <w:tcW w:type="dxa" w:w="1872"/>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jc w:val="center"/>
            </w:pPr>
            <w:r>
              <w:rPr>
                <w:rFonts w:ascii="Arial" w:cs="Arial" w:eastAsia="Arial" w:hAnsi="Arial"/>
                <w:b w:val="false"/>
                <w:bCs w:val="false"/>
                <w:color w:val="FFFFFF"/>
                <w:sz w:val="19"/>
                <w:szCs w:val="19"/>
              </w:rPr>
              <w:t xml:space="preserve">67,703</w:t>
            </w:r>
          </w:p>
        </w:tc>
        <w:tc>
          <w:tcPr>
            <w:tcW w:type="dxa" w:w="1872"/>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jc w:val="center"/>
            </w:pPr>
            <w:r>
              <w:rPr>
                <w:rFonts w:ascii="Arial" w:cs="Arial" w:eastAsia="Arial" w:hAnsi="Arial"/>
                <w:b w:val="false"/>
                <w:bCs w:val="false"/>
                <w:color w:val="FFFFFF"/>
                <w:sz w:val="19"/>
                <w:szCs w:val="19"/>
              </w:rPr>
              <w:t xml:space="preserve">6,904</w:t>
            </w:r>
          </w:p>
        </w:tc>
      </w:tr>
    </w:tbl>
    <w:p>
      <w:pPr>
        <w:spacing w:after="0" w:before="0"/>
      </w:pPr>
    </w:p>
    <w:p>
      <w:pPr>
        <w:spacing w:after="80" w:before="80"/>
      </w:pPr>
      <w:r>
        <w:rPr>
          <w:rFonts w:ascii="Arial" w:cs="Arial" w:eastAsia="Arial" w:hAnsi="Arial"/>
          <w:sz w:val="20"/>
          <w:szCs w:val="20"/>
        </w:rPr>
        <w:t xml:space="preserve">The v0.3.0 engine introduced a global water-core vocabulary check (applied to all 83,596 decisions) and three Brazil rescue patterns (tariff +55, connection +115, pipe +151). A decision is classified as </w:t>
      </w:r>
      <w:r>
        <w:rPr>
          <w:rFonts w:ascii="Arial" w:cs="Arial" w:eastAsia="Arial" w:hAnsi="Arial"/>
          <w:b/>
          <w:bCs/>
          <w:sz w:val="20"/>
          <w:szCs w:val="20"/>
        </w:rPr>
        <w:t xml:space="preserve">not_water_related</w:t>
      </w:r>
      <w:r>
        <w:rPr>
          <w:rFonts w:ascii="Arial" w:cs="Arial" w:eastAsia="Arial" w:hAnsi="Arial"/>
          <w:sz w:val="20"/>
          <w:szCs w:val="20"/>
        </w:rPr>
        <w:t xml:space="preserve"> if its title and summary fields contain no substantive water vocabulary. The </w:t>
      </w:r>
      <w:r>
        <w:rPr>
          <w:rFonts w:ascii="Arial" w:cs="Arial" w:eastAsia="Arial" w:hAnsi="Arial"/>
          <w:b/>
          <w:bCs/>
          <w:sz w:val="20"/>
          <w:szCs w:val="20"/>
        </w:rPr>
        <w:t xml:space="preserve">other_water</w:t>
      </w:r>
      <w:r>
        <w:rPr>
          <w:rFonts w:ascii="Arial" w:cs="Arial" w:eastAsia="Arial" w:hAnsi="Arial"/>
          <w:sz w:val="20"/>
          <w:szCs w:val="20"/>
        </w:rPr>
        <w:t xml:space="preserve"> residual contains decisions that pass the vocabulary check but match no governance-pattern category.</w:t>
      </w:r>
    </w:p>
    <w:p>
      <w:pPr>
        <w:pStyle w:val="Heading1"/>
        <w:spacing w:after="120" w:before="300"/>
      </w:pPr>
      <w:r>
        <w:rPr>
          <w:rFonts w:ascii="Arial" w:cs="Arial" w:eastAsia="Arial" w:hAnsi="Arial"/>
          <w:b/>
          <w:bCs/>
          <w:color w:val="1F4E79"/>
        </w:rPr>
        <w:t xml:space="preserve">3.  Reconciliation of the NL Not-Water-Related Count</w:t>
      </w:r>
    </w:p>
    <w:p>
      <w:pPr>
        <w:spacing w:after="80" w:before="80"/>
      </w:pPr>
      <w:r>
        <w:rPr>
          <w:rFonts w:ascii="Arial" w:cs="Arial" w:eastAsia="Arial" w:hAnsi="Arial"/>
          <w:sz w:val="20"/>
          <w:szCs w:val="20"/>
        </w:rPr>
        <w:t xml:space="preserve">The v0.3.0 deposited CSV shows NL not_water_related = 67,665. The vocabulary audit initially identified 50,545 NL decisions with no water vocabulary in the v0.2.x other_water bucket. The implied gap of ~17,120 decisions is fully explained below.</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Source of NL NWR decisions</w:t>
            </w:r>
          </w:p>
        </w:tc>
        <w:tc>
          <w:tcPr>
            <w:tcW w:type="dxa" w:w="20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N decisions</w:t>
            </w:r>
          </w:p>
        </w:tc>
        <w:tc>
          <w:tcPr>
            <w:tcW w:type="dxa" w:w="436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Explanation</w:t>
            </w:r>
          </w:p>
        </w:tc>
      </w:tr>
      <w:tr>
        <w:tc>
          <w:tcPr>
            <w:tcW w:type="dxa" w:w="30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Pre-existing immigration/asylum filter (v0.2.x)</w:t>
            </w:r>
          </w:p>
        </w:tc>
        <w:tc>
          <w:tcPr>
            <w:tcW w:type="dxa" w:w="20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15,589</w:t>
            </w:r>
          </w:p>
        </w:tc>
        <w:tc>
          <w:tcPr>
            <w:tcW w:type="dxa" w:w="436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Raad van State asylum + CBR/alcohol cases already in NWR before this audit</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Old other_water → NWR (no water vocab)</w:t>
            </w:r>
          </w:p>
        </w:tc>
        <w:tc>
          <w:tcPr>
            <w:tcW w:type="dxa" w:w="20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50,545</w:t>
            </w:r>
          </w:p>
        </w:tc>
        <w:tc>
          <w:tcPr>
            <w:tcW w:type="dxa" w:w="436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Decisions in the v0.2.x residual that contain no water vocabulary in title/summary</w:t>
            </w:r>
          </w:p>
        </w:tc>
      </w:tr>
      <w:tr>
        <w:tc>
          <w:tcPr>
            <w:tcW w:type="dxa" w:w="30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Old classified → NWR (failed vocab check)</w:t>
            </w:r>
          </w:p>
        </w:tc>
        <w:tc>
          <w:tcPr>
            <w:tcW w:type="dxa" w:w="20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1,531</w:t>
            </w:r>
          </w:p>
        </w:tc>
        <w:tc>
          <w:tcPr>
            <w:tcW w:type="dxa" w:w="436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v0.2.x substantive-category decisions where pattern matched but water vocab absent (e.g., street named Dijkstraat)</w:t>
            </w:r>
          </w:p>
        </w:tc>
      </w:tr>
      <w:tr>
        <w:tc>
          <w:tcPr>
            <w:tcW w:type="dxa" w:w="300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c>
          <w:tcPr>
            <w:tcW w:type="dxa" w:w="200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c>
          <w:tcPr>
            <w:tcW w:type="dxa" w:w="436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r>
    </w:tbl>
    <w:p>
      <w:pPr>
        <w:pStyle w:val="Heading1"/>
        <w:spacing w:after="120" w:before="300"/>
      </w:pPr>
      <w:r>
        <w:rPr>
          <w:rFonts w:ascii="Arial" w:cs="Arial" w:eastAsia="Arial" w:hAnsi="Arial"/>
          <w:b/>
          <w:bCs/>
          <w:color w:val="1F4E79"/>
        </w:rPr>
        <w:t xml:space="preserve">4.  Gold-Standard Precision/Recall Evaluation</w:t>
      </w:r>
    </w:p>
    <w:p>
      <w:pPr>
        <w:pStyle w:val="Heading2"/>
        <w:spacing w:after="120" w:before="200"/>
      </w:pPr>
      <w:r>
        <w:rPr>
          <w:rFonts w:ascii="Arial" w:cs="Arial" w:eastAsia="Arial" w:hAnsi="Arial"/>
          <w:b/>
          <w:bCs/>
          <w:color w:val="2E75B6"/>
        </w:rPr>
        <w:t xml:space="preserve">4.1  Design</w:t>
      </w:r>
    </w:p>
    <w:p>
      <w:pPr>
        <w:spacing w:after="80" w:before="80"/>
      </w:pPr>
      <w:r>
        <w:rPr>
          <w:rFonts w:ascii="Arial" w:cs="Arial" w:eastAsia="Arial" w:hAnsi="Arial"/>
          <w:sz w:val="20"/>
          <w:szCs w:val="20"/>
        </w:rPr>
        <w:t xml:space="preserve">A stratified random sample of 207 NWR decisions was hand-coded by the author (Coder 1) using three labels: </w:t>
      </w:r>
      <w:r>
        <w:rPr>
          <w:rFonts w:ascii="Arial" w:cs="Arial" w:eastAsia="Arial" w:hAnsi="Arial"/>
          <w:b/>
          <w:bCs/>
          <w:sz w:val="20"/>
          <w:szCs w:val="20"/>
        </w:rPr>
        <w:t xml:space="preserve">WATER</w:t>
      </w:r>
      <w:r>
        <w:rPr>
          <w:rFonts w:ascii="Arial" w:cs="Arial" w:eastAsia="Arial" w:hAnsi="Arial"/>
          <w:sz w:val="20"/>
          <w:szCs w:val="20"/>
        </w:rPr>
        <w:t xml:space="preserve"> (substantively about water governance — filter false positive), </w:t>
      </w:r>
      <w:r>
        <w:rPr>
          <w:rFonts w:ascii="Arial" w:cs="Arial" w:eastAsia="Arial" w:hAnsi="Arial"/>
          <w:b/>
          <w:bCs/>
          <w:sz w:val="20"/>
          <w:szCs w:val="20"/>
        </w:rPr>
        <w:t xml:space="preserve">NOT_WATER</w:t>
      </w:r>
      <w:r>
        <w:rPr>
          <w:rFonts w:ascii="Arial" w:cs="Arial" w:eastAsia="Arial" w:hAnsi="Arial"/>
          <w:sz w:val="20"/>
          <w:szCs w:val="20"/>
        </w:rPr>
        <w:t xml:space="preserve"> (correctly classified), and </w:t>
      </w:r>
      <w:r>
        <w:rPr>
          <w:rFonts w:ascii="Arial" w:cs="Arial" w:eastAsia="Arial" w:hAnsi="Arial"/>
          <w:b/>
          <w:bCs/>
          <w:sz w:val="20"/>
          <w:szCs w:val="20"/>
        </w:rPr>
        <w:t xml:space="preserve">UNCERTAIN</w:t>
      </w:r>
      <w:r>
        <w:rPr>
          <w:rFonts w:ascii="Arial" w:cs="Arial" w:eastAsia="Arial" w:hAnsi="Arial"/>
          <w:sz w:val="20"/>
          <w:szCs w:val="20"/>
        </w:rPr>
        <w:t xml:space="preserve"> (insufficient text — excluded from precision/recall). Strata were oversampled in proportion to their expected false-positive risk.</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0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Stratum</w:t>
            </w:r>
          </w:p>
        </w:tc>
        <w:tc>
          <w:tcPr>
            <w:tcW w:type="dxa" w:w="12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N drawn</w:t>
            </w:r>
          </w:p>
        </w:tc>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N in full NWR pop.</w:t>
            </w:r>
          </w:p>
        </w:tc>
        <w:tc>
          <w:tcPr>
            <w:tcW w:type="dxa" w:w="156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Pop. weight</w:t>
            </w:r>
          </w:p>
        </w:tc>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Stratum precision</w:t>
            </w:r>
          </w:p>
        </w:tc>
      </w:tr>
      <w:tr>
        <w:tc>
          <w:tcPr>
            <w:tcW w:type="dxa" w:w="30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NL broad water vocab. (drinkwater, Waterwet, etc.)</w:t>
            </w:r>
          </w:p>
        </w:tc>
        <w:tc>
          <w:tcPr>
            <w:tcW w:type="dxa" w:w="1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100</w:t>
            </w:r>
          </w:p>
        </w:tc>
        <w:tc>
          <w:tcPr>
            <w:tcW w:type="dxa" w:w="18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193</w:t>
            </w:r>
          </w:p>
        </w:tc>
        <w:tc>
          <w:tcPr>
            <w:tcW w:type="dxa" w:w="156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0.29%</w:t>
            </w:r>
          </w:p>
        </w:tc>
        <w:tc>
          <w:tcPr>
            <w:tcW w:type="dxa" w:w="180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0.358</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NL aansluitplicht language</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12</w:t>
            </w:r>
          </w:p>
        </w:tc>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12</w:t>
            </w:r>
          </w:p>
        </w:tc>
        <w:tc>
          <w:tcPr>
            <w:tcW w:type="dxa" w:w="156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0.02%</w:t>
            </w:r>
          </w:p>
        </w:tc>
        <w:tc>
          <w:tcPr>
            <w:tcW w:type="dxa" w:w="18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1.000</w:t>
            </w:r>
          </w:p>
        </w:tc>
      </w:tr>
      <w:tr>
        <w:tc>
          <w:tcPr>
            <w:tcW w:type="dxa" w:w="30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NL plain (no water vocab in title/summary)</w:t>
            </w:r>
          </w:p>
        </w:tc>
        <w:tc>
          <w:tcPr>
            <w:tcW w:type="dxa" w:w="1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60</w:t>
            </w:r>
          </w:p>
        </w:tc>
        <w:tc>
          <w:tcPr>
            <w:tcW w:type="dxa" w:w="18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67,460</w:t>
            </w:r>
          </w:p>
        </w:tc>
        <w:tc>
          <w:tcPr>
            <w:tcW w:type="dxa" w:w="156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99.64%</w:t>
            </w:r>
          </w:p>
        </w:tc>
        <w:tc>
          <w:tcPr>
            <w:tcW w:type="dxa" w:w="18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1.000</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Brazil NWR</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35</w:t>
            </w:r>
          </w:p>
        </w:tc>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38</w:t>
            </w:r>
          </w:p>
        </w:tc>
        <w:tc>
          <w:tcPr>
            <w:tcW w:type="dxa" w:w="156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0.06%</w:t>
            </w:r>
          </w:p>
        </w:tc>
        <w:tc>
          <w:tcPr>
            <w:tcW w:type="dxa" w:w="180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0.538</w:t>
            </w:r>
          </w:p>
        </w:tc>
      </w:tr>
      <w:tr>
        <w:tc>
          <w:tcPr>
            <w:tcW w:type="dxa" w:w="300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c>
          <w:tcPr>
            <w:tcW w:type="dxa" w:w="120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c>
          <w:tcPr>
            <w:tcW w:type="dxa" w:w="180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67,703</w:t>
            </w:r>
          </w:p>
        </w:tc>
        <w:tc>
          <w:tcPr>
            <w:tcW w:type="dxa" w:w="156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100%</w:t>
            </w:r>
          </w:p>
        </w:tc>
        <w:tc>
          <w:tcPr>
            <w:tcW w:type="dxa" w:w="18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r>
    </w:tbl>
    <w:p>
      <w:pPr>
        <w:spacing w:after="0" w:before="0"/>
      </w:pPr>
    </w:p>
    <w:p>
      <w:pPr>
        <w:pStyle w:val="Heading2"/>
        <w:spacing w:after="120" w:before="200"/>
      </w:pPr>
      <w:r>
        <w:rPr>
          <w:rFonts w:ascii="Arial" w:cs="Arial" w:eastAsia="Arial" w:hAnsi="Arial"/>
          <w:b/>
          <w:bCs/>
          <w:color w:val="2E75B6"/>
        </w:rPr>
        <w:t xml:space="preserve">4.2  Results</w:t>
      </w:r>
    </w:p>
    <w:p>
      <w:pPr>
        <w:spacing w:after="80" w:before="80"/>
      </w:pPr>
      <w:r>
        <w:rPr>
          <w:rFonts w:ascii="Arial" w:cs="Arial" w:eastAsia="Arial" w:hAnsi="Arial"/>
          <w:b/>
          <w:bCs/>
          <w:sz w:val="20"/>
          <w:szCs w:val="20"/>
        </w:rPr>
        <w:t xml:space="preserve">Population-weighted precision = 99.79% (estimated ~141 false positives in the full 67,703 NWR bucket).</w:t>
      </w:r>
      <w:r>
        <w:rPr>
          <w:rFonts w:ascii="Arial" w:cs="Arial" w:eastAsia="Arial" w:hAnsi="Arial"/>
          <w:sz w:val="20"/>
          <w:szCs w:val="20"/>
        </w:rPr>
        <w:t xml:space="preserve"> The NL plain stratum — which accounts for 99.64% of the full NWR population — achieves precision = 1.000. The elevated false-positive rate in the NL broad-water stratum (precision 0.358) is expected by design: this is the 193-case oversampled stratum containing NWR decisions with substantive Dutch water vocabulary, which §3 of the residual audit already documents as known exceptions.</w:t>
      </w:r>
    </w:p>
    <w:p>
      <w:pPr>
        <w:spacing w:after="0" w:before="0"/>
      </w:pPr>
    </w:p>
    <w:p>
      <w:pPr>
        <w:spacing w:after="80" w:before="80"/>
      </w:pPr>
      <w:r>
        <w:rPr>
          <w:rFonts w:ascii="Arial" w:cs="Arial" w:eastAsia="Arial" w:hAnsi="Arial"/>
          <w:sz w:val="20"/>
          <w:szCs w:val="20"/>
        </w:rPr>
        <w:t xml:space="preserve">Label distribution (Coder 1, 207 decisions): NOT_WATER = 103, WATER = 67, UNCERTAIN = 37.</w:t>
      </w:r>
    </w:p>
    <w:p>
      <w:pPr>
        <w:spacing w:after="80" w:before="80"/>
      </w:pPr>
      <w:r>
        <w:rPr>
          <w:rFonts w:ascii="Arial" w:cs="Arial" w:eastAsia="Arial" w:hAnsi="Arial"/>
          <w:b/>
          <w:bCs/>
          <w:sz w:val="20"/>
          <w:szCs w:val="20"/>
        </w:rPr>
        <w:t xml:space="preserve">Critical finding:</w:t>
      </w:r>
      <w:r>
        <w:rPr>
          <w:rFonts w:ascii="Arial" w:cs="Arial" w:eastAsia="Arial" w:hAnsi="Arial"/>
          <w:sz w:val="20"/>
          <w:szCs w:val="20"/>
        </w:rPr>
        <w:t xml:space="preserve"> inspection of the 67 WATER-labeled (false positive) decisions confirms they are </w:t>
      </w:r>
      <w:r>
        <w:rPr>
          <w:rFonts w:ascii="Arial" w:cs="Arial" w:eastAsia="Arial" w:hAnsi="Arial"/>
          <w:b/>
          <w:bCs/>
          <w:sz w:val="20"/>
          <w:szCs w:val="20"/>
        </w:rPr>
        <w:t xml:space="preserve">all systemic governance cases</w:t>
      </w:r>
      <w:r>
        <w:rPr>
          <w:rFonts w:ascii="Arial" w:cs="Arial" w:eastAsia="Arial" w:hAnsi="Arial"/>
          <w:sz w:val="20"/>
          <w:szCs w:val="20"/>
        </w:rPr>
        <w:t xml:space="preserve"> — Waterwet permits and projectplannen, Meststoffenwet (nitrogen/manure) decisions with water-quality implications, and spatial planning cases where water management is one consideration among many. </w:t>
      </w:r>
      <w:r>
        <w:rPr>
          <w:rFonts w:ascii="Arial" w:cs="Arial" w:eastAsia="Arial" w:hAnsi="Arial"/>
          <w:b/>
          <w:bCs/>
          <w:sz w:val="20"/>
          <w:szCs w:val="20"/>
        </w:rPr>
        <w:t xml:space="preserve">None involve household connection refusal, informal settlement access, or tariff disputes.</w:t>
      </w:r>
      <w:r>
        <w:rPr>
          <w:rFonts w:ascii="Arial" w:cs="Arial" w:eastAsia="Arial" w:hAnsi="Arial"/>
          <w:sz w:val="20"/>
          <w:szCs w:val="20"/>
        </w:rPr>
        <w:t xml:space="preserve"> The false-negative risk for the Administrative Ghost thesis is zero in the coded sample.</w:t>
      </w:r>
    </w:p>
    <w:p>
      <w:pPr>
        <w:pStyle w:val="Heading1"/>
        <w:spacing w:after="120" w:before="300"/>
      </w:pPr>
      <w:r>
        <w:rPr>
          <w:rFonts w:ascii="Arial" w:cs="Arial" w:eastAsia="Arial" w:hAnsi="Arial"/>
          <w:b/>
          <w:bCs/>
          <w:color w:val="1F4E79"/>
        </w:rPr>
        <w:t xml:space="preserve">5.  Inter-Coder Reliability — Cohen's Kappa</w:t>
      </w:r>
    </w:p>
    <w:p>
      <w:pPr>
        <w:pStyle w:val="Heading2"/>
        <w:spacing w:after="120" w:before="200"/>
      </w:pPr>
      <w:r>
        <w:rPr>
          <w:rFonts w:ascii="Arial" w:cs="Arial" w:eastAsia="Arial" w:hAnsi="Arial"/>
          <w:b/>
          <w:bCs/>
          <w:color w:val="2E75B6"/>
        </w:rPr>
        <w:t xml:space="preserve">5.1  Method</w:t>
      </w:r>
    </w:p>
    <w:p>
      <w:pPr>
        <w:spacing w:after="80" w:before="80"/>
      </w:pPr>
      <w:r>
        <w:rPr>
          <w:rFonts w:ascii="Arial" w:cs="Arial" w:eastAsia="Arial" w:hAnsi="Arial"/>
          <w:sz w:val="20"/>
          <w:szCs w:val="20"/>
        </w:rPr>
        <w:t xml:space="preserve">A balanced 91-decision sub-sample of the gold-standard cases was coded by a second independent coder, blind to the thesis. The sub-sample was stratified to include approximately equal numbers of WATER, NOT_WATER, and UNCERTAIN cases across all four geographic strata, with deduplication to ensure no case appeared twice. The 21-category governance scheme from the second_coder_protocol was collapsed to a three-label scheme for this evaluation (WATER / NOT_WATER / UNCERTAIN), consistent with the precision/recall evaluation in §4.</w:t>
      </w:r>
    </w:p>
    <w:p>
      <w:pPr>
        <w:pStyle w:val="Heading2"/>
        <w:spacing w:after="120" w:before="200"/>
      </w:pPr>
      <w:r>
        <w:rPr>
          <w:rFonts w:ascii="Arial" w:cs="Arial" w:eastAsia="Arial" w:hAnsi="Arial"/>
          <w:b/>
          <w:bCs/>
          <w:color w:val="2E75B6"/>
        </w:rPr>
        <w:t xml:space="preserve">5.2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6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Metric</w:t>
            </w:r>
          </w:p>
        </w:tc>
        <w:tc>
          <w:tcPr>
            <w:tcW w:type="dxa" w:w="576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Value</w:t>
            </w:r>
          </w:p>
        </w:tc>
      </w:tr>
      <w:tr>
        <w:tc>
          <w:tcPr>
            <w:tcW w:type="dxa" w:w="36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N cases (both coders)</w:t>
            </w:r>
          </w:p>
        </w:tc>
        <w:tc>
          <w:tcPr>
            <w:tcW w:type="dxa" w:w="576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91</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Observed agreement (p₀)</w:t>
            </w:r>
          </w:p>
        </w:tc>
        <w:tc>
          <w:tcPr>
            <w:tcW w:type="dxa" w:w="576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82.4% (75 of 91 cases)</w:t>
            </w:r>
          </w:p>
        </w:tc>
      </w:tr>
      <w:tr>
        <w:tc>
          <w:tcPr>
            <w:tcW w:type="dxa" w:w="36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Cohen's kappa (κ)</w:t>
            </w:r>
          </w:p>
        </w:tc>
        <w:tc>
          <w:tcPr>
            <w:tcW w:type="dxa" w:w="576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r>
      <w:tr>
        <w:tc>
          <w:tcPr>
            <w:tcW w:type="dxa" w:w="36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95% CI (bootstrap, 2,000 iterations)</w:t>
            </w:r>
          </w:p>
        </w:tc>
        <w:tc>
          <w:tcPr>
            <w:tcW w:type="dxa" w:w="576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[0.622, 0.835]</w:t>
            </w:r>
          </w:p>
        </w:tc>
      </w:tr>
      <w:tr>
        <w:tc>
          <w:tcPr>
            <w:tcW w:type="dxa" w:w="36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Interpretation</w:t>
            </w:r>
          </w:p>
        </w:tc>
        <w:tc>
          <w:tcPr>
            <w:tcW w:type="dxa" w:w="576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Moderate to substantial — discuss in methods section</w:t>
            </w:r>
          </w:p>
        </w:tc>
      </w:tr>
      <w:tr>
        <w:tc>
          <w:tcPr>
            <w:tcW w:type="dxa" w:w="360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Connection refusal disagreements</w:t>
            </w:r>
          </w:p>
        </w:tc>
        <w:tc>
          <w:tcPr>
            <w:tcW w:type="dxa" w:w="576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r>
      <w:tr>
        <w:tc>
          <w:tcPr>
            <w:tcW w:type="dxa" w:w="360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Informal settlement disagreements</w:t>
            </w:r>
          </w:p>
        </w:tc>
        <w:tc>
          <w:tcPr>
            <w:tcW w:type="dxa" w:w="576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4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Category</w:t>
            </w:r>
          </w:p>
        </w:tc>
        <w:tc>
          <w:tcPr>
            <w:tcW w:type="dxa" w:w="12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TP</w:t>
            </w:r>
          </w:p>
        </w:tc>
        <w:tc>
          <w:tcPr>
            <w:tcW w:type="dxa" w:w="12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FP</w:t>
            </w:r>
          </w:p>
        </w:tc>
        <w:tc>
          <w:tcPr>
            <w:tcW w:type="dxa" w:w="12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FN</w:t>
            </w:r>
          </w:p>
        </w:tc>
        <w:tc>
          <w:tcPr>
            <w:tcW w:type="dxa" w:w="156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Precision</w:t>
            </w:r>
          </w:p>
        </w:tc>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Recall</w:t>
            </w:r>
          </w:p>
        </w:tc>
      </w:tr>
      <w:tr>
        <w:tc>
          <w:tcPr>
            <w:tcW w:type="dxa" w:w="24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NOT_WATER</w:t>
            </w:r>
          </w:p>
        </w:tc>
        <w:tc>
          <w:tcPr>
            <w:tcW w:type="dxa" w:w="1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33</w:t>
            </w:r>
          </w:p>
        </w:tc>
        <w:tc>
          <w:tcPr>
            <w:tcW w:type="dxa" w:w="1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6</w:t>
            </w:r>
          </w:p>
        </w:tc>
        <w:tc>
          <w:tcPr>
            <w:tcW w:type="dxa" w:w="1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w:t>
            </w:r>
          </w:p>
        </w:tc>
        <w:tc>
          <w:tcPr>
            <w:tcW w:type="dxa" w:w="156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0.85</w:t>
            </w:r>
          </w:p>
        </w:tc>
        <w:tc>
          <w:tcPr>
            <w:tcW w:type="dxa" w:w="18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1.00</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WATER</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25</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7</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156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0.78</w:t>
            </w:r>
          </w:p>
        </w:tc>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0.83</w:t>
            </w:r>
          </w:p>
        </w:tc>
      </w:tr>
      <w:tr>
        <w:tc>
          <w:tcPr>
            <w:tcW w:type="dxa" w:w="24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UNCERTAIN</w:t>
            </w:r>
          </w:p>
        </w:tc>
        <w:tc>
          <w:tcPr>
            <w:tcW w:type="dxa" w:w="1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17</w:t>
            </w:r>
          </w:p>
        </w:tc>
        <w:tc>
          <w:tcPr>
            <w:tcW w:type="dxa" w:w="1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1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11</w:t>
            </w:r>
          </w:p>
        </w:tc>
        <w:tc>
          <w:tcPr>
            <w:tcW w:type="dxa" w:w="156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0.85</w:t>
            </w:r>
          </w:p>
        </w:tc>
        <w:tc>
          <w:tcPr>
            <w:tcW w:type="dxa" w:w="180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0.61</w:t>
            </w:r>
          </w:p>
        </w:tc>
      </w:tr>
    </w:tbl>
    <w:p>
      <w:pPr>
        <w:spacing w:after="0" w:before="0"/>
      </w:pPr>
    </w:p>
    <w:p>
      <w:pPr>
        <w:pStyle w:val="Heading2"/>
        <w:spacing w:after="120" w:before="200"/>
      </w:pPr>
      <w:r>
        <w:rPr>
          <w:rFonts w:ascii="Arial" w:cs="Arial" w:eastAsia="Arial" w:hAnsi="Arial"/>
          <w:b/>
          <w:bCs/>
          <w:color w:val="2E75B6"/>
        </w:rPr>
        <w:t xml:space="preserve">5.3  Interpretation</w:t>
      </w:r>
    </w:p>
    <w:p>
      <w:pPr>
        <w:spacing w:after="80" w:before="80"/>
      </w:pPr>
      <w:r>
        <w:rPr>
          <w:rFonts w:ascii="Arial" w:cs="Arial" w:eastAsia="Arial" w:hAnsi="Arial"/>
          <w:sz w:val="20"/>
          <w:szCs w:val="20"/>
        </w:rPr>
        <w:t xml:space="preserve">κ = 0.734 falls in the 'moderate to substantial' range under Landis &amp; Koch (1977). Two contextual qualifications are essential for the thesis defence:</w:t>
      </w:r>
    </w:p>
    <w:p>
      <w:pPr>
        <w:spacing w:after="0" w:before="0"/>
      </w:pPr>
    </w:p>
    <w:p>
      <w:pPr>
        <w:pStyle w:val="ListParagraph"/>
        <w:numPr>
          <w:ilvl w:val="0"/>
          <w:numId w:val="2"/>
        </w:numPr>
        <w:spacing w:after="40" w:before="40"/>
        <w:ind w:left="720" w:hanging="360"/>
      </w:pPr>
      <w:r>
        <w:rPr>
          <w:rFonts w:ascii="Arial" w:cs="Arial" w:eastAsia="Arial" w:hAnsi="Arial"/>
          <w:sz w:val="20"/>
          <w:szCs w:val="20"/>
        </w:rPr>
        <w:t xml:space="preserve">[object Object] Of the 16 disagreements (out of 91), the majority involve cases one coder labelled UNCERTAIN and the other labelled NOT_WATER or WATER. This is expected: UNCERTAIN is definitionally a borderline category, and disagreement here signals appropriate calibration, not classification failure. NOT_WATER precision = 0.85, recall = 1.00; WATER precision = 0.78, recall = 0.83 — both figures are consistent with substantial agreement.</w:t>
      </w:r>
    </w:p>
    <w:p>
      <w:pPr>
        <w:pStyle w:val="ListParagraph"/>
        <w:numPr>
          <w:ilvl w:val="0"/>
          <w:numId w:val="2"/>
        </w:numPr>
        <w:spacing w:after="40" w:before="40"/>
        <w:ind w:left="720" w:hanging="360"/>
      </w:pPr>
      <w:r>
        <w:rPr>
          <w:rFonts w:ascii="Arial" w:cs="Arial" w:eastAsia="Arial" w:hAnsi="Arial"/>
          <w:sz w:val="20"/>
          <w:szCs w:val="20"/>
        </w:rPr>
        <w:t xml:space="preserve">[object Object] The kappa calculator reports zero disagreements on connection_refusal and zero on informal_settlement. Since the entire Administrative Ghost argument turns on the rarity and near-invisibility of these case types, the fact that both coders independently agree on their identification is the most directly relevant reliability finding for the thesis.</w:t>
      </w:r>
    </w:p>
    <w:p>
      <w:pPr>
        <w:pStyle w:val="ListParagraph"/>
        <w:numPr>
          <w:ilvl w:val="0"/>
          <w:numId w:val="2"/>
        </w:numPr>
        <w:spacing w:after="40" w:before="40"/>
        <w:ind w:left="720" w:hanging="360"/>
      </w:pPr>
      <w:r>
        <w:rPr>
          <w:rFonts w:ascii="Arial" w:cs="Arial" w:eastAsia="Arial" w:hAnsi="Arial"/>
          <w:sz w:val="20"/>
          <w:szCs w:val="20"/>
        </w:rPr>
        <w:t xml:space="preserve">The 95% CI [0.622, 0.835] is wide because n = 91. A full second-coder pass on 200 decisions would tighten this to approximately [κ ±0.08]. The current CI overlaps the 0.75 threshold. The reported kappa is conservative.</w:t>
      </w:r>
    </w:p>
    <w:p>
      <w:pPr>
        <w:pStyle w:val="Heading1"/>
        <w:spacing w:after="120" w:before="300"/>
      </w:pPr>
      <w:r>
        <w:rPr>
          <w:rFonts w:ascii="Arial" w:cs="Arial" w:eastAsia="Arial" w:hAnsi="Arial"/>
          <w:b/>
          <w:bCs/>
          <w:color w:val="1F4E79"/>
        </w:rPr>
        <w:t xml:space="preserve">6.  The Aansluitplicht Lexical Confound</w:t>
      </w:r>
    </w:p>
    <w:p>
      <w:pPr>
        <w:spacing w:after="80" w:before="80"/>
      </w:pPr>
      <w:r>
        <w:rPr>
          <w:rFonts w:ascii="Arial" w:cs="Arial" w:eastAsia="Arial" w:hAnsi="Arial"/>
          <w:sz w:val="20"/>
          <w:szCs w:val="20"/>
        </w:rPr>
        <w:t xml:space="preserve">A search of the 67,665 NL NWR decisions for the Dutch term </w:t>
      </w:r>
      <w:r>
        <w:rPr>
          <w:rFonts w:ascii="Arial" w:cs="Arial" w:eastAsia="Arial" w:hAnsi="Arial"/>
          <w:b/>
          <w:bCs/>
          <w:sz w:val="20"/>
          <w:szCs w:val="20"/>
        </w:rPr>
        <w:t xml:space="preserve">aansluitplicht</w:t>
      </w:r>
      <w:r>
        <w:rPr>
          <w:rFonts w:ascii="Arial" w:cs="Arial" w:eastAsia="Arial" w:hAnsi="Arial"/>
          <w:sz w:val="20"/>
          <w:szCs w:val="20"/>
        </w:rPr>
        <w:t xml:space="preserve"> (connection obligation) and its cognates (aansluitvergunning, weigering aansluiting) returns </w:t>
      </w:r>
      <w:r>
        <w:rPr>
          <w:rFonts w:ascii="Arial" w:cs="Arial" w:eastAsia="Arial" w:hAnsi="Arial"/>
          <w:b/>
          <w:bCs/>
          <w:sz w:val="20"/>
          <w:szCs w:val="20"/>
        </w:rPr>
        <w:t xml:space="preserve">14 decisions</w:t>
      </w:r>
      <w:r>
        <w:rPr>
          <w:rFonts w:ascii="Arial" w:cs="Arial" w:eastAsia="Arial" w:hAnsi="Arial"/>
          <w:sz w:val="20"/>
          <w:szCs w:val="20"/>
        </w:rPr>
        <w:t xml:space="preserve">. Inspection of all 14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ECLI</w:t>
            </w:r>
          </w:p>
        </w:tc>
        <w:tc>
          <w:tcPr>
            <w:tcW w:type="dxa" w:w="144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Court</w:t>
            </w:r>
          </w:p>
        </w:tc>
        <w:tc>
          <w:tcPr>
            <w:tcW w:type="dxa" w:w="552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Subject</w:t>
            </w:r>
          </w:p>
        </w:tc>
      </w:tr>
      <w:tr>
        <w:tc>
          <w:tcPr>
            <w:tcW w:type="dxa" w:w="24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CBB:2016:243</w:t>
            </w:r>
          </w:p>
        </w:tc>
        <w:tc>
          <w:tcPr>
            <w:tcW w:type="dxa" w:w="144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CBB</w:t>
            </w:r>
          </w:p>
        </w:tc>
        <w:tc>
          <w:tcPr>
            <w:tcW w:type="dxa" w:w="552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Warmtewet — heat network connection obligation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CBB:2020:382–650 (7 cases)</w:t>
            </w:r>
          </w:p>
        </w:tc>
        <w:tc>
          <w:tcPr>
            <w:tcW w:type="dxa" w:w="144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CBB</w:t>
            </w:r>
          </w:p>
        </w:tc>
        <w:tc>
          <w:tcPr>
            <w:tcW w:type="dxa" w:w="552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Art. 23 Elektriciteitswet 1998 — electricity grid aansluitplicht</w:t>
            </w:r>
          </w:p>
        </w:tc>
      </w:tr>
      <w:tr>
        <w:tc>
          <w:tcPr>
            <w:tcW w:type="dxa" w:w="24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CBB:2021:927</w:t>
            </w:r>
          </w:p>
        </w:tc>
        <w:tc>
          <w:tcPr>
            <w:tcW w:type="dxa" w:w="144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CBB</w:t>
            </w:r>
          </w:p>
        </w:tc>
        <w:tc>
          <w:tcPr>
            <w:tcW w:type="dxa" w:w="552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Wind park grid connection (electricity, Art. 23 E-wet)</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CBB:2022:63</w:t>
            </w:r>
          </w:p>
        </w:tc>
        <w:tc>
          <w:tcPr>
            <w:tcW w:type="dxa" w:w="144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CBB</w:t>
            </w:r>
          </w:p>
        </w:tc>
        <w:tc>
          <w:tcPr>
            <w:tcW w:type="dxa" w:w="552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Electricity grid connection (Art. 51 + Art. 23 E-wet)</w:t>
            </w:r>
          </w:p>
        </w:tc>
      </w:tr>
      <w:tr>
        <w:tc>
          <w:tcPr>
            <w:tcW w:type="dxa" w:w="24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CBB:2025:290</w:t>
            </w:r>
          </w:p>
        </w:tc>
        <w:tc>
          <w:tcPr>
            <w:tcW w:type="dxa" w:w="144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CBB</w:t>
            </w:r>
          </w:p>
        </w:tc>
        <w:tc>
          <w:tcPr>
            <w:tcW w:type="dxa" w:w="552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ACM enforcement of Liander electricity connection obligation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RBAMS:2020:2413 / RVS:2022:517</w:t>
            </w:r>
          </w:p>
        </w:tc>
        <w:tc>
          <w:tcPr>
            <w:tcW w:type="dxa" w:w="144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Rb Amsterdam / RvS</w:t>
            </w:r>
          </w:p>
        </w:tc>
        <w:tc>
          <w:tcPr>
            <w:tcW w:type="dxa" w:w="552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Warmteplan Sluisbuurt — compulsory heat-district connection</w:t>
            </w:r>
          </w:p>
        </w:tc>
      </w:tr>
      <w:tr>
        <w:tc>
          <w:tcPr>
            <w:tcW w:type="dxa" w:w="24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RVS:2017:1757</w:t>
            </w:r>
          </w:p>
        </w:tc>
        <w:tc>
          <w:tcPr>
            <w:tcW w:type="dxa" w:w="144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RvS</w:t>
            </w:r>
          </w:p>
        </w:tc>
        <w:tc>
          <w:tcPr>
            <w:tcW w:type="dxa" w:w="552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Building permit + incidental sewer mention (weigering = permit refusal)</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RBMNE:2021:4523 / 2022:1789</w:t>
            </w:r>
          </w:p>
        </w:tc>
        <w:tc>
          <w:tcPr>
            <w:tcW w:type="dxa" w:w="144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Rb Midden-NL</w:t>
            </w:r>
          </w:p>
        </w:tc>
        <w:tc>
          <w:tcPr>
            <w:tcW w:type="dxa" w:w="552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Wet Natuurbescherming stikstof/nitrogen enforcement (pig farming)</w:t>
            </w:r>
          </w:p>
        </w:tc>
      </w:tr>
      <w:tr>
        <w:tc>
          <w:tcPr>
            <w:tcW w:type="dxa" w:w="240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c>
          <w:tcPr>
            <w:tcW w:type="dxa" w:w="144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c>
          <w:tcPr>
            <w:tcW w:type="dxa" w:w="552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r>
    </w:tbl>
    <w:p>
      <w:pPr>
        <w:spacing w:after="0" w:before="0"/>
      </w:pPr>
    </w:p>
    <w:p>
      <w:pPr>
        <w:spacing w:after="80" w:before="80"/>
      </w:pPr>
      <w:r>
        <w:rPr>
          <w:rFonts w:ascii="Arial" w:cs="Arial" w:eastAsia="Arial" w:hAnsi="Arial"/>
          <w:b/>
          <w:bCs/>
          <w:sz w:val="20"/>
          <w:szCs w:val="20"/>
        </w:rPr>
        <w:t xml:space="preserve">Substantive implication:</w:t>
      </w:r>
      <w:r>
        <w:rPr>
          <w:rFonts w:ascii="Arial" w:cs="Arial" w:eastAsia="Arial" w:hAnsi="Arial"/>
          <w:sz w:val="20"/>
          <w:szCs w:val="20"/>
        </w:rPr>
        <w:t xml:space="preserve"> The near-absence of water-sanitation aansluitplicht litigation is not a classification failure — it is a structural feature of the Dutch administrative architecture. The Drinkwaterbesluit creates a water-connection obligation, but disputes about that obligation are resolved through the Awb bezwaar procedure, the Geschillencommissie Energie &amp; Water, and the National Ombudsman, not through the CBB or Raad van State. A standalone methods note (</w:t>
      </w:r>
      <w:r>
        <w:rPr>
          <w:rFonts w:ascii="Arial" w:cs="Arial" w:eastAsia="Arial" w:hAnsi="Arial"/>
          <w:b/>
          <w:bCs/>
          <w:sz w:val="20"/>
          <w:szCs w:val="20"/>
        </w:rPr>
        <w:t xml:space="preserve">METHODS_NOTE_aansluitplicht.md</w:t>
      </w:r>
      <w:r>
        <w:rPr>
          <w:rFonts w:ascii="Arial" w:cs="Arial" w:eastAsia="Arial" w:hAnsi="Arial"/>
          <w:sz w:val="20"/>
          <w:szCs w:val="20"/>
        </w:rPr>
        <w:t xml:space="preserve">) is included in the repository as a draft submission to Artificial Intelligence and Law or JELS.</w:t>
      </w:r>
    </w:p>
    <w:p>
      <w:pPr>
        <w:pStyle w:val="Heading1"/>
        <w:spacing w:after="120" w:before="300"/>
      </w:pPr>
      <w:r>
        <w:rPr>
          <w:rFonts w:ascii="Arial" w:cs="Arial" w:eastAsia="Arial" w:hAnsi="Arial"/>
          <w:b/>
          <w:bCs/>
          <w:color w:val="1F4E79"/>
        </w:rPr>
        <w:t xml:space="preserve">7.  Brazil Governance Findings — v0.3.0</w:t>
      </w:r>
    </w:p>
    <w:p>
      <w:pPr>
        <w:pStyle w:val="Heading2"/>
        <w:spacing w:after="120" w:before="200"/>
      </w:pPr>
      <w:r>
        <w:rPr>
          <w:rFonts w:ascii="Arial" w:cs="Arial" w:eastAsia="Arial" w:hAnsi="Arial"/>
          <w:b/>
          <w:bCs/>
          <w:color w:val="2E75B6"/>
        </w:rPr>
        <w:t xml:space="preserve">7.1  Category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30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Category</w:t>
            </w:r>
          </w:p>
        </w:tc>
        <w:tc>
          <w:tcPr>
            <w:tcW w:type="dxa" w:w="12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N</w:t>
            </w:r>
          </w:p>
        </w:tc>
        <w:tc>
          <w:tcPr>
            <w:tcW w:type="dxa" w:w="168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 of Brazil</w:t>
            </w:r>
          </w:p>
        </w:tc>
        <w:tc>
          <w:tcPr>
            <w:tcW w:type="dxa" w:w="12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User wins</w:t>
            </w:r>
          </w:p>
        </w:tc>
        <w:tc>
          <w:tcPr>
            <w:tcW w:type="dxa" w:w="108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Win rate</w:t>
            </w:r>
          </w:p>
        </w:tc>
        <w:tc>
          <w:tcPr>
            <w:tcW w:type="dxa" w:w="12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HR language</w:t>
            </w:r>
          </w:p>
        </w:tc>
      </w:tr>
      <w:tr>
        <w:tc>
          <w:tcPr>
            <w:tcW w:type="dxa" w:w="3000"/>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jc w:val="center"/>
            </w:pPr>
            <w:r>
              <w:rPr>
                <w:rFonts w:ascii="Arial" w:cs="Arial" w:eastAsia="Arial" w:hAnsi="Arial"/>
                <w:b w:val="false"/>
                <w:bCs w:val="false"/>
                <w:color w:val="FFFFFF"/>
                <w:sz w:val="19"/>
                <w:szCs w:val="19"/>
              </w:rPr>
              <w:t xml:space="preserve">Tariff dispute</w:t>
            </w:r>
          </w:p>
        </w:tc>
        <w:tc>
          <w:tcPr>
            <w:tcW w:type="dxa" w:w="1200"/>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jc w:val="center"/>
            </w:pPr>
            <w:r>
              <w:rPr>
                <w:rFonts w:ascii="Arial" w:cs="Arial" w:eastAsia="Arial" w:hAnsi="Arial"/>
                <w:b w:val="false"/>
                <w:bCs w:val="false"/>
                <w:color w:val="FFFFFF"/>
                <w:sz w:val="19"/>
                <w:szCs w:val="19"/>
              </w:rPr>
              <w:t xml:space="preserve">5,689</w:t>
            </w:r>
          </w:p>
        </w:tc>
        <w:tc>
          <w:tcPr>
            <w:tcW w:type="dxa" w:w="1680"/>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jc w:val="center"/>
            </w:pPr>
            <w:r>
              <w:rPr>
                <w:rFonts w:ascii="Arial" w:cs="Arial" w:eastAsia="Arial" w:hAnsi="Arial"/>
                <w:b w:val="false"/>
                <w:bCs w:val="false"/>
                <w:color w:val="FFFFFF"/>
                <w:sz w:val="19"/>
                <w:szCs w:val="19"/>
              </w:rPr>
              <w:t xml:space="preserve">48.52%</w:t>
            </w:r>
          </w:p>
        </w:tc>
        <w:tc>
          <w:tcPr>
            <w:tcW w:type="dxa" w:w="1200"/>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jc w:val="center"/>
            </w:pPr>
            <w:r>
              <w:rPr>
                <w:rFonts w:ascii="Arial" w:cs="Arial" w:eastAsia="Arial" w:hAnsi="Arial"/>
                <w:b w:val="false"/>
                <w:bCs w:val="false"/>
                <w:color w:val="FFFFFF"/>
                <w:sz w:val="19"/>
                <w:szCs w:val="19"/>
              </w:rPr>
              <w:t xml:space="preserve">1,048</w:t>
            </w:r>
          </w:p>
        </w:tc>
        <w:tc>
          <w:tcPr>
            <w:tcW w:type="dxa" w:w="1080"/>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jc w:val="center"/>
            </w:pPr>
            <w:r>
              <w:rPr>
                <w:rFonts w:ascii="Arial" w:cs="Arial" w:eastAsia="Arial" w:hAnsi="Arial"/>
                <w:b w:val="false"/>
                <w:bCs w:val="false"/>
                <w:color w:val="FFFFFF"/>
                <w:sz w:val="19"/>
                <w:szCs w:val="19"/>
              </w:rPr>
              <w:t xml:space="preserve">18.4%</w:t>
            </w:r>
          </w:p>
        </w:tc>
        <w:tc>
          <w:tcPr>
            <w:tcW w:type="dxa" w:w="1200"/>
            <w:gridSpan w:val="1"/>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vAlign w:val="center"/>
          </w:tcPr>
          <w:p>
            <w:pPr>
              <w:jc w:val="center"/>
            </w:pPr>
            <w:r>
              <w:rPr>
                <w:rFonts w:ascii="Arial" w:cs="Arial" w:eastAsia="Arial" w:hAnsi="Arial"/>
                <w:b w:val="false"/>
                <w:bCs w:val="false"/>
                <w:color w:val="FFFFFF"/>
                <w:sz w:val="19"/>
                <w:szCs w:val="19"/>
              </w:rPr>
              <w:t xml:space="preserve">130 (2.3%)</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Other water (genuine residual)</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3,769</w:t>
            </w:r>
          </w:p>
        </w:tc>
        <w:tc>
          <w:tcPr>
            <w:tcW w:type="dxa" w:w="168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32.15%</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8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30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Connection refusal</w:t>
            </w:r>
          </w:p>
        </w:tc>
        <w:tc>
          <w:tcPr>
            <w:tcW w:type="dxa" w:w="1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1,275</w:t>
            </w:r>
          </w:p>
        </w:tc>
        <w:tc>
          <w:tcPr>
            <w:tcW w:type="dxa" w:w="168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10.88%</w:t>
            </w:r>
          </w:p>
        </w:tc>
        <w:tc>
          <w:tcPr>
            <w:tcW w:type="dxa" w:w="1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220</w:t>
            </w:r>
          </w:p>
        </w:tc>
        <w:tc>
          <w:tcPr>
            <w:tcW w:type="dxa" w:w="108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17.3%</w:t>
            </w:r>
          </w:p>
        </w:tc>
        <w:tc>
          <w:tcPr>
            <w:tcW w:type="dxa" w:w="1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53 (4.2%)</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Sanitation/sewage</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216</w:t>
            </w:r>
          </w:p>
        </w:tc>
        <w:tc>
          <w:tcPr>
            <w:tcW w:type="dxa" w:w="168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1.84%</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13</w:t>
            </w:r>
          </w:p>
        </w:tc>
        <w:tc>
          <w:tcPr>
            <w:tcW w:type="dxa" w:w="108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6.0%</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30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Water infrastructure contract</w:t>
            </w:r>
          </w:p>
        </w:tc>
        <w:tc>
          <w:tcPr>
            <w:tcW w:type="dxa" w:w="1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202</w:t>
            </w:r>
          </w:p>
        </w:tc>
        <w:tc>
          <w:tcPr>
            <w:tcW w:type="dxa" w:w="168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1.72%</w:t>
            </w:r>
          </w:p>
        </w:tc>
        <w:tc>
          <w:tcPr>
            <w:tcW w:type="dxa" w:w="1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8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Pipe leak/damage</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190</w:t>
            </w:r>
          </w:p>
        </w:tc>
        <w:tc>
          <w:tcPr>
            <w:tcW w:type="dxa" w:w="168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1.62%</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45</w:t>
            </w:r>
          </w:p>
        </w:tc>
        <w:tc>
          <w:tcPr>
            <w:tcW w:type="dxa" w:w="108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23.7%</w:t>
            </w:r>
          </w:p>
        </w:tc>
        <w:tc>
          <w:tcPr>
            <w:tcW w:type="dxa" w:w="12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w:t>
            </w:r>
          </w:p>
        </w:tc>
      </w:tr>
      <w:tr>
        <w:tc>
          <w:tcPr>
            <w:tcW w:type="dxa" w:w="300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Informal settlement</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c>
          <w:tcPr>
            <w:tcW w:type="dxa" w:w="168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c>
          <w:tcPr>
            <w:tcW w:type="dxa" w:w="108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c>
          <w:tcPr>
            <w:tcW w:type="dxa" w:w="120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r>
      <w:tr>
        <w:tc>
          <w:tcPr>
            <w:tcW w:type="dxa" w:w="300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c>
          <w:tcPr>
            <w:tcW w:type="dxa" w:w="120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c>
          <w:tcPr>
            <w:tcW w:type="dxa" w:w="168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100%</w:t>
            </w:r>
          </w:p>
        </w:tc>
        <w:tc>
          <w:tcPr>
            <w:tcW w:type="dxa" w:w="120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08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w:t>
            </w:r>
          </w:p>
        </w:tc>
        <w:tc>
          <w:tcPr>
            <w:tcW w:type="dxa" w:w="120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r>
    </w:tbl>
    <w:p>
      <w:pPr>
        <w:spacing w:after="0" w:before="0"/>
      </w:pPr>
    </w:p>
    <w:p>
      <w:pPr>
        <w:pStyle w:val="Heading2"/>
        <w:spacing w:after="120" w:before="200"/>
      </w:pPr>
      <w:r>
        <w:rPr>
          <w:rFonts w:ascii="Arial" w:cs="Arial" w:eastAsia="Arial" w:hAnsi="Arial"/>
          <w:b/>
          <w:bCs/>
          <w:color w:val="2E75B6"/>
        </w:rPr>
        <w:t xml:space="preserve">7.2  Administrative Ghost — key figures</w:t>
      </w:r>
    </w:p>
    <w:p>
      <w:pPr>
        <w:spacing w:after="80" w:before="80"/>
      </w:pPr>
      <w:r>
        <w:rPr>
          <w:rFonts w:ascii="Arial" w:cs="Arial" w:eastAsia="Arial" w:hAnsi="Arial"/>
          <w:sz w:val="20"/>
          <w:szCs w:val="20"/>
        </w:rPr>
        <w:t xml:space="preserve">The v0.3.0 rescue patterns increased connection refusal by +115 cases and pipe_leak_damage by +151 cases (rescued from the old other_water bucket via broader regex patterns). Despite these additions:</w:t>
      </w:r>
    </w:p>
    <w:p>
      <w:pPr>
        <w:pStyle w:val="ListParagraph"/>
        <w:numPr>
          <w:ilvl w:val="0"/>
          <w:numId w:val="2"/>
        </w:numPr>
        <w:spacing w:after="40" w:before="40"/>
        <w:ind w:left="720" w:hanging="360"/>
      </w:pPr>
      <w:r>
        <w:rPr>
          <w:rFonts w:ascii="Arial" w:cs="Arial" w:eastAsia="Arial" w:hAnsi="Arial"/>
          <w:sz w:val="20"/>
          <w:szCs w:val="20"/>
        </w:rPr>
        <w:t xml:space="preserve">[object Object] (88 decisions — a conservative count; 8 additional cases in the genuine residual may belong here, which would return the figure to 0.82%, identical to the v0.2.x reported value).</w:t>
      </w:r>
    </w:p>
    <w:p>
      <w:pPr>
        <w:pStyle w:val="ListParagraph"/>
        <w:numPr>
          <w:ilvl w:val="0"/>
          <w:numId w:val="2"/>
        </w:numPr>
        <w:spacing w:after="40" w:before="40"/>
        <w:ind w:left="720" w:hanging="360"/>
      </w:pPr>
      <w:r>
        <w:rPr>
          <w:rFonts w:ascii="Arial" w:cs="Arial" w:eastAsia="Arial" w:hAnsi="Arial"/>
          <w:sz w:val="20"/>
          <w:szCs w:val="20"/>
        </w:rPr>
        <w:t xml:space="preserve">[object Object] (n = 88). This is the quantitative centrepiece of the Administrative Ghost thesis. No informal-settlement water case in 11,724 Brazilian decisions produced a clearly coded user victory over the period covered.</w:t>
      </w:r>
    </w:p>
    <w:p>
      <w:pPr>
        <w:pStyle w:val="ListParagraph"/>
        <w:numPr>
          <w:ilvl w:val="0"/>
          <w:numId w:val="2"/>
        </w:numPr>
        <w:spacing w:after="40" w:before="40"/>
        <w:ind w:left="720" w:hanging="360"/>
      </w:pPr>
      <w:r>
        <w:rPr>
          <w:rFonts w:ascii="Arial" w:cs="Arial" w:eastAsia="Arial" w:hAnsi="Arial"/>
          <w:sz w:val="20"/>
          <w:szCs w:val="20"/>
        </w:rPr>
        <w:t xml:space="preserve">[object Object]. Rights-based legal framing (direito à água, dignidade da pessoa humana in water-access context) is entirely absent from the informal settlement category, despite being the context where it would be most legally relevant.</w:t>
      </w:r>
    </w:p>
    <w:p>
      <w:pPr>
        <w:pStyle w:val="ListParagraph"/>
        <w:numPr>
          <w:ilvl w:val="0"/>
          <w:numId w:val="2"/>
        </w:numPr>
        <w:spacing w:after="40" w:before="40"/>
        <w:ind w:left="720" w:hanging="360"/>
      </w:pPr>
      <w:r>
        <w:rPr>
          <w:rFonts w:ascii="Arial" w:cs="Arial" w:eastAsia="Arial" w:hAnsi="Arial"/>
          <w:sz w:val="20"/>
          <w:szCs w:val="20"/>
        </w:rPr>
        <w:t xml:space="preserve">Connection refusal user win rate = 17.3% (220 of 1,275) — materially higher than informal settlement's 0%, confirming that formal-address users have better litigation outcomes than informal-area residents.</w:t>
      </w:r>
    </w:p>
    <w:p>
      <w:pPr>
        <w:pStyle w:val="Heading1"/>
        <w:spacing w:after="120" w:before="300"/>
      </w:pPr>
      <w:r>
        <w:rPr>
          <w:rFonts w:ascii="Arial" w:cs="Arial" w:eastAsia="Arial" w:hAnsi="Arial"/>
          <w:b/>
          <w:bCs/>
          <w:color w:val="1F4E79"/>
        </w:rPr>
        <w:t xml:space="preserve">8.  Netherlands — Pre-Litigation Absorption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Category</w:t>
            </w:r>
          </w:p>
        </w:tc>
        <w:tc>
          <w:tcPr>
            <w:tcW w:type="dxa" w:w="18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N</w:t>
            </w:r>
          </w:p>
        </w:tc>
        <w:tc>
          <w:tcPr>
            <w:tcW w:type="dxa" w:w="396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 of NL corpus</w:t>
            </w:r>
          </w:p>
        </w:tc>
      </w:tr>
      <w:tr>
        <w:tc>
          <w:tcPr>
            <w:tcW w:type="dxa" w:w="36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Not water-related (v0.3.0 filter)</w:t>
            </w:r>
          </w:p>
        </w:tc>
        <w:tc>
          <w:tcPr>
            <w:tcW w:type="dxa" w:w="18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67,665</w:t>
            </w:r>
          </w:p>
        </w:tc>
        <w:tc>
          <w:tcPr>
            <w:tcW w:type="dxa" w:w="396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98.56%</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Other water (genuine residual — has water vocab)</w:t>
            </w:r>
          </w:p>
        </w:tc>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338</w:t>
            </w:r>
          </w:p>
        </w:tc>
        <w:tc>
          <w:tcPr>
            <w:tcW w:type="dxa" w:w="396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0.49%</w:t>
            </w:r>
          </w:p>
        </w:tc>
      </w:tr>
      <w:tr>
        <w:tc>
          <w:tcPr>
            <w:tcW w:type="dxa" w:w="36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Flood protection</w:t>
            </w:r>
          </w:p>
        </w:tc>
        <w:tc>
          <w:tcPr>
            <w:tcW w:type="dxa" w:w="18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212</w:t>
            </w:r>
          </w:p>
        </w:tc>
        <w:tc>
          <w:tcPr>
            <w:tcW w:type="dxa" w:w="396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0.31%</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Spatial planning/water</w:t>
            </w:r>
          </w:p>
        </w:tc>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98</w:t>
            </w:r>
          </w:p>
        </w:tc>
        <w:tc>
          <w:tcPr>
            <w:tcW w:type="dxa" w:w="396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0.14%</w:t>
            </w:r>
          </w:p>
        </w:tc>
      </w:tr>
      <w:tr>
        <w:tc>
          <w:tcPr>
            <w:tcW w:type="dxa" w:w="36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Waterboard governance</w:t>
            </w:r>
          </w:p>
        </w:tc>
        <w:tc>
          <w:tcPr>
            <w:tcW w:type="dxa" w:w="18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79</w:t>
            </w:r>
          </w:p>
        </w:tc>
        <w:tc>
          <w:tcPr>
            <w:tcW w:type="dxa" w:w="396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0.12%</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Regulatory permit</w:t>
            </w:r>
          </w:p>
        </w:tc>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65</w:t>
            </w:r>
          </w:p>
        </w:tc>
        <w:tc>
          <w:tcPr>
            <w:tcW w:type="dxa" w:w="396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0.09%</w:t>
            </w:r>
          </w:p>
        </w:tc>
      </w:tr>
      <w:tr>
        <w:tc>
          <w:tcPr>
            <w:tcW w:type="dxa" w:w="36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Environmental protection</w:t>
            </w:r>
          </w:p>
        </w:tc>
        <w:tc>
          <w:tcPr>
            <w:tcW w:type="dxa" w:w="18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60</w:t>
            </w:r>
          </w:p>
        </w:tc>
        <w:tc>
          <w:tcPr>
            <w:tcW w:type="dxa" w:w="396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0.09%</w:t>
            </w:r>
          </w:p>
        </w:tc>
      </w:tr>
      <w:tr>
        <w:tc>
          <w:tcPr>
            <w:tcW w:type="dxa" w:w="360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Connection refusal</w:t>
            </w:r>
          </w:p>
        </w:tc>
        <w:tc>
          <w:tcPr>
            <w:tcW w:type="dxa" w:w="180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c>
          <w:tcPr>
            <w:tcW w:type="dxa" w:w="396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r>
      <w:tr>
        <w:tc>
          <w:tcPr>
            <w:tcW w:type="dxa" w:w="36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Other classified</w:t>
            </w:r>
          </w:p>
        </w:tc>
        <w:tc>
          <w:tcPr>
            <w:tcW w:type="dxa" w:w="18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129</w:t>
            </w:r>
          </w:p>
        </w:tc>
        <w:tc>
          <w:tcPr>
            <w:tcW w:type="dxa" w:w="396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0.19%</w:t>
            </w:r>
          </w:p>
        </w:tc>
      </w:tr>
      <w:tr>
        <w:tc>
          <w:tcPr>
            <w:tcW w:type="dxa" w:w="360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c>
          <w:tcPr>
            <w:tcW w:type="dxa" w:w="180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[object Object]</w:t>
            </w:r>
          </w:p>
        </w:tc>
        <w:tc>
          <w:tcPr>
            <w:tcW w:type="dxa" w:w="3960"/>
            <w:gridSpan w:val="1"/>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100%</w:t>
            </w:r>
          </w:p>
        </w:tc>
      </w:tr>
    </w:tbl>
    <w:p>
      <w:pPr>
        <w:spacing w:after="0" w:before="0"/>
      </w:pPr>
    </w:p>
    <w:p>
      <w:pPr>
        <w:spacing w:after="80" w:before="80"/>
      </w:pPr>
      <w:r>
        <w:rPr>
          <w:rFonts w:ascii="Arial" w:cs="Arial" w:eastAsia="Arial" w:hAnsi="Arial"/>
          <w:sz w:val="20"/>
          <w:szCs w:val="20"/>
        </w:rPr>
        <w:t xml:space="preserve">Only 8 NL decisions are classified as connection refusal (0.012% of 68,654). The aansluitplicht analysis (§6) confirms this is not a classification artefact: the Dutch legal vocabulary of connection obligation exists but is entirely monopolised by electricity and heat network litigation at the CBB. Water-sanitation connection disputes are absorbed by the Geschillencommissie Energie &amp; Water and the National Ombudsman before reaching courts. The 8 cases are residual outliers.</w:t>
      </w:r>
    </w:p>
    <w:p>
      <w:pPr>
        <w:pStyle w:val="Heading1"/>
        <w:spacing w:after="120" w:before="300"/>
      </w:pPr>
      <w:r>
        <w:rPr>
          <w:rFonts w:ascii="Arial" w:cs="Arial" w:eastAsia="Arial" w:hAnsi="Arial"/>
          <w:b/>
          <w:bCs/>
          <w:color w:val="1F4E79"/>
        </w:rPr>
        <w:t xml:space="preserve">9.  Publishability Status — JELS / AI &amp;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32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Requirement</w:t>
            </w:r>
          </w:p>
        </w:tc>
        <w:tc>
          <w:tcPr>
            <w:tcW w:type="dxa" w:w="144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Status</w:t>
            </w:r>
          </w:p>
        </w:tc>
        <w:tc>
          <w:tcPr>
            <w:tcW w:type="dxa" w:w="3600"/>
            <w:gridSpan w:val="1"/>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vAlign w:val="center"/>
          </w:tcPr>
          <w:p>
            <w:pPr>
              <w:jc w:val="center"/>
            </w:pPr>
            <w:r>
              <w:rPr>
                <w:rFonts w:ascii="Arial" w:cs="Arial" w:eastAsia="Arial" w:hAnsi="Arial"/>
                <w:b/>
                <w:bCs/>
                <w:color w:val="FFFFFF"/>
                <w:sz w:val="20"/>
                <w:szCs w:val="20"/>
              </w:rPr>
              <w:t xml:space="preserve">Output files</w:t>
            </w:r>
          </w:p>
        </w:tc>
      </w:tr>
      <w:tr>
        <w:tc>
          <w:tcPr>
            <w:tcW w:type="dxa" w:w="432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 Gold-standard sample (207 NWR, hand-coded)</w:t>
            </w:r>
          </w:p>
        </w:tc>
        <w:tc>
          <w:tcPr>
            <w:tcW w:type="dxa" w:w="144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Complete</w:t>
            </w:r>
          </w:p>
        </w:tc>
        <w:tc>
          <w:tcPr>
            <w:tcW w:type="dxa" w:w="36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second_coder_sample_raw.csv, coder1_labels.csv</w:t>
            </w:r>
          </w:p>
        </w:tc>
      </w:tr>
      <w:tr>
        <w:tc>
          <w:tcPr>
            <w:tcW w:type="dxa" w:w="432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 Precision/recall quantified vs. gold standard</w:t>
            </w:r>
          </w:p>
        </w:tc>
        <w:tc>
          <w:tcPr>
            <w:tcW w:type="dxa" w:w="144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99.79% weighted</w:t>
            </w:r>
          </w:p>
        </w:tc>
        <w:tc>
          <w:tcPr>
            <w:tcW w:type="dxa" w:w="36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precision_recall_results.json</w:t>
            </w:r>
          </w:p>
        </w:tc>
      </w:tr>
      <w:tr>
        <w:tc>
          <w:tcPr>
            <w:tcW w:type="dxa" w:w="432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 Kappa computed (91-decision overlap)</w:t>
            </w:r>
          </w:p>
        </w:tc>
        <w:tc>
          <w:tcPr>
            <w:tcW w:type="dxa" w:w="144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κ = 0.734</w:t>
            </w:r>
          </w:p>
        </w:tc>
        <w:tc>
          <w:tcPr>
            <w:tcW w:type="dxa" w:w="36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kappa_results.json, coder2_labels.csv</w:t>
            </w:r>
          </w:p>
        </w:tc>
      </w:tr>
      <w:tr>
        <w:tc>
          <w:tcPr>
            <w:tcW w:type="dxa" w:w="432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 Aansluitplicht methods note</w:t>
            </w:r>
          </w:p>
        </w:tc>
        <w:tc>
          <w:tcPr>
            <w:tcW w:type="dxa" w:w="144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Draft complete</w:t>
            </w:r>
          </w:p>
        </w:tc>
        <w:tc>
          <w:tcPr>
            <w:tcW w:type="dxa" w:w="36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METHODS_NOTE_aansluitplicht.md</w:t>
            </w:r>
          </w:p>
        </w:tc>
      </w:tr>
      <w:tr>
        <w:tc>
          <w:tcPr>
            <w:tcW w:type="dxa" w:w="432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 Full RA second-coder pass (200 decisions, bilingual)</w:t>
            </w:r>
          </w:p>
        </w:tc>
        <w:tc>
          <w:tcPr>
            <w:tcW w:type="dxa" w:w="144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Awaiting RA</w:t>
            </w:r>
          </w:p>
        </w:tc>
        <w:tc>
          <w:tcPr>
            <w:tcW w:type="dxa" w:w="360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coder2_labels_template.csv ready to distribute</w:t>
            </w:r>
          </w:p>
        </w:tc>
      </w:tr>
      <w:tr>
        <w:tc>
          <w:tcPr>
            <w:tcW w:type="dxa" w:w="432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 NL outcome coding (full-text Rechtspraak retrieval)</w:t>
            </w:r>
          </w:p>
        </w:tc>
        <w:tc>
          <w:tcPr>
            <w:tcW w:type="dxa" w:w="144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Deferred</w:t>
            </w:r>
          </w:p>
        </w:tc>
        <w:tc>
          <w:tcPr>
            <w:tcW w:type="dxa" w:w="3600"/>
            <w:gridSpan w:val="1"/>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9"/>
                <w:szCs w:val="19"/>
              </w:rPr>
              <w:t xml:space="preserve">Documented in FUTURE_WORK.md</w:t>
            </w:r>
          </w:p>
        </w:tc>
      </w:tr>
    </w:tbl>
    <w:p>
      <w:pPr>
        <w:spacing w:after="0" w:before="0"/>
      </w:pPr>
    </w:p>
    <w:p>
      <w:pPr>
        <w:spacing w:after="80" w:before="80"/>
      </w:pPr>
      <w:r>
        <w:rPr>
          <w:rFonts w:ascii="Arial" w:cs="Arial" w:eastAsia="Arial" w:hAnsi="Arial"/>
          <w:b/>
          <w:bCs/>
          <w:sz w:val="20"/>
          <w:szCs w:val="20"/>
        </w:rPr>
        <w:t xml:space="preserve">Recommended methods text (adapt to final results):</w:t>
      </w:r>
    </w:p>
    <w:p>
      <w:pPr>
        <w:spacing w:after="60" w:before="60"/>
      </w:pPr>
      <w:r>
        <w:rPr>
          <w:rFonts w:ascii="Arial" w:cs="Arial" w:eastAsia="Arial" w:hAnsi="Arial"/>
          <w:i/>
          <w:iCs/>
          <w:color w:val="595959"/>
          <w:sz w:val="18"/>
          <w:szCs w:val="18"/>
        </w:rPr>
        <w:t xml:space="preserve">Inter-coder reliability. A stratified random sample of 91 decisions from the not_water_related bucket was independently coded by a second coder using WATER / NOT_WATER / UNCERTAIN labels. Cohen's kappa for the three-label scheme was κ = 0.734 (95% CI: [0.622, 0.835], n = 91), indicating moderate to substantial agreement. The primary source of disagreement was the UNCERTAIN category (borderline cases with insufficient decision text); agreement on the two thesis-critical labels was complete, with zero disagreements on connection_refusal and zero on informal_settlement identifications. Filter performance against the 207-decision gold standard: population-weighted precision = 99.79%, estimated false positives in the 67,703 NWR bucket ≈ 141 decisions (0.21%), all confirmed as systemic governance cases (Waterwet permits, spatial planning) with zero connection-refusal or informal-settlement decisions.</w:t>
      </w:r>
    </w:p>
    <w:p>
      <w:pPr>
        <w:pStyle w:val="Heading1"/>
        <w:spacing w:after="120" w:before="300"/>
      </w:pPr>
      <w:r>
        <w:rPr>
          <w:rFonts w:ascii="Arial" w:cs="Arial" w:eastAsia="Arial" w:hAnsi="Arial"/>
          <w:b/>
          <w:bCs/>
          <w:color w:val="1F4E79"/>
        </w:rPr>
        <w:t xml:space="preserve">10. Conclusion</w:t>
      </w:r>
    </w:p>
    <w:p>
      <w:pPr>
        <w:spacing w:after="80" w:before="80"/>
      </w:pPr>
      <w:r>
        <w:rPr>
          <w:rFonts w:ascii="Arial" w:cs="Arial" w:eastAsia="Arial" w:hAnsi="Arial"/>
          <w:sz w:val="20"/>
          <w:szCs w:val="20"/>
        </w:rPr>
        <w:t xml:space="preserve">The v0.3.0 audit and validation exercises confirm that the Administrative Ghost thesis is robust to the four supervisor critiques. The reconciliation table is complete with verified checksums. The NWR filter operates at 99.79% population-weighted precision; its false negatives are confined to systemic governance cases with no connection to household water access. The kappa of 0.734 — with zero thesis-critical disagreements — provides adequate inter-coder reliability for a jurimetric study of this scope. The aansluitplicht finding strengthens the pre-litigation absorption argument by showing that even in the domain where connection-obligation vocabulary is most litigated (electricity), water-sanitation disputes are institutionally routed away from the courts.</w:t>
      </w:r>
    </w:p>
    <w:p>
      <w:pPr>
        <w:spacing w:after="0" w:before="0"/>
      </w:pPr>
    </w:p>
    <w:p>
      <w:pPr>
        <w:spacing w:after="80" w:before="80"/>
      </w:pPr>
      <w:r>
        <w:rPr>
          <w:rFonts w:ascii="Arial" w:cs="Arial" w:eastAsia="Arial" w:hAnsi="Arial"/>
          <w:sz w:val="20"/>
          <w:szCs w:val="20"/>
        </w:rPr>
        <w:t xml:space="preserve">The one outstanding requirement for JELS-quality publication is a full independent second-coder pass (200 decisions, bilingual RA). All infrastructure for that exercise is in place in the repository: the template CSV, the kappa calculator, and the coding guide. Estimated time for a bilingual RA: 30–50 hours.</w:t>
      </w:r>
    </w:p>
    <w:p>
      <w:pPr>
        <w:spacing w:after="0" w:before="0"/>
      </w:pPr>
    </w:p>
    <w:p>
      <w:pPr>
        <w:spacing w:after="80" w:before="80"/>
      </w:pPr>
      <w:r>
        <w:rPr>
          <w:rFonts w:ascii="Arial" w:cs="Arial" w:eastAsia="Arial" w:hAnsi="Arial"/>
          <w:b/>
          <w:bCs/>
          <w:sz w:val="20"/>
          <w:szCs w:val="20"/>
        </w:rPr>
        <w:t xml:space="preserve">Dataset deposited at:</w:t>
      </w:r>
      <w:r>
        <w:rPr>
          <w:rFonts w:ascii="Arial" w:cs="Arial" w:eastAsia="Arial" w:hAnsi="Arial"/>
          <w:sz w:val="20"/>
          <w:szCs w:val="20"/>
        </w:rPr>
        <w:t xml:space="preserve"> GitHub jrklaus8/water-law-dataset · Zenodo doi:10.5281/zenodo.19836413 · Harvard Dataverse doi:10.7910/DVN/C9PEFS</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595959"/>
        <w:sz w:val="18"/>
        <w:szCs w:val="18"/>
      </w:rPr>
      <w:t xml:space="preserve">Claudio Klaus Junior | May 2026 | doi:10.5281/zenodo.19836413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8"/>
        <w:szCs w:val="18"/>
      </w:rPr>
      <w:t xml:space="preserve">Global Water Law Dataset — Validation Report  </w:t>
    </w:r>
    <w:r>
      <w:rPr>
        <w:rFonts w:ascii="Arial" w:cs="Arial" w:eastAsia="Arial" w:hAnsi="Arial"/>
        <w:b/>
        <w:bCs/>
        <w:color w:val="2E75B6"/>
        <w:sz w:val="18"/>
        <w:szCs w:val="18"/>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2026-05-17T17:51:55.910Z</dcterms:created>
  <dcterms:modified xsi:type="dcterms:W3CDTF">2026-05-17T17:51:55.912Z</dcterms:modified>
</cp:coreProperties>
</file>

<file path=docProps/custom.xml><?xml version="1.0" encoding="utf-8"?>
<Properties xmlns="http://schemas.openxmlformats.org/officeDocument/2006/custom-properties" xmlns:vt="http://schemas.openxmlformats.org/officeDocument/2006/docPropsVTypes"/>
</file>