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expansion of water and sanitation infrastructure does not automatically guarantee household connection or effective use where legal, regulatory, and administrative conditions—such as eligibility screening, tenure and documentation rules, tariffs, bureaucratic discretion, and enforcement—operate as barriers at the</w:t>
      </w:r>
      <w:r>
        <w:t xml:space="preserve"> </w:t>
      </w:r>
      <w:r>
        <w:t xml:space="preserve">‘</w:t>
      </w:r>
      <w:r>
        <w:t xml:space="preserve">legal last mile.</w:t>
      </w:r>
      <w:r>
        <w:t xml:space="preserve">’</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1,080 reports (representing 1,078 distinct studies; 1,076 counting partial sample overlaps) were included and extracted into a 1,080-row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1,080 included reports (1,078 distinct studies; 85% since 2010) spanned many countries (India, Brazil, South Africa, the United States and Ghana the most frequent), but only 63 (6%) used designs able to support a causal claim. 60 studies had an extractable effect-size row; none could be pooled. In three SWiM families the direction of association was mostly favourable for legal-status, tenure and recognition mechanisms (Family A, k = 18), uniformly favourable or mixed for assistance, participation, trust and external-support mechanisms (Family B, k = 6), and without a dominant direction for ownership, regulation, institutional-capacity and administrative-structure mechanisms (Family C, k = 20); the families are thematic mechanism groupings, not homogeneous exposure–outcome pairs. The author independently confirmed 197 chronological full-text inclusions (S001–S200 net of 3 later retirements) and adjudicated a further 214 full-text records (146 exclusions, 68 inclusions) in the scope, consistency and audit passes (A6, A16, A19, A22–A25), so 411 of the 2,277 full-text decisions (18.1%) carry human verification or adjudication; no extracted value has been independently verified.</w:t>
      </w:r>
    </w:p>
    <w:p>
      <w:pPr>
        <w:pStyle w:val="BodyText"/>
      </w:pPr>
      <w:r>
        <w:rPr>
          <w:bCs/>
          <w:b/>
        </w:rPr>
        <w:t xml:space="preserve">Conclusions.</w:t>
      </w:r>
      <w:r>
        <w:t xml:space="preserve"> </w:t>
      </w:r>
      <w:r>
        <w:t xml:space="preserve">The empirical literature extensively documents associations between legal and administrative conditions and household water and sanitation access across diverse institutional contexts, but rarely employs designs capable of isolating causal effects and does not support a single pooled meta-analytic estimate. Overall certainty for causal or cross-jurisdictional magnitude claims remains low to very low, underscoring the need for quasi-experimental and comparative socio-legal designs targeting specific administrative rules.</w:t>
      </w:r>
    </w:p>
    <w:p>
      <w:pPr>
        <w:pStyle w:val="BodyText"/>
      </w:pPr>
      <w:r>
        <w:rPr>
          <w:bCs/>
          <w:b/>
        </w:rPr>
        <w:t xml:space="preserve">Registration.</w:t>
      </w:r>
      <w:r>
        <w:t xml:space="preserve"> </w:t>
      </w:r>
      <w:r>
        <w:t xml:space="preserve">Not registered before the work was done. The protocol was fixed in writing on 2026-08-22 (git commit</w:t>
      </w:r>
      <w:r>
        <w:t xml:space="preserve"> </w:t>
      </w:r>
      <w:r>
        <w:rPr>
          <w:rStyle w:val="VerbatimChar"/>
        </w:rPr>
        <w:t xml:space="preserve">d591062</w:t>
      </w:r>
      <w:r>
        <w:t xml:space="preserve">),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(Page et al., 2021), and SWiM guidance for synthesis without meta-analysis (Campbell et al., 2020).</w:t>
      </w:r>
      <w:r>
        <w:t xml:space="preserve"> </w:t>
      </w:r>
      <w:r>
        <w:rPr>
          <w:bCs/>
          <w:b/>
        </w:rPr>
        <w:t xml:space="preserve">The protocol was not registered before the work was done.</w:t>
      </w:r>
      <w:r>
        <w:t xml:space="preserve"> </w:t>
      </w:r>
      <w:r>
        <w:t xml:space="preserve">It was fixed in writing on 2026-08-22 (git commit</w:t>
      </w:r>
      <w:r>
        <w:t xml:space="preserve"> </w:t>
      </w:r>
      <w:r>
        <w:rPr>
          <w:rStyle w:val="VerbatimChar"/>
        </w:rPr>
        <w:t xml:space="preserve">d591062</w:t>
      </w:r>
      <w:r>
        <w:t xml:space="preserve">),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w:t>
      </w:r>
      <w:r>
        <w:rPr>
          <w:rStyle w:val="VerbatimChar"/>
        </w:rPr>
        <w:t xml:space="preserve">00_admin/preregistration/osf_preregistration_draft.md</w:t>
      </w:r>
      <w:r>
        <w:t xml:space="preserve">)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w:t>
      </w:r>
      <w:r>
        <w:t xml:space="preserve"> </w:t>
      </w:r>
      <w:r>
        <w:rPr>
          <w:rStyle w:val="VerbatimChar"/>
        </w:rPr>
        <w:t xml:space="preserve">CHANGELOG.md</w:t>
      </w:r>
      <w:r>
        <w:t xml:space="preserve">: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about half of a sample of the AI’s full-text exclusions, the author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(open items A6, A16, A19, and A22 to A25) applying criterion 3 (no primary data and no systematic method, code E05), criterion 4 (the outcome is not a household access outcome, E04) and the exposure test (E03); in these passes 83 included reports were moved to the exclusions and three exclusions to the inclusions. Eligibility never depends on the significance, magnitude or direction of a study’s estimate (clarification of 2026-10-14).</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the human reviewer (the author) covered the 3,665 title/abstract records the AI marked include or unsure, and confirmed 197 of the 1,080 full-text includes; the author then adjudicated 214 further full-text decisions, so 411 of the 2,277 decisions (18.1%) carry human verification or adjudication. Full-text retrieval was closed by the author’s decision on 2026-09-28 with 1,382 title/abstract includes never assessed; the unassessed set is older on average (see 3.1). The 1,080 included items are reports, describing 1,078 distinct studies on the definite same-data links (1,076 counting the partial overlaps); no companion report was collapsed.</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10 studies were extracted from abstract or metadata only and an audit found further rows with signs of shallow extraction (Limitations). The AI later re-read 127 studies from full texts found in the researcher’s Drive; of the 76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(58), JBI cross-sectional (130),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0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author’s review (four studies the mapping could not place were excluded), and the original labels are preserved; the mapping is mechanical and unvalidated, and a human has not checked it. Free-text study-design labels were mapped to the design list (eight values plus</w:t>
      </w:r>
      <w:r>
        <w:t xml:space="preserve"> </w:t>
      </w:r>
      <w:r>
        <w:rPr>
          <w:rStyle w:val="VerbatimChar"/>
        </w:rPr>
        <w:t xml:space="preserve">other</w:t>
      </w:r>
      <w:r>
        <w:t xml:space="preserve">) in the same way. A feasibility judgment (</w:t>
      </w:r>
      <w:r>
        <w:rPr>
          <w:rStyle w:val="VerbatimChar"/>
        </w:rPr>
        <w:t xml:space="preserve">phase11_quantitative_feasibility_judgment.md</w:t>
      </w:r>
      <w:r>
        <w:t xml:space="preserve">) concluded that no family reaches the bar for meta-analysis, so 60 effect-size rows were compiled into three structured syntheses reporting direction and significance of each study’s own estimate (SWiM). The family assignments were made by judgement and organise the write-up only: on a keyword reading of the exposure definitions, 28 of 44 family-assigned rows sit outside the wording of the family they were placed in (</w:t>
      </w:r>
      <w:r>
        <w:rPr>
          <w:rStyle w:val="VerbatimChar"/>
        </w:rPr>
        <w:t xml:space="preserve">05_analysis/effect_sizes/FAMILY_FIT_AUDIT_2026-10-04.md</w:t>
      </w:r>
      <w:r>
        <w:t xml:space="preserve">),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Sensitivity analyses removed abstract-only and shallow extractions, linked reports and two coding judgment calls, and would remove the rows of studies not flagged eligible (none remain since S589’s row was taken out on 2026-10-14); they are reported as a supplementary table (</w:t>
      </w:r>
      <w:r>
        <w:rPr>
          <w:rStyle w:val="VerbatimChar"/>
        </w:rPr>
        <w:t xml:space="preserve">05_analysis/sensitivity/SENSITIVITY_ANALYSIS_2026-09-28.md</w:t>
      </w:r>
      <w:r>
        <w:t xml:space="preserve">), a standing pre-publication requirement, and the direction coding itself still awaits human verification on a sample.</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1,080 full-text includes; no extracted value or risk-of-bias rating has been independently verified against source papers, and the researcher adjudicated 214 further full-text decisions (146 exclusions, 68 inclusions; open items A16, A19, A22 to A25 and A6), so 411 of the 2,277 full-text decisions (18.1%) carry human verification or adjudication, but the remaining AI full-text decisions have not been checked by a human.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2,277 of 3,659 records were assessed and 1,382 were never assessed (1,200 not retrievable, 182 for which the wrong file was obtained). Of the 2,277 assessed, 1,197 were excluded (151 because the full text was inaccessible; reasons for the others are in</w:t>
      </w:r>
      <w:r>
        <w:t xml:space="preserve"> </w:t>
      </w:r>
      <w:r>
        <w:rPr>
          <w:rStyle w:val="VerbatimChar"/>
        </w:rPr>
        <w:t xml:space="preserve">exclusion_log.csv</w:t>
      </w:r>
      <w:r>
        <w:t xml:space="preserve">) and 1,080 were included (1,080 extraction rows, one per included report). The 1,080 reports describe 1,078 distinct studies on the two definite same-data links (S294/S366, S097/S098) and 1,076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86</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29</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1,080 studies; 913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under open item A20, with the original strings kept in</w:t>
      </w:r>
      <w:r>
        <w:t xml:space="preserve"> </w:t>
      </w:r>
      <w:r>
        <w:rPr>
          <w:rStyle w:val="VerbatimChar"/>
        </w:rPr>
        <w:t xml:space="preserve">evidence_map_original_labels_2026-10-14.csv</w:t>
      </w:r>
      <w:r>
        <w:t xml:space="preserve">,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143, quasi-experimental 62, doctrinal 54, jurimetric 36, secondary systematic reviews 20, experimental 5, other 2. By appraisal tool: RoB 2 5, ROBINS-I 58, JBI Cross-Sectional 130,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63 (6%) — 58 quasi-experimental studies and 5 randomised trials (which are 4 distinct trials, see Section 3.4). 32 studies carry a numeric mechanism-certainty of 3 or 4 (the codebook’s quasi-experimental or experimental evidence),</w:t>
      </w:r>
      <w:r>
        <w:t xml:space="preserve"> </w:t>
      </w:r>
      <w:r>
        <w:rPr>
          <w:bCs/>
          <w:b/>
        </w:rPr>
        <w:t xml:space="preserve">but only 10 of them are among the 63 ROBINS-I/RoB 2 studies; the other 22 are other designs, a coding inconsistency the audit flags</w:t>
      </w:r>
      <w:r>
        <w:t xml:space="preserve"> </w:t>
      </w:r>
      <w:r>
        <w:t xml:space="preserve">(</w:t>
      </w:r>
      <w:r>
        <w:rPr>
          <w:rStyle w:val="VerbatimChar"/>
        </w:rPr>
        <w:t xml:space="preserve">DATA_QUALITY_AUDIT_2026-09-29.md</w:t>
      </w:r>
      <w:r>
        <w:t xml:space="preserve"> </w:t>
      </w:r>
      <w:r>
        <w:t xml:space="preserve">§5); 209 sit at level 1 (documented association) and 268 at level 2; 567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64,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511, mixed / both / customary 177, other 3.</w:t>
      </w:r>
    </w:p>
    <w:p>
      <w:pPr>
        <w:numPr>
          <w:ilvl w:val="0"/>
          <w:numId w:val="1001"/>
        </w:numPr>
        <w:pStyle w:val="Compact"/>
      </w:pPr>
      <w:r>
        <w:rPr>
          <w:bCs/>
          <w:b/>
        </w:rPr>
        <w:t xml:space="preserve">Setting and language:</w:t>
      </w:r>
      <w:r>
        <w:t xml:space="preserve"> </w:t>
      </w:r>
      <w:r>
        <w:t xml:space="preserve">urban (incl. informal settlements) 512, rural 274, mixed/both 242, peri-urban 27, blank/other 25; English 999 of 1,080 studies, Spanish 30, Portuguese 21,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950</w:t>
            </w:r>
          </w:p>
        </w:tc>
      </w:tr>
      <w:tr>
        <w:tc>
          <w:tcPr/>
          <w:p>
            <w:pPr>
              <w:pStyle w:val="Compact"/>
              <w:jc w:val="left"/>
            </w:pPr>
            <w:r>
              <w:rPr>
                <w:rStyle w:val="VerbatimChar"/>
              </w:rPr>
              <w:t xml:space="preserve">discretion_accommodation</w:t>
            </w:r>
          </w:p>
        </w:tc>
        <w:tc>
          <w:tcPr/>
          <w:p>
            <w:pPr>
              <w:pStyle w:val="Compact"/>
              <w:jc w:val="left"/>
            </w:pPr>
            <w:r>
              <w:t xml:space="preserve">583</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561</w:t>
            </w:r>
          </w:p>
        </w:tc>
      </w:tr>
      <w:tr>
        <w:tc>
          <w:tcPr/>
          <w:p>
            <w:pPr>
              <w:pStyle w:val="Compact"/>
              <w:jc w:val="left"/>
            </w:pPr>
            <w:r>
              <w:rPr>
                <w:rStyle w:val="VerbatimChar"/>
              </w:rPr>
              <w:t xml:space="preserve">fees</w:t>
            </w:r>
          </w:p>
        </w:tc>
        <w:tc>
          <w:tcPr/>
          <w:p>
            <w:pPr>
              <w:pStyle w:val="Compact"/>
              <w:jc w:val="left"/>
            </w:pPr>
            <w:r>
              <w:t xml:space="preserve">535</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535</w:t>
            </w:r>
          </w:p>
        </w:tc>
      </w:tr>
      <w:tr>
        <w:tc>
          <w:tcPr/>
          <w:p>
            <w:pPr>
              <w:pStyle w:val="Compact"/>
              <w:jc w:val="left"/>
            </w:pPr>
            <w:r>
              <w:rPr>
                <w:rStyle w:val="VerbatimChar"/>
              </w:rPr>
              <w:t xml:space="preserve">service_area</w:t>
            </w:r>
          </w:p>
        </w:tc>
        <w:tc>
          <w:tcPr/>
          <w:p>
            <w:pPr>
              <w:pStyle w:val="Compact"/>
              <w:jc w:val="left"/>
            </w:pPr>
            <w:r>
              <w:t xml:space="preserve">477</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461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419</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367</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411</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205</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104</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(583) and fees/tariffs (535) are the most frequently coded mechanisms; formal-connection (561) and affordability (490) outcomes are well represented, while sanitation access (419) is coded about half as often as water access (950). Mechanisms concerning redress and review — administrative review (69), judicial review (64), complaint (124), reconnection (22) — and application outcomes (refusal 104, delay 95, success 73)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130 JBI cross-sectional studies, 51 were rated</w:t>
      </w:r>
      <w:r>
        <w:t xml:space="preserve"> </w:t>
      </w:r>
      <w:r>
        <w:t xml:space="preserve">‘</w:t>
      </w:r>
      <w:r>
        <w:t xml:space="preserve">high concern</w:t>
      </w:r>
      <w:r>
        <w:t xml:space="preserve">’</w:t>
      </w:r>
      <w:r>
        <w:t xml:space="preserve">, largely reflecting sparse extraction rather than demonstrated weakness. ROBINS-I ratings: Moderate 49, Serious 9. RoB 2 ratings: Some concerns 5; two of the randomised-trial studies (S294 and S366) report the same trial. A numeric mechanism-certainty code of 3 or 4 (quasi-experimental or experimental) was recorded for 32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w:t>
      </w:r>
      <w:r>
        <w:rPr>
          <w:rStyle w:val="VerbatimChar"/>
        </w:rPr>
        <w:t xml:space="preserve">RISK_OF_BIAS.md</w:t>
      </w:r>
      <w:r>
        <w:t xml:space="preserve"> </w:t>
      </w:r>
      <w:r>
        <w:t xml:space="preserve">§4). On 2026-10-14 the PI ruled on all of them (open item A25):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 at most one weak signal (the word</w:t>
      </w:r>
      <w:r>
        <w:t xml:space="preserve"> </w:t>
      </w:r>
      <w:r>
        <w:t xml:space="preserve">“</w:t>
      </w:r>
      <w:r>
        <w:t xml:space="preserve">systematic</w:t>
      </w:r>
      <w:r>
        <w:t xml:space="preserve">”</w:t>
      </w:r>
      <w:r>
        <w:t xml:space="preserve"> </w:t>
      </w:r>
      <w:r>
        <w:t xml:space="preserve">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18 of the 18 received a formal AMSTAR 2 confidence rating</w:t>
      </w:r>
      <w:r>
        <w:t xml:space="preserve"> </w:t>
      </w:r>
      <w:r>
        <w:t xml:space="preserve">(S015 Critically Low, S019 Critically Low, S027 Critically Low, S052 Critically Low, S116 Critically Low, S319 Critically Low, S325 Critically Low, S344 Critically Low, S350 Critically Low, S370 Critically Low, S372 Critically Low, S418 Critically Low, S427 Critically Low, S438 Critically Low, S475 Critically Low, S521 Critically Low, S537 Low, S1168 Critically Low; 17 of the 18 are Critically Low; the others are S537 Low, mostly because of missing protocols, single-database searches, no list of excluded studies or no appraisal of the included studies); the other 0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0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60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18</w:t>
            </w:r>
          </w:p>
        </w:tc>
        <w:tc>
          <w:tcPr/>
          <w:p>
            <w:pPr>
              <w:pStyle w:val="Compact"/>
              <w:jc w:val="left"/>
            </w:pPr>
            <w:r>
              <w:t xml:space="preserve">11 / 5 / 2 / 0</w:t>
            </w:r>
          </w:p>
        </w:tc>
        <w:tc>
          <w:tcPr/>
          <w:p>
            <w:pPr>
              <w:pStyle w:val="Compact"/>
              <w:jc w:val="left"/>
            </w:pPr>
            <w:r>
              <w:rPr>
                <w:rStyle w:val="VerbatimChar"/>
              </w:rPr>
              <w:t xml:space="preserve">family_A_swim_synthesis_2026-09-28.md</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ownership, regulation, institutional capacity and administrative structure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w:t>
      </w:r>
      <w:r>
        <w:rPr>
          <w:rStyle w:val="VerbatimChar"/>
        </w:rPr>
        <w:t xml:space="preserve">PROJECT_SPEC.md</w:t>
      </w:r>
      <w:r>
        <w:t xml:space="preserve"> </w:t>
      </w:r>
      <w:r>
        <w:t xml:space="preserve">§8, dated note; open item A21).</w:t>
      </w:r>
    </w:p>
    <w:p>
      <w:pPr>
        <w:pStyle w:val="BodyText"/>
      </w:pPr>
      <w:r>
        <w:rPr>
          <w:bCs/>
          <w:b/>
        </w:rPr>
        <w:t xml:space="preserve">Where studies agree.</w:t>
      </w:r>
      <w:r>
        <w:t xml:space="preserve"> </w:t>
      </w:r>
      <w:r>
        <w:t xml:space="preserve">In Family A, 13 of 18 (72.2%)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(10 positive-sign studies plus 3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and dropping Family A’s two coding judgment calls — the pre-stated conclusion tests for A, B and C hold; Family A’s concordant share ranges 68.8–72.2%.</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(848 studies by design class, plus 0 with unmapped free-text design labels) is qualitative, mixed-methods or documentary rather than quantitative. Using the mechanism vocabulary adopted on 2026-10-14 (</w:t>
      </w:r>
      <w:r>
        <w:rPr>
          <w:rStyle w:val="VerbatimChar"/>
        </w:rPr>
        <w:t xml:space="preserve">FAMILY_VOCABULARY_PROPOSAL_2026-09-28.md</w:t>
      </w:r>
      <w:r>
        <w:t xml:space="preserve">,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497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(original) mechanism label beside the adopted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555 (51%) of studies sit in the ten commonest single countries.</w:t>
      </w:r>
    </w:p>
    <w:p>
      <w:pPr>
        <w:numPr>
          <w:ilvl w:val="0"/>
          <w:numId w:val="1004"/>
        </w:numPr>
        <w:pStyle w:val="Compact"/>
      </w:pPr>
      <w:r>
        <w:rPr>
          <w:bCs/>
          <w:b/>
        </w:rPr>
        <w:t xml:space="preserve">Design:</w:t>
      </w:r>
      <w:r>
        <w:t xml:space="preserve"> </w:t>
      </w:r>
      <w:r>
        <w:t xml:space="preserve">5 randomised trials (4 distinct) and 58 quasi-experimental studies against 426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63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13 of 18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197 full-text includes were human-confirmed and 214 further decisions were adjudicated by the researcher, 73 decided rows had no reviewer recorded at the time (the label was inferred afterwards),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532 further includes if the models were right, and an AI triage of the same records puts about 37 under a narrow reading of the criteria (arithmetic only), so the exclusion log may understate the eligible literature substantially; in the other direction, the models would exclude 3 of 40 sampled unconfirmed includes, roughly 66 of the unconfirmed includes if the rate held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130 JBI ratings are</w:t>
      </w:r>
      <w:r>
        <w:t xml:space="preserve"> </w:t>
      </w:r>
      <w:r>
        <w:t xml:space="preserve">‘</w:t>
      </w:r>
      <w:r>
        <w:t xml:space="preserve">high concern</w:t>
      </w:r>
      <w:r>
        <w:t xml:space="preserve">’</w:t>
      </w:r>
      <w:r>
        <w:t xml:space="preserve"> </w:t>
      </w:r>
      <w:r>
        <w:t xml:space="preserve">largely reflecting sparse extraction; only 18 of 18 AMSTAR 2 reviews could be given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60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and followed by consistency passes (open items A16 and A22 to A25) that moved 83 included reports to the exclusions and three exclusions to the inclusions. It is a post-hoc clarification, not an a priori rule; the wording of the criterion is unchanged, and a different reading would change the included set (</w:t>
      </w:r>
      <w:r>
        <w:rPr>
          <w:rStyle w:val="VerbatimChar"/>
        </w:rPr>
        <w:t xml:space="preserve">INCLUSION_EXCLUSION.md</w:t>
      </w:r>
      <w:r>
        <w:t xml:space="preserve">,</w:t>
      </w:r>
      <w:r>
        <w:t xml:space="preserve"> </w:t>
      </w:r>
      <w:r>
        <w:rPr>
          <w:rStyle w:val="VerbatimChar"/>
        </w:rPr>
        <w:t xml:space="preserve">CHANGELOG.md</w:t>
      </w:r>
      <w:r>
        <w:t xml:space="preserve">).</w:t>
      </w:r>
    </w:p>
    <w:p>
      <w:pPr>
        <w:numPr>
          <w:ilvl w:val="0"/>
          <w:numId w:val="1006"/>
        </w:numPr>
        <w:pStyle w:val="Compact"/>
      </w:pPr>
      <w:r>
        <w:rPr>
          <w:bCs/>
          <w:b/>
        </w:rPr>
        <w:t xml:space="preserve">Counts are of reports.</w:t>
      </w:r>
      <w:r>
        <w:t xml:space="preserve"> </w:t>
      </w:r>
      <w:r>
        <w:t xml:space="preserve">The 1,080 included items are reports: they describe 1,078 distinct studies on the definite same-data links (1,076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1,197 full-text excludes are E10 (inaccessible text), i.e. never judged on content.</w:t>
      </w:r>
    </w:p>
    <w:p>
      <w:pPr>
        <w:numPr>
          <w:ilvl w:val="0"/>
          <w:numId w:val="1007"/>
        </w:numPr>
        <w:pStyle w:val="Compact"/>
      </w:pPr>
      <w:r>
        <w:t xml:space="preserve">Every full-text decision is the AI’s; a human confirmed 197 includes (S001–S200) and no excludes; 73 decided rows had no reviewer label recorded at the time (an AI label was inferred for them on 2026-10-14 from the exclusion log and extraction records, open item A2).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121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532 further includes if the models were right, and about 37 even under a narrow reading of criterion 2 by an AI triage of the same records (arithmetic only, against 1,080 current includes); if even a fraction are eligible, the exclusion log and every count built on it are understated. In the other direction the models would exclude 3 of 40 sampled includes beyond S001–S200, roughly 66 (range 23–175) of the unconfirmed includes if the rate held — a precision question that the human second-screening of includes would settle.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53 more rows with at least one sign of shallow extraction — 0 whose own notes say only the abstract or citation was read and 15 whose recorded location cites the abstract alone (a verification queue, not proof) — of which 1 carry effect-size rows. There is no second extractor: extracted values have not been checked against the source papers.</w:t>
      </w:r>
    </w:p>
    <w:p>
      <w:pPr>
        <w:numPr>
          <w:ilvl w:val="0"/>
          <w:numId w:val="1008"/>
        </w:numPr>
        <w:pStyle w:val="Compact"/>
      </w:pPr>
      <w:r>
        <w:t xml:space="preserve">51 of 130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60 effect-size rows, 9 give a confidence interval and 26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(63 of 1,080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 API and subscription costs for Anthropic Claude and OpenAI Codex were paid personally by the author, and Google Gemini runs (</w:t>
      </w:r>
      <w:r>
        <w:rPr>
          <w:rStyle w:val="VerbatimChar"/>
        </w:rPr>
        <w:t xml:space="preserve">gemini-3.1-flash-lite</w:t>
      </w:r>
      <w:r>
        <w:t xml:space="preserve">) used the author’s free-tier API key; no external, institutional, or vendor funding was received.</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 The author has no employment, consulting, equity or other financial or non-financial relationship with Anthropic, OpenAI, Google or any other AI vendor whose models were used in this project.</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w:t>
      </w:r>
    </w:p>
    <w:p>
      <w:pPr>
        <w:numPr>
          <w:ilvl w:val="0"/>
          <w:numId w:val="1009"/>
        </w:numPr>
        <w:pStyle w:val="Compact"/>
      </w:pPr>
      <w:r>
        <w:rPr>
          <w:bCs/>
          <w:b/>
        </w:rPr>
        <w:t xml:space="preserve">Author contributions (CRediT):</w:t>
      </w:r>
      <w:r>
        <w:t xml:space="preserve"> </w:t>
      </w:r>
      <w:r>
        <w:t xml:space="preserve">Claudio Klaus: Conceptualization, Data curation, Formal analysis, Funding acquisition (self-funded), Investigation, Methodology, Project administration, Resources, Software, Supervision, Validation, Visualization, Writing – original draft (direction and revision of AI-assisted synthesis; see AI_USE_STATEMENT.md), Writing – review &amp; editing. The AI tools used (Anthropic Claude, OpenAI Codex, Google Gemini) are not authors; the AI-assisted stages are described in</w:t>
      </w:r>
      <w:r>
        <w:t xml:space="preserve"> </w:t>
      </w:r>
      <w:r>
        <w:rPr>
          <w:rStyle w:val="VerbatimChar"/>
        </w:rPr>
        <w:t xml:space="preserve">AI_USE_STATEMENT.md</w:t>
      </w:r>
      <w:r>
        <w:t xml:space="preserve">.</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release</w:t>
      </w:r>
      <w:r>
        <w:t xml:space="preserve"> </w:t>
      </w:r>
      <w:r>
        <w:rPr>
          <w:rStyle w:val="VerbatimChar"/>
        </w:rPr>
        <w:t xml:space="preserve">0.2.0-interim</w:t>
      </w:r>
      <w:r>
        <w:t xml:space="preserve"> </w:t>
      </w:r>
      <w:r>
        <w:t xml:space="preserve">(tag</w:t>
      </w:r>
      <w:r>
        <w:t xml:space="preserve"> </w:t>
      </w:r>
      <w:r>
        <w:rPr>
          <w:rStyle w:val="VerbatimChar"/>
        </w:rPr>
        <w:t xml:space="preserve">v0.2.0-interim</w:t>
      </w:r>
      <w:r>
        <w:t xml:space="preserve">); source PDFs are not redistributed.</w:t>
      </w:r>
    </w:p>
    <w:p>
      <w:pPr>
        <w:numPr>
          <w:ilvl w:val="0"/>
          <w:numId w:val="1009"/>
        </w:numPr>
        <w:pStyle w:val="Compact"/>
      </w:pPr>
      <w:r>
        <w:rPr>
          <w:bCs/>
          <w:b/>
        </w:rPr>
        <w:t xml:space="preserve">Ethics:</w:t>
      </w:r>
      <w:r>
        <w:t xml:space="preserve"> </w:t>
      </w:r>
      <w:r>
        <w:t xml:space="preserve">Ethics approval was not required for this study as it is a systematic review of published and grey literature involving no primary data collection from human participants.</w:t>
      </w:r>
    </w:p>
    <w:bookmarkEnd w:id="48"/>
    <w:bookmarkStart w:id="49" w:name="references"/>
    <w:p>
      <w:pPr>
        <w:pStyle w:val="Heading2"/>
      </w:pPr>
      <w:r>
        <w:t xml:space="preserve">References</w:t>
      </w:r>
    </w:p>
    <w:p>
      <w:pPr>
        <w:pStyle w:val="FirstParagraph"/>
      </w:pPr>
      <w:r>
        <w:t xml:space="preserve">Campbell, M., McKenzie, J. E., Sowden, A., Katikireddi, S. V., Brennan, S. E., Ellis, S., et al. (2020). Synthesis without meta-analysis (SWiM) in systematic reviews: reporting guideline.</w:t>
      </w:r>
      <w:r>
        <w:t xml:space="preserve"> </w:t>
      </w:r>
      <w:r>
        <w:rPr>
          <w:iCs/>
          <w:i/>
        </w:rPr>
        <w:t xml:space="preserve">BMJ</w:t>
      </w:r>
      <w:r>
        <w:t xml:space="preserve">, 368, l6890. https://doi.org/10.1136/bmj.l6890</w:t>
      </w:r>
    </w:p>
    <w:p>
      <w:pPr>
        <w:pStyle w:val="BodyText"/>
      </w:pPr>
      <w:r>
        <w:t xml:space="preserve">Page, M. J., McKenzie, J. E., Bossuyt, P. M., Boutron, I., Hoffmann, T. C., Mulrow, C. D., et al. (2021). The PRISMA 2020 statement: an updated guideline for reporting systematic reviews.</w:t>
      </w:r>
      <w:r>
        <w:t xml:space="preserve"> </w:t>
      </w:r>
      <w:r>
        <w:rPr>
          <w:iCs/>
          <w:i/>
        </w:rPr>
        <w:t xml:space="preserve">BMJ</w:t>
      </w:r>
      <w:r>
        <w:t xml:space="preserve">, 372, n71. https://doi.org/10.1136/bmj.n71</w:t>
      </w:r>
    </w:p>
    <w:p>
      <w:pPr>
        <w:pStyle w:val="BodyText"/>
      </w:pPr>
      <w:r>
        <w:t xml:space="preserve">[Author: references to be added where marked [ref]. The repository’s</w:t>
      </w:r>
      <w:r>
        <w:t xml:space="preserve"> </w:t>
      </w:r>
      <w:r>
        <w:rPr>
          <w:rStyle w:val="VerbatimChar"/>
        </w:rPr>
        <w:t xml:space="preserve">SOURCES.md</w:t>
      </w:r>
      <w:r>
        <w:t xml:space="preserve"> </w:t>
      </w:r>
      <w:r>
        <w:t xml:space="preserve">and</w:t>
      </w:r>
      <w:r>
        <w:t xml:space="preserve"> </w:t>
      </w:r>
      <w:r>
        <w:rPr>
          <w:rStyle w:val="VerbatimChar"/>
        </w:rPr>
        <w:t xml:space="preserve">sources.bib</w:t>
      </w:r>
      <w:r>
        <w:t xml:space="preserve"> </w:t>
      </w:r>
      <w:r>
        <w:t xml:space="preserve">list the methodological sources already used (RoB 2, ROBINS-I, JBI, CASP, MMAT and AMSTAR 2 as well).]</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2026-10-14T04:41:41Z</dcterms:created>
  <dcterms:modified xsi:type="dcterms:W3CDTF">2026-10-14T04:41:41Z</dcterms:modified>
</cp:coreProperties>
</file>

<file path=docProps/custom.xml><?xml version="1.0" encoding="utf-8"?>
<Properties xmlns="http://schemas.openxmlformats.org/officeDocument/2006/custom-properties" xmlns:vt="http://schemas.openxmlformats.org/officeDocument/2006/docPropsVTypes"/>
</file>