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c8d035c071bab40273c3d7fc2387178c8305904"/>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w:t>
      </w:r>
      <w:r>
        <w:t xml:space="preserve"> </w:t>
      </w:r>
      <w:r>
        <w:rPr>
          <w:rStyle w:val="VerbatimChar"/>
        </w:rPr>
        <w:t xml:space="preserve">code/analysis/build_manuscript_draft.py</w:t>
      </w:r>
      <w:r>
        <w:t xml:space="preserve"> </w:t>
      </w:r>
      <w:r>
        <w:t xml:space="preserve">and checked by</w:t>
      </w:r>
      <w:r>
        <w:t xml:space="preserve"> </w:t>
      </w:r>
      <w:r>
        <w:rPr>
          <w:rStyle w:val="VerbatimChar"/>
        </w:rPr>
        <w:t xml:space="preserve">verify_repository.py</w:t>
      </w:r>
      <w:r>
        <w:t xml:space="preserve">. Items in [square brackets] need the author. No literature reference has been invented: each [ref] marks where the author must cite. The review was conducted by an AI under the researcher's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water and sanitation infrastructure does not guarantee that households can obtain a connection or use it effectively; legal and administrative conditions (eligibility screening, documentation and tenure requirements, fees, discretion, enforcement) may stand between infrastructure and access. [Author: one sentence of context with refs.]</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2,276 full texts assessed; 1,159 studies were included, extracted into a 1,159-row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1,159 studies (85% since 2010) spanned many countries (India, Brazil, South Africa, the United States and Ghana the most frequent), but only 68 (6%) used designs able to support a causal claim. 62 studies had an extractable effect-size row; none could be pooled. In three SWiM families the direction of association was mostly favourable to recognition/eligibility (Family A, k = 20), uniformly favourable or mixed for administrative assistance (Family B, k = 6), and without a dominant direction for administrative barriers and ownership (Family C, k = 20). Only 200 inclusion decisions and no extracted value have been independently verified.</w:t>
      </w:r>
    </w:p>
    <w:p>
      <w:pPr>
        <w:pStyle w:val="BodyText"/>
      </w:pPr>
      <w:r>
        <w:rPr>
          <w:bCs/>
          <w:b/>
        </w:rPr>
        <w:t xml:space="preserve">Conclusions.</w:t>
      </w:r>
      <w:r>
        <w:t xml:space="preserve"> </w:t>
      </w:r>
      <w:r>
        <w:t xml:space="preserve">The literature documents associations between legal/administrative conditions and access across many settings far more often than it establishes causal effects; it does not support one pooled estimate. Confidence is low to very low for any causal or comparative claim. [Author to revise after human verification.]</w:t>
      </w:r>
    </w:p>
    <w:p>
      <w:pPr>
        <w:pStyle w:val="BodyText"/>
      </w:pPr>
      <w:r>
        <w:rPr>
          <w:bCs/>
          <w:b/>
        </w:rPr>
        <w:t xml:space="preserve">Registration.</w:t>
      </w:r>
      <w:r>
        <w:t xml:space="preserve"> </w:t>
      </w:r>
      <w:r>
        <w:t xml:space="preserve">Not registered before conduct [author: state OSF identifier if registered retrospectively and label it retrospective].</w:t>
      </w:r>
    </w:p>
    <w:bookmarkEnd w:id="20"/>
    <w:bookmarkStart w:id="22" w:name="Xe3d0fc0bea9a42ce7605565d0964033d7f6ee47"/>
    <w:p>
      <w:pPr>
        <w:pStyle w:val="Heading2"/>
      </w:pPr>
      <w:r>
        <w:t xml:space="preserve">1. Introduction</w:t>
      </w:r>
    </w:p>
    <w:p>
      <w:pPr>
        <w:pStyle w:val="FirstParagraph"/>
      </w:pPr>
      <w:r>
        <w:t xml:space="preserve">[Author: write the background with references. The paragraphs below state the argument the repository supports; they are not cited.]</w:t>
      </w:r>
    </w:p>
    <w:p>
      <w:pPr>
        <w:pStyle w:val="BodyText"/>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[ref].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w:t>
      </w:r>
      <w:r>
        <w:rPr>
          <w:rStyle w:val="VerbatimChar"/>
        </w:rPr>
        <w:t xml:space="preserve">PROJECT_SPEC.md</w:t>
      </w:r>
      <w:r>
        <w:t xml:space="preserve"> </w:t>
      </w:r>
      <w:r>
        <w:t xml:space="preserve">§14).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[ref]. No prior synthesis, to the authors' knowledge, maps this evidence with a mechanism-based framework [author to verify against the literature].</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X447abc036ced1129bca8332ce64e6dab1737105"/>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w:t>
      </w:r>
      <w:r>
        <w:rPr>
          <w:rStyle w:val="VerbatimChar"/>
        </w:rPr>
        <w:t xml:space="preserve">PROJECT_SPEC.md</w:t>
      </w:r>
      <w:r>
        <w:t xml:space="preserve"> </w:t>
      </w:r>
      <w:r>
        <w:t xml:space="preserve">§5). Administrative law is the central lens, not the only candidate cause; property, planning, municipal, utility-regulatory and political institutions are in scope.</w:t>
      </w:r>
    </w:p>
    <w:bookmarkEnd w:id="21"/>
    <w:bookmarkEnd w:id="22"/>
    <w:bookmarkStart w:id="32" w:name="X13a0e8c10c405dd53d0e570bcbfcb0c8de7ee9e"/>
    <w:p>
      <w:pPr>
        <w:pStyle w:val="Heading2"/>
      </w:pPr>
      <w:r>
        <w:t xml:space="preserve">2. Methods</w:t>
      </w:r>
    </w:p>
    <w:bookmarkStart w:id="23" w:name="Xd3da6107e1fe745e00ab113a136a87e2f340275"/>
    <w:p>
      <w:pPr>
        <w:pStyle w:val="Heading3"/>
      </w:pPr>
      <w:r>
        <w:t xml:space="preserve">2.1 Design, protocol and registration</w:t>
      </w:r>
    </w:p>
    <w:p>
      <w:pPr>
        <w:pStyle w:val="FirstParagraph"/>
      </w:pPr>
      <w:r>
        <w:t xml:space="preserve">The review followed a written protocol (</w:t>
      </w:r>
      <w:r>
        <w:rPr>
          <w:rStyle w:val="VerbatimChar"/>
        </w:rPr>
        <w:t xml:space="preserve">PROTOCOL.md</w:t>
      </w:r>
      <w:r>
        <w:t xml:space="preserve">, PRISMA-P style), the PRISMA 2020 reporting guideline [ref], and SWiM guidance for synthesis without meta-analysis [ref].</w:t>
      </w:r>
      <w:r>
        <w:t xml:space="preserve"> </w:t>
      </w:r>
      <w:r>
        <w:rPr>
          <w:bCs/>
          <w:b/>
        </w:rPr>
        <w:t xml:space="preserve">The protocol was not registered before the work was done</w:t>
      </w:r>
      <w:r>
        <w:t xml:space="preserve">: an OSF Generalized Systematic Review registration was drafted (</w:t>
      </w:r>
      <w:r>
        <w:rPr>
          <w:rStyle w:val="VerbatimChar"/>
        </w:rPr>
        <w:t xml:space="preserve">00_admin/preregistration/</w:t>
      </w:r>
      <w:r>
        <w:t xml:space="preserve">) but not submitted [author: if registered now, declare it retrospective]. The title was amended on 2026-09-28 to state AI assistance; the research question, eligibility criteria and synthesis approach were not changed (</w:t>
      </w:r>
      <w:r>
        <w:rPr>
          <w:rStyle w:val="VerbatimChar"/>
        </w:rPr>
        <w:t xml:space="preserve">PROTOCOL.md</w:t>
      </w:r>
      <w:r>
        <w:t xml:space="preserve"> </w:t>
      </w:r>
      <w:r>
        <w:t xml:space="preserve">§12).</w:t>
      </w:r>
    </w:p>
    <w:bookmarkEnd w:id="23"/>
    <w:bookmarkStart w:id="24" w:name="X8e65a8097d6010840427e36476abe1d26607851"/>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w:t>
      </w:r>
      <w:r>
        <w:rPr>
          <w:rStyle w:val="VerbatimChar"/>
        </w:rPr>
        <w:t xml:space="preserve">INCLUSION_EXCLUSION.md</w:t>
      </w:r>
      <w:r>
        <w:t xml:space="preserve">). Qualitative socio-legal studies were not excluded for being unpoolable.</w:t>
      </w:r>
    </w:p>
    <w:bookmarkEnd w:id="24"/>
    <w:bookmarkStart w:id="25" w:name="Xc9e1d4abe01cfeb139a773523bde3a3c67a68e5"/>
    <w:p>
      <w:pPr>
        <w:pStyle w:val="Heading3"/>
      </w:pPr>
      <w:r>
        <w:t xml:space="preserve">2.3 Search and selection</w:t>
      </w:r>
    </w:p>
    <w:p>
      <w:pPr>
        <w:pStyle w:val="FirstParagraph"/>
      </w:pPr>
      <w:r>
        <w:t xml:space="preserve">Searches closed on 2026-09-11; SSRN and Westlaw/Lexis were not searched (</w:t>
      </w:r>
      <w:r>
        <w:rPr>
          <w:rStyle w:val="VerbatimChar"/>
        </w:rPr>
        <w:t xml:space="preserve">SEARCH_PROTOCOL.md</w:t>
      </w:r>
      <w:r>
        <w:t xml:space="preserve">, README Known limitations). Selection was by an AI first pass (title/abstract and full text) with written rationales and standardised exclusion codes (E01–E12); a human second reviewer covered the 3,665 title/abstract records the AI marked include or unsure, and confirmed 200 of the 1,159 full-text includes. Full-text retrieval was closed by the researcher's decision with 1,383 title/abstract includes never assessed; the unassessed set is older on average (see 3.1).</w:t>
      </w:r>
    </w:p>
    <w:bookmarkEnd w:id="25"/>
    <w:bookmarkStart w:id="26" w:name="Xe6fcde550539b21dc6f5892e304b31b0839c1d6"/>
    <w:p>
      <w:pPr>
        <w:pStyle w:val="Heading3"/>
      </w:pPr>
      <w:r>
        <w:t xml:space="preserve">2.4 Data extraction</w:t>
      </w:r>
    </w:p>
    <w:p>
      <w:pPr>
        <w:pStyle w:val="FirstParagraph"/>
      </w:pPr>
      <w:r>
        <w:t xml:space="preserve">A 92-field extraction form (</w:t>
      </w:r>
      <w:r>
        <w:rPr>
          <w:rStyle w:val="VerbatimChar"/>
        </w:rPr>
        <w:t xml:space="preserve">CODEBOOK.md</w:t>
      </w:r>
      <w:r>
        <w:t xml:space="preserve">) was completed for every included study by the AI, largely from full text; 62 studies were extracted from abstract or metadata only and an audit found further rows with signs of shallow extraction (Limitations). There was no second extractor. A seeded sample for human second extraction has been prepared (</w:t>
      </w:r>
      <w:r>
        <w:rPr>
          <w:rStyle w:val="VerbatimChar"/>
        </w:rPr>
        <w:t xml:space="preserve">03_extraction/second_extractor/</w:t>
      </w:r>
      <w:r>
        <w:t xml:space="preserve">) but not yet completed.</w:t>
      </w:r>
    </w:p>
    <w:bookmarkEnd w:id="26"/>
    <w:bookmarkStart w:id="27" w:name="Xc3593c5f6690a2c6d63a1627c005b05036497c5"/>
    <w:p>
      <w:pPr>
        <w:pStyle w:val="Heading3"/>
      </w:pPr>
      <w:r>
        <w:t xml:space="preserve">2.5 Risk of bias and critical appraisal</w:t>
      </w:r>
    </w:p>
    <w:p>
      <w:pPr>
        <w:pStyle w:val="FirstParagraph"/>
      </w:pPr>
      <w:r>
        <w:t xml:space="preserve">Each study was appraised with the instrument matching its design: RoB 2 (cluster variant) for randomised trials (5), ROBINS-I (63), JBI cross-sectional (140), MMAT (205), CASP qualitative (263) and AMSTAR 2 for systematic reviews (23). For 447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13 studies were judged not appraisable. Ratings were assigned by rule from the extracted fields, not by signalling-question reading of each paper, except for the studies re-appraised from full text (listed in</w:t>
      </w:r>
      <w:r>
        <w:t xml:space="preserve"> </w:t>
      </w:r>
      <w:r>
        <w:rPr>
          <w:rStyle w:val="VerbatimChar"/>
        </w:rPr>
        <w:t xml:space="preserve">CHANGELOG.md</w:t>
      </w:r>
      <w:r>
        <w:t xml:space="preserve">). Ratings therefore describe the extraction as much as the paper.</w:t>
      </w:r>
    </w:p>
    <w:bookmarkEnd w:id="27"/>
    <w:bookmarkStart w:id="28" w:name="X9fc8cfaecae3d2d02a3b019aba342b7c70ed078"/>
    <w:p>
      <w:pPr>
        <w:pStyle w:val="Heading3"/>
      </w:pPr>
      <w:r>
        <w:t xml:space="preserve">2.6 Synthesis</w:t>
      </w:r>
    </w:p>
    <w:p>
      <w:pPr>
        <w:pStyle w:val="FirstParagraph"/>
      </w:pPr>
      <w:r>
        <w:t xml:space="preserve">Studies were coded to four mechanism families (eligibility, burden, discretion/accommodation, enforcement) and outcome families (formal connection, effective access, economic access, administrative outcomes) that are not pooled with each other. A feasibility judgment (</w:t>
      </w:r>
      <w:r>
        <w:rPr>
          <w:rStyle w:val="VerbatimChar"/>
        </w:rPr>
        <w:t xml:space="preserve">phase11_quantitative_feasibility_judgment.md</w:t>
      </w:r>
      <w:r>
        <w:t xml:space="preserve">) concluded that no family reaches the bar for meta-analysis, so 62 effect-size rows were compiled into three structured syntheses reporting direction and significance of each study's own estimate (SWiM). No effect was converted to a common scale. Sensitivity analyses removed abstract-only and shallow extractions, the one row for a study not flagged eligible, linked reports and two coding judgment calls.</w:t>
      </w:r>
    </w:p>
    <w:bookmarkEnd w:id="28"/>
    <w:bookmarkStart w:id="29" w:name="X6c06e75b38683b94af586d748d75efc5a8db992"/>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X9aa01c7253cc2ac3617f359aff160a0f98d0c23"/>
    <w:p>
      <w:pPr>
        <w:pStyle w:val="Heading3"/>
      </w:pPr>
      <w:r>
        <w:t xml:space="preserve">2.8 Data and code</w:t>
      </w:r>
    </w:p>
    <w:p>
      <w:pPr>
        <w:pStyle w:val="FirstParagraph"/>
      </w:pPr>
      <w:r>
        <w:t xml:space="preserve">All databases, scripts and generated figures are in the project repository;</w:t>
      </w:r>
      <w:r>
        <w:t xml:space="preserve"> </w:t>
      </w:r>
      <w:r>
        <w:rPr>
          <w:rStyle w:val="VerbatimChar"/>
        </w:rPr>
        <w:t xml:space="preserve">python3 code/analysis/verify_repository.py</w:t>
      </w:r>
      <w:r>
        <w:t xml:space="preserve"> </w:t>
      </w:r>
      <w:r>
        <w:t xml:space="preserve">re-derives every quoted figure and checks that generated files are current.</w:t>
      </w:r>
    </w:p>
    <w:bookmarkEnd w:id="30"/>
    <w:bookmarkStart w:id="31" w:name="X19110ca892acb235d4262f1bca9fad5293600e7"/>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human researcher,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200 of the 1,159 full-text includes; no full-text exclusion, extracted value or risk-of-bias rating has been independently verified against source papers. [Model version and dates of use: add per journal policy.] The stage-by-stage division of labour is tabulated in</w:t>
      </w:r>
      <w:r>
        <w:t xml:space="preserve"> </w:t>
      </w:r>
      <w:r>
        <w:rPr>
          <w:rStyle w:val="VerbatimChar"/>
        </w:rPr>
        <w:t xml:space="preserve">AI_USE_STATEMENT.md</w:t>
      </w:r>
      <w:r>
        <w:t xml:space="preserve">.</w:t>
      </w:r>
    </w:p>
    <w:bookmarkEnd w:id="31"/>
    <w:bookmarkEnd w:id="32"/>
    <w:bookmarkStart w:id="40" w:name="Xc0c84230492598220627d6d71355f36de6acb67"/>
    <w:p>
      <w:pPr>
        <w:pStyle w:val="Heading2"/>
      </w:pPr>
      <w:r>
        <w:t xml:space="preserve">3. Results</w:t>
      </w:r>
    </w:p>
    <w:bookmarkStart w:id="33" w:name="X61513b2143ad34f3e9884952f1f2a4734b63493"/>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researcher's decision: 2,276 of 3,659 records were assessed and 1,383 were never assessed (1,201 not retrievable, 182 for which the wrong file was obtained). Of the 2,276 assessed, 1,117 were excluded (151 because the full text was inaccessible; reasons for the others are in</w:t>
      </w:r>
      <w:r>
        <w:t xml:space="preserve"> </w:t>
      </w:r>
      <w:r>
        <w:rPr>
          <w:rStyle w:val="VerbatimChar"/>
        </w:rPr>
        <w:t xml:space="preserve">exclusion_log.csv</w:t>
      </w:r>
      <w:r>
        <w:t xml:space="preserve">) and 1,159 were included (1,159 extraction rows, corresponding to 1,157 distinct studies after collapsing definite companion reports).</w:t>
      </w:r>
    </w:p>
    <w:p>
      <w:pPr>
        <w:pStyle w:val="BodyText"/>
      </w:pPr>
      <w:r>
        <w:t xml:space="preserve">Reasons for full-text exclusion (standardised codes; per-record rationale in</w:t>
      </w:r>
      <w:r>
        <w:t xml:space="preserve"> </w:t>
      </w:r>
      <w:r>
        <w:rPr>
          <w:rStyle w:val="VerbatimChar"/>
        </w:rPr>
        <w:t xml:space="preserve">exclusion_log.csv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496</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34</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77</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135</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26</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48</w:t>
            </w:r>
          </w:p>
        </w:tc>
      </w:tr>
    </w:tbl>
    <w:bookmarkEnd w:id="33"/>
    <w:bookmarkStart w:id="34" w:name="Xfa120f38e95c1a1ab81b7f1031cea98fc0e60b3"/>
    <w:p>
      <w:pPr>
        <w:pStyle w:val="Heading3"/>
      </w:pPr>
      <w:r>
        <w:t xml:space="preserve">3.2 Characteristics of the included evidence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 "case study",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Section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49,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34"/>
    <w:bookmarkStart w:id="35" w:name="Xfdf15f29c7f46618bd5173cb3b110c70b0606a7"/>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663</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577</w:t>
            </w:r>
          </w:p>
        </w:tc>
      </w:tr>
      <w:tr>
        <w:tc>
          <w:tcPr/>
          <w:p>
            <w:pPr>
              <w:pStyle w:val="Compact"/>
              <w:jc w:val="left"/>
            </w:pPr>
            <w:r>
              <w:rPr>
                <w:rStyle w:val="VerbatimChar"/>
              </w:rPr>
              <w:t xml:space="preserve">fees</w:t>
            </w:r>
          </w:p>
        </w:tc>
        <w:tc>
          <w:tcPr/>
          <w:p>
            <w:pPr>
              <w:pStyle w:val="Compact"/>
              <w:jc w:val="left"/>
            </w:pPr>
            <w:r>
              <w:t xml:space="preserve">542</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475</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455</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381</w:t>
            </w:r>
          </w:p>
        </w:tc>
      </w:tr>
      <w:tr>
        <w:tc>
          <w:tcPr/>
          <w:p>
            <w:pPr>
              <w:pStyle w:val="Compact"/>
              <w:jc w:val="left"/>
            </w:pPr>
            <w:r>
              <w:rPr>
                <w:rStyle w:val="VerbatimChar"/>
              </w:rPr>
              <w:t xml:space="preserve">participation</w:t>
            </w:r>
          </w:p>
        </w:tc>
        <w:tc>
          <w:tcPr/>
          <w:p>
            <w:pPr>
              <w:pStyle w:val="Compact"/>
              <w:jc w:val="left"/>
            </w:pPr>
            <w:r>
              <w:t xml:space="preserve">440</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301</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250</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260</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69</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23</w:t>
            </w:r>
          </w:p>
        </w:tc>
        <w:tc>
          <w:tcPr/>
          <w:p>
            <w:pPr>
              <w:pStyle w:val="Compact"/>
            </w:pPr>
          </w:p>
        </w:tc>
        <w:tc>
          <w:tcPr/>
          <w:p>
            <w:pPr>
              <w:pStyle w:val="Compact"/>
            </w:pPr>
          </w:p>
        </w:tc>
        <w:tc>
          <w:tcPr/>
          <w:p>
            <w:pPr>
              <w:pStyle w:val="Compact"/>
            </w:pPr>
          </w:p>
        </w:tc>
      </w:tr>
    </w:tbl>
    <w:p>
      <w:pPr>
        <w:pStyle w:val="BodyText"/>
      </w:pPr>
      <w:r>
        <w:t xml:space="preserve">Institutional fragmentation (663), official discretion/accommodation (597) and fees/tariffs (542) are the most frequently coded mechanisms; formal-connection (577) and affordability (507) outcomes are well represented, while sanitation access (457) is coded about half as often as water access (1,013). Mechanisms concerning redress and review — administrative review (69), judicial review (65), complaint (124), reconnection (23) — and application outcomes (refusal 107, delay 95, success 75) are coded far less often.</w:t>
      </w:r>
    </w:p>
    <w:bookmarkEnd w:id="35"/>
    <w:bookmarkStart w:id="36" w:name="Xd640f1d0e7a2cd5105a61ad8d21bbcd5e9ad355"/>
    <w:p>
      <w:pPr>
        <w:pStyle w:val="Heading3"/>
      </w:pPr>
      <w:r>
        <w:t xml:space="preserve">3.4 Risk of bias and confidence in the evidence</w:t>
      </w:r>
    </w:p>
    <w:p>
      <w:pPr>
        <w:pStyle w:val="FirstParagraph"/>
      </w:pPr>
      <w:r>
        <w:t xml:space="preserve">Appraisal ratings are rule-based and, for most studies, depend on what was extracted (Methods 2.5). Of the 140 JBI cross-sectional studies, 59 were rated 'high concern', largely reflecting sparse extraction rather than demonstrated weakness. ROBINS-I ratings: Moderate 54, Serious 9. RoB 2 ratings: Some concerns 5; two of the randomised-trial studies (S294 and S366) report the same trial. A numeric mechanism-certainty code of 3 or 4 (quasi-experimental or experimental) was recorded for 35 studies, but only some of these are ROBINS-I or RoB 2 studies, a coding inconsistency reported in</w:t>
      </w:r>
      <w:r>
        <w:t xml:space="preserve"> </w:t>
      </w:r>
      <w:r>
        <w:rPr>
          <w:rStyle w:val="VerbatimChar"/>
        </w:rPr>
        <w:t xml:space="preserve">DATA_QUALITY_AUDIT_2026-09-29.md</w:t>
      </w:r>
      <w:r>
        <w:t xml:space="preserve"> </w:t>
      </w:r>
      <w:r>
        <w:t xml:space="preserve">§5.</w:t>
      </w:r>
    </w:p>
    <w:p>
      <w:pPr>
        <w:pStyle w:val="BodyText"/>
      </w:pPr>
      <w:r>
        <w:rPr>
          <w:bCs/>
          <w:b/>
        </w:rPr>
        <w:t xml:space="preserve">Are the AMSTAR 2 studies actually systematic reviews? Partly confirmed, partly not.</w:t>
      </w:r>
    </w:p>
    <w:p>
      <w:pPr>
        <w:numPr>
          <w:ilvl w:val="0"/>
          <w:numId w:val="1002"/>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the researcher,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2"/>
        </w:numPr>
        <w:pStyle w:val="Compact"/>
      </w:pPr>
      <w:r>
        <w:t xml:space="preserve">Of the 23 that kept AMSTAR 2, each was classed as a secondary systematic review. The recorded fields (publication type, design, method text, sample) support that unevenly: 12 name a registration, PRISMA or JBI method, 18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 "narrative review with systematic search" and S418 as a narrative/scoping review with a documented search (hybrids kept eligible with a noted caveat); S326, first flagged as an "evidence survey",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2"/>
        </w:numPr>
        <w:pStyle w:val="Compact"/>
      </w:pPr>
      <w:r>
        <w:rPr>
          <w:bCs/>
          <w:b/>
        </w:rPr>
        <w:t xml:space="preserve">Only 11 of the 23 received a formal AMSTAR 2 confidence rating</w:t>
      </w:r>
      <w:r>
        <w:t xml:space="preserve"> </w:t>
      </w:r>
      <w:r>
        <w:t xml:space="preserve">(S052 Critically Low, S319 Critically Low, S324 Critically Low, S325 Critically Low, S327 Low, S344 Critically Low, S370 Critically Low, S372 Critically Low, S418 Critically Low, S438 Critically Low, S697 Critically Low; 10 of the 11 are Critically Low; the others are S327 Low, mostly because of missing protocols, single-database searches, no list of excluded studies or no appraisal of the included studies); the other 12 are "Not ratable" because their extraction lacks the information for the critical items.</w:t>
      </w:r>
      <w:r>
        <w:t xml:space="preserve"> </w:t>
      </w:r>
      <w:r>
        <w:rPr>
          <w:bCs/>
          <w:b/>
        </w:rPr>
        <w:t xml:space="preserve">So AMSTAR 2 so far tells the reader little beyond "low confidence"; the 12 unrated reviews need their full texts.</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bookmarkEnd w:id="36"/>
    <w:bookmarkStart w:id="37" w:name="X4fb9df646c1be740a040261b55664d501fede44"/>
    <w:p>
      <w:pPr>
        <w:pStyle w:val="Heading3"/>
      </w:pPr>
      <w:r>
        <w:t xml:space="preserve">3.5 Quantitative evidence: three structured syntheses</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 "legal/institutional recognition or eligibility is associated with better access" 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3"/>
        </w:numPr>
        <w:pStyle w:val="Compact"/>
      </w:pPr>
      <w:r>
        <w:t xml:space="preserve">Family C has no dominant direction (7 positive / 9 negative / 4 mixed) — its exposures and outcomes are heterogeneous, and signs are not comparable across them.</w:t>
      </w:r>
    </w:p>
    <w:p>
      <w:pPr>
        <w:pStyle w:val="FirstParagraph"/>
      </w:pPr>
      <w:r>
        <w:t xml:space="preserve">Per-study results (exposure, outcome, direction, appraisal rating) are tabulated in the three family documents (</w:t>
      </w:r>
      <w:r>
        <w:rPr>
          <w:rStyle w:val="VerbatimChar"/>
        </w:rPr>
        <w:t xml:space="preserve">06_outputs/supplementary/family_*_swim_synthesis_2026-09-28.md</w:t>
      </w:r>
      <w:r>
        <w:t xml:space="preserve">).</w:t>
      </w:r>
    </w:p>
    <w:p>
      <w:pPr>
        <w:pStyle w:val="BodyText"/>
      </w:pPr>
      <w:r>
        <w:rPr>
          <w:bCs/>
          <w:b/>
        </w:rPr>
        <w:t xml:space="preserve">Sensitivity analyses.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p>
      <w:pPr>
        <w:pStyle w:val="BodyText"/>
      </w:pPr>
      <w:r>
        <w:rPr>
          <w:bCs/>
          <w:b/>
        </w:rPr>
        <w:t xml:space="preserve">Reporting bias and certainty.</w:t>
      </w:r>
      <w:r>
        <w:t xml:space="preserve"> </w:t>
      </w:r>
      <w:r>
        <w:t xml:space="preserve">No publication-bias assessment was possible: although Families A and C each contain 20 studies, no common effect metric exists, so no funnel-plot or small-study analysis is defined (</w:t>
      </w:r>
      <w:r>
        <w:rPr>
          <w:rStyle w:val="VerbatimChar"/>
        </w:rPr>
        <w:t xml:space="preserve">ANALYSIS_PLAN.md</w:t>
      </w:r>
      <w:r>
        <w:t xml:space="preserve"> </w:t>
      </w:r>
      <w:r>
        <w:t xml:space="preserve">§9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dbfb34eac2871b1a14a9d1a24ef7e50c68d5481"/>
    <w:p>
      <w:pPr>
        <w:pStyle w:val="Heading3"/>
      </w:pPr>
      <w:r>
        <w:t xml:space="preserve">3.6 Qualitative, doctrinal and mixed-methods evidence</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("mechanism directly observed" or above), showing the study's own recorded mechanism label beside the draft family, and the AI-extracted finding text: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38"/>
    <w:bookmarkStart w:id="39" w:name="Xee4e634ae7bbaff6142ba362912b07c49ea9815"/>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599 (52%) of studies sit in the ten commonest single countries.</w:t>
      </w:r>
    </w:p>
    <w:p>
      <w:pPr>
        <w:numPr>
          <w:ilvl w:val="0"/>
          <w:numId w:val="1004"/>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39"/>
    <w:bookmarkEnd w:id="40"/>
    <w:bookmarkStart w:id="41" w:name="X81a060a18a12739ffcbc529f09a725679a256cf"/>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Xca64085187041cc1526defd50fc01b96fdb635b"/>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1,383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only 200 full-text includes were human-confirmed, 73 decided rows carry no recorded reviewer, and the title/abstract exclusions were not human-checked.</w:t>
      </w:r>
    </w:p>
    <w:p>
      <w:pPr>
        <w:numPr>
          <w:ilvl w:val="0"/>
          <w:numId w:val="1006"/>
        </w:numPr>
        <w:pStyle w:val="Compact"/>
      </w:pPr>
      <w:r>
        <w:rPr>
          <w:bCs/>
          <w:b/>
        </w:rPr>
        <w:t xml:space="preserve">Thin extraction for some studies.</w:t>
      </w:r>
      <w:r>
        <w:t xml:space="preserve"> </w:t>
      </w:r>
      <w:r>
        <w:t xml:space="preserve">62 studies were extracted from abstract or metadata only; there was no second extractor.</w:t>
      </w:r>
    </w:p>
    <w:p>
      <w:pPr>
        <w:numPr>
          <w:ilvl w:val="0"/>
          <w:numId w:val="1006"/>
        </w:numPr>
        <w:pStyle w:val="Compact"/>
      </w:pPr>
      <w:r>
        <w:rPr>
          <w:bCs/>
          <w:b/>
        </w:rPr>
        <w:t xml:space="preserve">Appraisal validity.</w:t>
      </w:r>
      <w:r>
        <w:t xml:space="preserve"> </w:t>
      </w:r>
      <w:r>
        <w:t xml:space="preserve">Ratings are rule-based; 447 studies were appraised with a non-validated project instrument; 59 of 140 JBI ratings are 'high concern' largely reflecting sparse extraction; only 11 of 23 AMSTAR 2 reviews could be given a confidence rating (10 Critically Low and 1 Low).</w:t>
      </w:r>
    </w:p>
    <w:p>
      <w:pPr>
        <w:numPr>
          <w:ilvl w:val="0"/>
          <w:numId w:val="1006"/>
        </w:numPr>
        <w:pStyle w:val="Compact"/>
      </w:pPr>
      <w:r>
        <w:rPr>
          <w:bCs/>
          <w:b/>
        </w:rPr>
        <w:t xml:space="preserve">No pooled estimate.</w:t>
      </w:r>
      <w:r>
        <w:t xml:space="preserve"> </w:t>
      </w:r>
      <w:r>
        <w:t xml:space="preserve">Direction-of-association syntheses rest on 62 effect-size rows and are neither effect estimates nor certainty-graded (GRADE).</w:t>
      </w:r>
    </w:p>
    <w:p>
      <w:pPr>
        <w:numPr>
          <w:ilvl w:val="0"/>
          <w:numId w:val="1006"/>
        </w:numPr>
        <w:pStyle w:val="Compact"/>
      </w:pPr>
      <w:r>
        <w:rPr>
          <w:bCs/>
          <w:b/>
        </w:rPr>
        <w:t xml:space="preserve">Uncontrolled classifications.</w:t>
      </w:r>
      <w:r>
        <w:t xml:space="preserve"> </w:t>
      </w:r>
      <w:r>
        <w:t xml:space="preserve">Free-text country, legal-system, mechanism and outcome fields; a proposed controlled vocabulary is a mechanical draft.</w:t>
      </w:r>
    </w:p>
    <w:p>
      <w:pPr>
        <w:numPr>
          <w:ilvl w:val="0"/>
          <w:numId w:val="1006"/>
        </w:numPr>
        <w:pStyle w:val="Compact"/>
      </w:pPr>
      <w:r>
        <w:rPr>
          <w:bCs/>
          <w:b/>
        </w:rPr>
        <w:t xml:space="preserve">Search scope.</w:t>
      </w:r>
      <w:r>
        <w:t xml:space="preserve"> </w:t>
      </w:r>
      <w:r>
        <w:t xml:space="preserve">SSRN and Westlaw/Lexis were not searched (</w:t>
      </w:r>
      <w:r>
        <w:rPr>
          <w:rStyle w:val="VerbatimChar"/>
        </w:rPr>
        <w:t xml:space="preserve">README.md</w:t>
      </w:r>
      <w:r>
        <w:t xml:space="preserve">, Known limitations).</w:t>
      </w:r>
    </w:p>
    <w:p>
      <w:pPr>
        <w:pStyle w:val="FirstParagraph"/>
      </w:pPr>
      <w:r>
        <w:rPr>
          <w:iCs/>
          <w:i/>
        </w:rPr>
        <w:t xml:space="preserve">Source of every figure:</w:t>
      </w:r>
      <w:r>
        <w:rPr>
          <w:iCs/>
          <w:i/>
        </w:rPr>
        <w:t xml:space="preserve"> </w:t>
      </w:r>
      <w:r>
        <w:rPr>
          <w:rStyle w:val="VerbatimChar"/>
          <w:iCs/>
          <w:i/>
        </w:rPr>
        <w:t xml:space="preserve">00_admin/CURRENT_FIGURES.md</w:t>
      </w:r>
      <w:r>
        <w:rPr>
          <w:iCs/>
          <w:i/>
        </w:rPr>
        <w:t xml:space="preserve">; checked by</w:t>
      </w:r>
      <w:r>
        <w:rPr>
          <w:iCs/>
          <w:i/>
        </w:rPr>
        <w:t xml:space="preserve"> </w:t>
      </w:r>
      <w:r>
        <w:rPr>
          <w:rStyle w:val="VerbatimChar"/>
          <w:iCs/>
          <w:i/>
        </w:rPr>
        <w:t xml:space="preserve">python3 code/analysis/verify_repository.py</w:t>
      </w:r>
      <w:r>
        <w:rPr>
          <w:iCs/>
          <w:i/>
        </w:rPr>
        <w:t xml:space="preserve">.</w:t>
      </w:r>
    </w:p>
    <w:bookmarkStart w:id="42" w:name="Xb33c1c14fcafee04df965e2fb4427a3bad7c581"/>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42"/>
    <w:bookmarkStart w:id="43" w:name="X2e8874cd18624ea36ce0ec8afdc16b9d04de606"/>
    <w:p>
      <w:pPr>
        <w:pStyle w:val="Heading3"/>
      </w:pPr>
      <w:r>
        <w:t xml:space="preserve">5.2 Incomplete screening</w:t>
      </w:r>
    </w:p>
    <w:p>
      <w:pPr>
        <w:numPr>
          <w:ilvl w:val="0"/>
          <w:numId w:val="1007"/>
        </w:numPr>
        <w:pStyle w:val="Compact"/>
      </w:pPr>
      <w:r>
        <w:t xml:space="preserve">Full-text retrieval closed at 62.2%: 1,383 of 3,659 records (1,201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1,117 full-text excludes are E10 (inaccessible text), i.e. never judged on content.</w:t>
      </w:r>
    </w:p>
    <w:p>
      <w:pPr>
        <w:numPr>
          <w:ilvl w:val="0"/>
          <w:numId w:val="1007"/>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 "all records"; that wording should be checked against the README, which is narrower.)</w:t>
      </w:r>
    </w:p>
    <w:bookmarkEnd w:id="43"/>
    <w:bookmarkStart w:id="44" w:name="X67a5ecf3db98289f4d6d7e2ac746ecc19603518"/>
    <w:p>
      <w:pPr>
        <w:pStyle w:val="Heading3"/>
      </w:pPr>
      <w:r>
        <w:t xml:space="preserve">5.3 Missing or thin data</w:t>
      </w:r>
    </w:p>
    <w:p>
      <w:pPr>
        <w:numPr>
          <w:ilvl w:val="0"/>
          <w:numId w:val="1008"/>
        </w:numPr>
        <w:pStyle w:val="Compact"/>
      </w:pPr>
      <w:r>
        <w:t xml:space="preserve">62 studies were extracted from abstract or metadata only (5.3%);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128 more rows with at least one sign of shallow extraction — 14 whose own notes say only the abstract or citation was read and 67 whose recorded location cites the abstract alone (a verification queue, not proof) — of which 3 carry effect-size rows. There is no second extractor: extracted values have not been checked against the source papers.</w:t>
      </w:r>
    </w:p>
    <w:p>
      <w:pPr>
        <w:numPr>
          <w:ilvl w:val="0"/>
          <w:numId w:val="1008"/>
        </w:numPr>
        <w:pStyle w:val="Compact"/>
      </w:pPr>
      <w:r>
        <w:t xml:space="preserve">59 of 140 JBI ratings are "High concern", which here means sparse extraction rather than a poor study. For CASP and MMAT, several items are "Can't tell" 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62 effect-size rows, 7 give a confidence interval and 25 a standard error; estimates are as the papers report them and none is pooled.</w:t>
      </w:r>
    </w:p>
    <w:bookmarkEnd w:id="44"/>
    <w:bookmarkEnd w:id="45"/>
    <w:bookmarkStart w:id="47" w:name="X6b297cc947e0db5526be369b1f0f4ddc67b2415"/>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(68 of 1,159 studies). Where quantitative estimates exist they are too heterogeneous to pool, and their direction is most consistent for legal recognition and eligibility and for administrative assistance, least consistent for administrative barriers and ownership.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X83f7a660cb907bc51892bf58211085c7aa84e84"/>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X9d32ee00125eba017f6bdce12cd393edadce5ec"/>
    <w:p>
      <w:pPr>
        <w:pStyle w:val="Heading2"/>
      </w:pPr>
      <w:r>
        <w:t xml:space="preserve">7. Declarations</w:t>
      </w:r>
    </w:p>
    <w:p>
      <w:pPr>
        <w:numPr>
          <w:ilvl w:val="0"/>
          <w:numId w:val="1009"/>
        </w:numPr>
        <w:pStyle w:val="Compact"/>
      </w:pPr>
      <w:r>
        <w:rPr>
          <w:bCs/>
          <w:b/>
        </w:rPr>
        <w:t xml:space="preserve">Funding and competing interests:</w:t>
      </w:r>
      <w:r>
        <w:t xml:space="preserve"> </w:t>
      </w:r>
      <w:r>
        <w:t xml:space="preserve">[author to complete — prompts in</w:t>
      </w:r>
      <w:r>
        <w:t xml:space="preserve"> </w:t>
      </w:r>
      <w:r>
        <w:rPr>
          <w:rStyle w:val="VerbatimChar"/>
        </w:rPr>
        <w:t xml:space="preserve">00_admin/disclosures/FUNDING_AND_COMPETING_INTERESTS_TEMPLATE.md</w:t>
      </w:r>
      <w:r>
        <w:t xml:space="preserve">; PRISMA items 25 and 26].</w:t>
      </w:r>
    </w:p>
    <w:p>
      <w:pPr>
        <w:numPr>
          <w:ilvl w:val="0"/>
          <w:numId w:val="1009"/>
        </w:numPr>
        <w:pStyle w:val="Compact"/>
      </w:pPr>
      <w:r>
        <w:rPr>
          <w:bCs/>
          <w:b/>
        </w:rPr>
        <w:t xml:space="preserve">AI use:</w:t>
      </w:r>
      <w:r>
        <w:t xml:space="preserve"> </w:t>
      </w:r>
      <w:r>
        <w:t xml:space="preserve">Claude (Anthropic) performed most screening, extraction, appraisal and synthesis drafting; see</w:t>
      </w:r>
      <w:r>
        <w:t xml:space="preserve"> </w:t>
      </w:r>
      <w:r>
        <w:rPr>
          <w:rStyle w:val="VerbatimChar"/>
        </w:rPr>
        <w:t xml:space="preserve">AI_USE_STATEMENT.md</w:t>
      </w:r>
      <w:r>
        <w:t xml:space="preserve"> </w:t>
      </w:r>
      <w:r>
        <w:t xml:space="preserve">for the stage-by-stage table. [Model versions and dates: add per journal policy.]</w:t>
      </w:r>
    </w:p>
    <w:p>
      <w:pPr>
        <w:numPr>
          <w:ilvl w:val="0"/>
          <w:numId w:val="1009"/>
        </w:numPr>
        <w:pStyle w:val="Compact"/>
      </w:pPr>
      <w:r>
        <w:rPr>
          <w:bCs/>
          <w:b/>
        </w:rPr>
        <w:t xml:space="preserve">Author contributions:</w:t>
      </w:r>
      <w:r>
        <w:t xml:space="preserve"> </w:t>
      </w:r>
      <w:r>
        <w:t xml:space="preserve">[author to complete; AI is not an author].</w:t>
      </w:r>
    </w:p>
    <w:p>
      <w:pPr>
        <w:numPr>
          <w:ilvl w:val="0"/>
          <w:numId w:val="1009"/>
        </w:numPr>
        <w:pStyle w:val="Compact"/>
      </w:pPr>
      <w:r>
        <w:rPr>
          <w:bCs/>
          <w:b/>
        </w:rPr>
        <w:t xml:space="preserve">Data and code availability:</w:t>
      </w:r>
      <w:r>
        <w:t xml:space="preserve"> </w:t>
      </w:r>
      <w:r>
        <w:t xml:space="preserve">repository (</w:t>
      </w:r>
      <w:r>
        <w:rPr>
          <w:rStyle w:val="VerbatimChar"/>
        </w:rPr>
        <w:t xml:space="preserve">README.md</w:t>
      </w:r>
      <w:r>
        <w:t xml:space="preserve">); source PDFs are not redistributed.</w:t>
      </w:r>
    </w:p>
    <w:p>
      <w:pPr>
        <w:numPr>
          <w:ilvl w:val="0"/>
          <w:numId w:val="1009"/>
        </w:numPr>
        <w:pStyle w:val="Compact"/>
      </w:pPr>
      <w:r>
        <w:rPr>
          <w:bCs/>
          <w:b/>
        </w:rPr>
        <w:t xml:space="preserve">Ethics:</w:t>
      </w:r>
      <w:r>
        <w:t xml:space="preserve"> </w:t>
      </w:r>
      <w:r>
        <w:t xml:space="preserve">secondary analysis of published literature; [author to confirm no approval required].</w:t>
      </w:r>
    </w:p>
    <w:bookmarkEnd w:id="48"/>
    <w:bookmarkStart w:id="49" w:name="references"/>
    <w:p>
      <w:pPr>
        <w:pStyle w:val="Heading2"/>
      </w:pPr>
      <w:r>
        <w:t xml:space="preserve">References</w:t>
      </w:r>
    </w:p>
    <w:p>
      <w:pPr>
        <w:pStyle w:val="FirstParagraph"/>
      </w:pPr>
      <w:r>
        <w:t xml:space="preserve">[Author: references to be added where marked [ref]. The repository's</w:t>
      </w:r>
      <w:r>
        <w:t xml:space="preserve"> </w:t>
      </w:r>
      <w:r>
        <w:rPr>
          <w:rStyle w:val="VerbatimChar"/>
        </w:rPr>
        <w:t xml:space="preserve">SOURCES.md</w:t>
      </w:r>
      <w:r>
        <w:t xml:space="preserve"> </w:t>
      </w:r>
      <w:r>
        <w:t xml:space="preserve">lists the methodological sources already used (PRISMA 2020, SWiM, RoB 2, ROBINS-I, JBI, CASP, MMAT, AMSTAR 2).]</w:t>
      </w:r>
    </w:p>
    <w:bookmarkEnd w:id="49"/>
    <w:bookmarkEnd w:id="50"/>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2026-10-04T02:46:51Z</dcterms:created>
  <dcterms:modified xsi:type="dcterms:W3CDTF">2026-10-04T02:46:51Z</dcterms:modified>
</cp:coreProperties>
</file>

<file path=docProps/custom.xml><?xml version="1.0" encoding="utf-8"?>
<Properties xmlns="http://schemas.openxmlformats.org/officeDocument/2006/custom-properties" xmlns:vt="http://schemas.openxmlformats.org/officeDocument/2006/docPropsVTypes"/>
</file>