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Legal Last Mile</w:t>
      </w:r>
    </w:p>
    <w:p>
      <w:pPr>
        <w:spacing w:after="40" w:before="0"/>
      </w:pPr>
      <w:r>
        <w:rPr>
          <w:b/>
          <w:i w:val="0"/>
          <w:color w:val="1F3A5F"/>
          <w:sz w:val="26"/>
        </w:rPr>
        <w:t>Executive summary of preliminary findings (partial report)</w:t>
      </w:r>
    </w:p>
    <w:p>
      <w:pPr>
        <w:spacing w:after="160" w:before="0"/>
      </w:pPr>
      <w:r>
        <w:rPr>
          <w:b w:val="0"/>
          <w:i w:val="0"/>
          <w:color w:val="52514E"/>
          <w:sz w:val="18"/>
        </w:rPr>
        <w:t>AI-assisted systematic review of legal and administrative conditions and household access to water and sanitation  ·  interim release 0.2.0-interim  ·  14 October 2026</w:t>
      </w:r>
    </w:p>
    <w:tbl>
      <w:tblPr>
        <w:tblW w:w="9648" w:type="dxa"/>
        <w:tblBorders>
          <w:top w:val="nil"/>
          <w:left w:val="single" w:sz="24" w:space="0" w:color="E0A100"/>
          <w:bottom w:val="nil"/>
          <w:right w:val="nil"/>
          <w:insideH w:val="nil"/>
          <w:insideV w:val="nil"/>
        </w:tblBorders>
        <w:tblLayout w:type="fixed"/>
        <w:tblCellMar>
          <w:top w:w="90" w:type="dxa"/>
          <w:left w:w="140" w:type="dxa"/>
          <w:bottom w:w="90" w:type="dxa"/>
          <w:right w:w="120" w:type="dxa"/>
        </w:tblCellMar>
        <w:tblLook w:firstColumn="1" w:firstRow="1" w:lastColumn="0" w:lastRow="0" w:noHBand="0" w:noVBand="1" w:val="04A0"/>
      </w:tblPr>
      <w:tblGrid>
        <w:gridCol w:w="9648"/>
      </w:tblGrid>
      <w:tr>
        <w:tc>
          <w:tcPr>
            <w:tcW w:type="dxa" w:w="9648"/>
            <w:shd w:val="clear" w:color="auto" w:fill="FFF4D6"/>
          </w:tcPr>
          <w:p>
            <w:pPr>
              <w:spacing w:after="0"/>
            </w:pPr>
            <w:r>
              <w:rPr>
                <w:b/>
                <w:i w:val="0"/>
                <w:sz w:val="19"/>
              </w:rPr>
              <w:t>Preliminary and partial.</w:t>
            </w:r>
            <w:r>
              <w:rPr>
                <w:b w:val="0"/>
                <w:i w:val="0"/>
                <w:sz w:val="19"/>
              </w:rPr>
              <w:t xml:space="preserve"> Screening, data extraction, quality appraisal and the direction coding of each estimate were done by an AI under the author's rulings. Only 459 of 2,277 full-text decisions (20.2%) have a recorded human check. Of the 31 studies in the quantitative syntheses, 13 have a human-verified inclusion decision (the author's own confirmations and rulings); the other 18 were checked only by the AI and are recorded as AI-checked, not as human confirmations, and the author has confirmed the direction coding of 0. No effect size is pooled. Read every number as AI-produced and unverified against the source papers unless this summary says otherwise.</w:t>
            </w:r>
          </w:p>
        </w:tc>
      </w:tr>
    </w:tbl>
    <w:p>
      <w:pPr>
        <w:spacing w:after="0"/>
      </w:pPr>
    </w:p>
    <w:p>
      <w:pPr>
        <w:pStyle w:val="Heading1"/>
      </w:pPr>
      <w:r>
        <w:t>1. The bottom line</w:t>
      </w:r>
    </w:p>
    <w:p>
      <w:pPr>
        <w:pStyle w:val="ListNumber"/>
        <w:spacing w:after="80"/>
      </w:pPr>
      <w:r>
        <w:rPr>
          <w:b/>
          <w:i w:val="0"/>
        </w:rPr>
        <w:t>A large evidence base that is mostly descriptive.</w:t>
      </w:r>
      <w:r>
        <w:rPr>
          <w:b w:val="0"/>
          <w:i w:val="0"/>
        </w:rPr>
        <w:t xml:space="preserve"> 1,072 studies met the full-text criteria (85% published since 2010). 812 (76%) are qualitative, mixed-methods or doctrinal designs, and only 58 (5%) were appraised with a causal-design instrument (ROBINS-I or RoB 2); the 5 randomised trials are 4 distinct trials.</w:t>
      </w:r>
    </w:p>
    <w:p>
      <w:pPr>
        <w:pStyle w:val="ListNumber"/>
        <w:spacing w:after="80"/>
      </w:pPr>
      <w:r>
        <w:rPr>
          <w:b/>
          <w:i w:val="0"/>
        </w:rPr>
        <w:t>Legal recognition and formal status tend to go with better access (Family A).</w:t>
      </w:r>
      <w:r>
        <w:rPr>
          <w:b w:val="0"/>
          <w:i w:val="0"/>
        </w:rPr>
        <w:t xml:space="preserve"> 10 of 13 quantitative studies (77%) point in the favourable direction; 1 point the other way and 2 are null.</w:t>
      </w:r>
    </w:p>
    <w:p>
      <w:pPr>
        <w:pStyle w:val="ListNumber"/>
        <w:spacing w:after="80"/>
      </w:pPr>
      <w:r>
        <w:rPr>
          <w:b/>
          <w:i w:val="0"/>
        </w:rPr>
        <w:t>Assistance, participation and trust look uniformly favourable (Family B), but this is the least secure result.</w:t>
      </w:r>
      <w:r>
        <w:rPr>
          <w:b w:val="0"/>
          <w:i w:val="0"/>
        </w:rPr>
        <w:t xml:space="preserve"> All 3 studies are favourable, yet the family has only 3 studies, each testing a different mechanism, after the author's scope rulings removed two of the five (an NGO-trust study and a school-programme study).</w:t>
      </w:r>
    </w:p>
    <w:p>
      <w:pPr>
        <w:pStyle w:val="ListNumber"/>
        <w:spacing w:after="80"/>
      </w:pPr>
      <w:r>
        <w:rPr>
          <w:b/>
          <w:i w:val="0"/>
        </w:rPr>
        <w:t>Ownership, regulation and institutional structure show no consistent direction (Family C).</w:t>
      </w:r>
      <w:r>
        <w:rPr>
          <w:b w:val="0"/>
          <w:i w:val="0"/>
        </w:rPr>
        <w:t xml:space="preserve"> 5 favourable, 7 unfavourable and 3 mixed across 15 studies with heterogeneous exposures and outcomes. The one coherent sub-pattern, private ownership going with worse affordability, rests on three studies that probably draw on two independent samples.</w:t>
      </w:r>
    </w:p>
    <w:p>
      <w:pPr>
        <w:pStyle w:val="ListNumber"/>
        <w:spacing w:after="80"/>
      </w:pPr>
      <w:r>
        <w:rPr>
          <w:b/>
          <w:i w:val="0"/>
        </w:rPr>
        <w:t>Most pre-stated tests hold, one does not, and nothing is pooled; confidence is low.</w:t>
      </w:r>
      <w:r>
        <w:rPr>
          <w:b w:val="0"/>
          <w:i w:val="0"/>
        </w:rPr>
        <w:t xml:space="preserve"> The tests for Families A and B hold in every scenario; the test that no raw sign dominates Family C fails in 7 of 10 scenarios (negative is 8 of 15, a bare majority, because the raw sign mixes outcomes of opposite polarity), while the substantive-direction test, the household-relevant reading, holds in every scenario (section 5). Family A's favourable share ranges 75.0% to 76.9%. No family has enough comparable studies for meta-analysis, and confidence in any causal or comparative claim is low to very low.</w:t>
      </w:r>
    </w:p>
    <w:p>
      <w:pPr>
        <w:pStyle w:val="ListNumber"/>
        <w:spacing w:after="80"/>
      </w:pPr>
      <w:r>
        <w:rPr>
          <w:b/>
          <w:i w:val="0"/>
        </w:rPr>
        <w:t>The evidence is concentrated where networks are incomplete.</w:t>
      </w:r>
      <w:r>
        <w:rPr>
          <w:b w:val="0"/>
          <w:i w:val="0"/>
        </w:rPr>
        <w:t xml:space="preserve"> India, Brazil, South Africa, Ghana and the United States dominate, while high-coverage welfare states are sparsely represented (15 single-country studies in Canada, 12 on the drinking water of First Nations and other Indigenous communities, and 1 in the Netherlands). Administrative exclusion inside universal-network systems (tariff hardship exemptions, tenant billing rules, administrative redress) is therefore comparatively under-examined in this evidence base.</w:t>
      </w:r>
    </w:p>
    <w:p>
      <w:pPr>
        <w:pStyle w:val="Heading1"/>
      </w:pPr>
      <w:r>
        <w:t>2. What was done and where the review stands</w:t>
      </w:r>
    </w:p>
    <w:tbl>
      <w:tblPr>
        <w:tblW w:w="9647"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1800"/>
        <w:gridCol w:w="3672"/>
        <w:gridCol w:w="4176"/>
      </w:tblGrid>
      <w:tr>
        <w:trPr>
          <w:cantSplit w:val="true"/>
          <w:tblHeader w:val="true"/>
        </w:trPr>
        <w:tc>
          <w:tcPr>
            <w:tcW w:type="dxa" w:w="1800"/>
            <w:shd w:val="clear" w:color="auto" w:fill="E8EEF5"/>
          </w:tcPr>
          <w:p>
            <w:pPr>
              <w:spacing w:after="0"/>
              <w:jc w:val="left"/>
            </w:pPr>
            <w:r>
              <w:rPr>
                <w:b/>
                <w:i w:val="0"/>
                <w:sz w:val="17"/>
              </w:rPr>
              <w:t>Stage</w:t>
            </w:r>
          </w:p>
        </w:tc>
        <w:tc>
          <w:tcPr>
            <w:tcW w:type="dxa" w:w="3672"/>
            <w:shd w:val="clear" w:color="auto" w:fill="E8EEF5"/>
          </w:tcPr>
          <w:p>
            <w:pPr>
              <w:spacing w:after="0"/>
              <w:jc w:val="left"/>
            </w:pPr>
            <w:r>
              <w:rPr>
                <w:b/>
                <w:i w:val="0"/>
                <w:sz w:val="17"/>
              </w:rPr>
              <w:t>Result</w:t>
            </w:r>
          </w:p>
        </w:tc>
        <w:tc>
          <w:tcPr>
            <w:tcW w:type="dxa" w:w="4176"/>
            <w:shd w:val="clear" w:color="auto" w:fill="E8EEF5"/>
          </w:tcPr>
          <w:p>
            <w:pPr>
              <w:spacing w:after="0"/>
              <w:jc w:val="left"/>
            </w:pPr>
            <w:r>
              <w:rPr>
                <w:b/>
                <w:i w:val="0"/>
                <w:sz w:val="17"/>
              </w:rPr>
              <w:t>Note</w:t>
            </w:r>
          </w:p>
        </w:tc>
      </w:tr>
      <w:tr>
        <w:trPr>
          <w:cantSplit w:val="true"/>
        </w:trPr>
        <w:tc>
          <w:tcPr>
            <w:tcW w:type="dxa" w:w="1800"/>
          </w:tcPr>
          <w:p>
            <w:pPr>
              <w:spacing w:after="0"/>
              <w:jc w:val="left"/>
            </w:pPr>
            <w:r>
              <w:rPr>
                <w:b/>
                <w:i w:val="0"/>
                <w:sz w:val="17"/>
              </w:rPr>
              <w:t>Search</w:t>
            </w:r>
          </w:p>
        </w:tc>
        <w:tc>
          <w:tcPr>
            <w:tcW w:type="dxa" w:w="3672"/>
          </w:tcPr>
          <w:p>
            <w:pPr>
              <w:spacing w:after="0"/>
              <w:jc w:val="left"/>
            </w:pPr>
            <w:r>
              <w:rPr>
                <w:b w:val="0"/>
                <w:i w:val="0"/>
                <w:sz w:val="17"/>
              </w:rPr>
              <w:t>34,594 records, 27,481 after de-duplication</w:t>
            </w:r>
          </w:p>
        </w:tc>
        <w:tc>
          <w:tcPr>
            <w:tcW w:type="dxa" w:w="4176"/>
          </w:tcPr>
          <w:p>
            <w:pPr>
              <w:spacing w:after="0"/>
              <w:jc w:val="left"/>
            </w:pPr>
            <w:r>
              <w:rPr>
                <w:b w:val="0"/>
                <w:i w:val="0"/>
                <w:sz w:val="17"/>
              </w:rPr>
              <w:t>Closed 2026-09-11. SSRN and Westlaw/Lexis were never searched.</w:t>
            </w:r>
          </w:p>
        </w:tc>
      </w:tr>
      <w:tr>
        <w:trPr>
          <w:cantSplit w:val="true"/>
        </w:trPr>
        <w:tc>
          <w:tcPr>
            <w:tcW w:type="dxa" w:w="1800"/>
          </w:tcPr>
          <w:p>
            <w:pPr>
              <w:spacing w:after="0"/>
              <w:jc w:val="left"/>
            </w:pPr>
            <w:r>
              <w:rPr>
                <w:b/>
                <w:i w:val="0"/>
                <w:sz w:val="17"/>
              </w:rPr>
              <w:t>Title and abstract</w:t>
            </w:r>
          </w:p>
        </w:tc>
        <w:tc>
          <w:tcPr>
            <w:tcW w:type="dxa" w:w="3672"/>
          </w:tcPr>
          <w:p>
            <w:pPr>
              <w:spacing w:after="0"/>
              <w:jc w:val="left"/>
            </w:pPr>
            <w:r>
              <w:rPr>
                <w:b w:val="0"/>
                <w:i w:val="0"/>
                <w:sz w:val="17"/>
              </w:rPr>
              <w:t>3,659 included</w:t>
            </w:r>
          </w:p>
        </w:tc>
        <w:tc>
          <w:tcPr>
            <w:tcW w:type="dxa" w:w="4176"/>
          </w:tcPr>
          <w:p>
            <w:pPr>
              <w:spacing w:after="0"/>
              <w:jc w:val="left"/>
            </w:pPr>
            <w:r>
              <w:rPr>
                <w:b w:val="0"/>
                <w:i w:val="0"/>
                <w:sz w:val="17"/>
              </w:rPr>
              <w:t>26,222 screened by the AI; a human second pass covered the 3,665 include-or-unsure records, not the AI's excludes.</w:t>
            </w:r>
          </w:p>
        </w:tc>
      </w:tr>
      <w:tr>
        <w:trPr>
          <w:cantSplit w:val="true"/>
        </w:trPr>
        <w:tc>
          <w:tcPr>
            <w:tcW w:type="dxa" w:w="1800"/>
          </w:tcPr>
          <w:p>
            <w:pPr>
              <w:spacing w:after="0"/>
              <w:jc w:val="left"/>
            </w:pPr>
            <w:r>
              <w:rPr>
                <w:b/>
                <w:i w:val="0"/>
                <w:sz w:val="17"/>
              </w:rPr>
              <w:t>Full text</w:t>
            </w:r>
          </w:p>
        </w:tc>
        <w:tc>
          <w:tcPr>
            <w:tcW w:type="dxa" w:w="3672"/>
          </w:tcPr>
          <w:p>
            <w:pPr>
              <w:spacing w:after="0"/>
              <w:jc w:val="left"/>
            </w:pPr>
            <w:r>
              <w:rPr>
                <w:b w:val="0"/>
                <w:i w:val="0"/>
                <w:sz w:val="17"/>
              </w:rPr>
              <w:t>2,277 of 3,659 assessed (62.2%): 1,072 included, 1,205 excluded</w:t>
            </w:r>
          </w:p>
        </w:tc>
        <w:tc>
          <w:tcPr>
            <w:tcW w:type="dxa" w:w="4176"/>
          </w:tcPr>
          <w:p>
            <w:pPr>
              <w:spacing w:after="0"/>
              <w:jc w:val="left"/>
            </w:pPr>
            <w:r>
              <w:rPr>
                <w:b w:val="0"/>
                <w:i w:val="0"/>
                <w:sz w:val="17"/>
              </w:rPr>
              <w:t>Retrieval closed by decision; 1,382 records were never assessed. 459 decisions (20.2%) carry a human check.</w:t>
            </w:r>
          </w:p>
        </w:tc>
      </w:tr>
      <w:tr>
        <w:trPr>
          <w:cantSplit w:val="true"/>
        </w:trPr>
        <w:tc>
          <w:tcPr>
            <w:tcW w:type="dxa" w:w="1800"/>
          </w:tcPr>
          <w:p>
            <w:pPr>
              <w:spacing w:after="0"/>
              <w:jc w:val="left"/>
            </w:pPr>
            <w:r>
              <w:rPr>
                <w:b/>
                <w:i w:val="0"/>
                <w:sz w:val="17"/>
              </w:rPr>
              <w:t>Extraction and appraisal</w:t>
            </w:r>
          </w:p>
        </w:tc>
        <w:tc>
          <w:tcPr>
            <w:tcW w:type="dxa" w:w="3672"/>
          </w:tcPr>
          <w:p>
            <w:pPr>
              <w:spacing w:after="0"/>
              <w:jc w:val="left"/>
            </w:pPr>
            <w:r>
              <w:rPr>
                <w:b w:val="0"/>
                <w:i w:val="0"/>
                <w:sz w:val="17"/>
              </w:rPr>
              <w:t>1,072 studies, 92 fields; all rated with a design-matched tool</w:t>
            </w:r>
          </w:p>
        </w:tc>
        <w:tc>
          <w:tcPr>
            <w:tcW w:type="dxa" w:w="4176"/>
          </w:tcPr>
          <w:p>
            <w:pPr>
              <w:spacing w:after="0"/>
              <w:jc w:val="left"/>
            </w:pPr>
            <w:r>
              <w:rPr>
                <w:b w:val="0"/>
                <w:i w:val="0"/>
                <w:sz w:val="17"/>
              </w:rPr>
              <w:t>By the AI, with no second extractor; the appraisal ratings are rule-based, and 40% use the project's own non-validated framework.</w:t>
            </w:r>
          </w:p>
        </w:tc>
      </w:tr>
      <w:tr>
        <w:trPr>
          <w:cantSplit w:val="true"/>
        </w:trPr>
        <w:tc>
          <w:tcPr>
            <w:tcW w:type="dxa" w:w="1800"/>
          </w:tcPr>
          <w:p>
            <w:pPr>
              <w:spacing w:after="0"/>
              <w:jc w:val="left"/>
            </w:pPr>
            <w:r>
              <w:rPr>
                <w:b/>
                <w:i w:val="0"/>
                <w:sz w:val="17"/>
              </w:rPr>
              <w:t>Synthesis</w:t>
            </w:r>
          </w:p>
        </w:tc>
        <w:tc>
          <w:tcPr>
            <w:tcW w:type="dxa" w:w="3672"/>
          </w:tcPr>
          <w:p>
            <w:pPr>
              <w:spacing w:after="0"/>
              <w:jc w:val="left"/>
            </w:pPr>
            <w:r>
              <w:rPr>
                <w:b w:val="0"/>
                <w:i w:val="0"/>
                <w:sz w:val="17"/>
              </w:rPr>
              <w:t>52 effect-size rows: 31 in three families, 21 reasoned non-fits</w:t>
            </w:r>
          </w:p>
        </w:tc>
        <w:tc>
          <w:tcPr>
            <w:tcW w:type="dxa" w:w="4176"/>
          </w:tcPr>
          <w:p>
            <w:pPr>
              <w:spacing w:after="0"/>
              <w:jc w:val="left"/>
            </w:pPr>
            <w:r>
              <w:rPr>
                <w:b w:val="0"/>
                <w:i w:val="0"/>
                <w:sz w:val="17"/>
              </w:rPr>
              <w:t>Structured vote counting of direction (SWiM). None is pooled.</w:t>
            </w:r>
          </w:p>
        </w:tc>
      </w:tr>
    </w:tbl>
    <w:p>
      <w:pPr>
        <w:spacing w:after="40"/>
      </w:pPr>
    </w:p>
    <w:p>
      <w:pPr>
        <w:spacing w:after="80" w:before="0"/>
      </w:pPr>
      <w:r>
        <w:rPr>
          <w:b/>
          <w:i w:val="0"/>
        </w:rPr>
        <w:t>Why no meta-analysis.</w:t>
      </w:r>
      <w:r>
        <w:rPr>
          <w:b w:val="0"/>
          <w:i w:val="0"/>
        </w:rPr>
        <w:t xml:space="preserve"> A phase-11 feasibility judgment found no family with enough studies sharing an exposure, comparator, outcome and effect measure. The 52 extractable estimates were instead grouped into three thematic families and synthesised by vote counting (Synthesis Without Meta-analysis, Campbell et al. 2020). Each estimate is coded twice: its </w:t>
      </w:r>
      <w:r>
        <w:rPr>
          <w:b/>
          <w:i w:val="0"/>
        </w:rPr>
        <w:t>raw sign</w:t>
      </w:r>
      <w:r>
        <w:rPr>
          <w:b w:val="0"/>
          <w:i w:val="0"/>
        </w:rPr>
        <w:t xml:space="preserve"> (the sign of the reported coefficient) and its </w:t>
      </w:r>
      <w:r>
        <w:rPr>
          <w:b/>
          <w:i w:val="0"/>
        </w:rPr>
        <w:t>substantive direction</w:t>
      </w:r>
      <w:r>
        <w:rPr>
          <w:b w:val="0"/>
          <w:i w:val="0"/>
        </w:rPr>
        <w:t xml:space="preserve"> (whether the result is favourable or unfavourable for household access, affordability or equity). The two differ because a higher tariff is worse for households while a higher coverage rate is better.</w:t>
      </w:r>
    </w:p>
    <w:p>
      <w:pPr>
        <w:pStyle w:val="Heading1"/>
      </w:pPr>
      <w:r>
        <w:t>3. What the evidence base looks like</w:t>
      </w:r>
    </w:p>
    <w:p>
      <w:pPr>
        <w:pStyle w:val="ListBullet"/>
        <w:spacing w:after="60"/>
      </w:pPr>
      <w:r>
        <w:rPr>
          <w:b/>
          <w:i w:val="0"/>
        </w:rPr>
        <w:t>Designs.</w:t>
      </w:r>
      <w:r>
        <w:rPr>
          <w:b w:val="0"/>
          <w:i w:val="0"/>
        </w:rPr>
        <w:t xml:space="preserve"> Qualitative 529, mixed-methods 229, observational 140, quasi-experimental 57, doctrinal 54, jurimetric 36, secondary systematic reviews 20, experimental 5, other 2.</w:t>
      </w:r>
    </w:p>
    <w:p>
      <w:pPr>
        <w:pStyle w:val="ListBullet"/>
        <w:spacing w:after="60"/>
      </w:pPr>
      <w:r>
        <w:rPr>
          <w:b/>
          <w:i w:val="0"/>
        </w:rPr>
        <w:t>Appraisal.</w:t>
      </w:r>
      <w:r>
        <w:rPr>
          <w:b w:val="0"/>
          <w:i w:val="0"/>
        </w:rPr>
        <w:t xml:space="preserve"> Tools used: CASP qualitative 248, MMAT 195, JBI cross-sectional 127, ROBINS-I 53, AMSTAR 2 18, RoB 2 5, and 426 (40%) under the project's own non-validated framework. Of the 18 systematic reviews, 17 rate critically low and 1 low on AMSTAR 2. Only 29 studies reach the two highest mechanism-certainty levels (quasi-experimental or experimental evidence).</w:t>
      </w:r>
    </w:p>
    <w:p>
      <w:pPr>
        <w:pStyle w:val="ListBullet"/>
        <w:spacing w:after="60"/>
      </w:pPr>
      <w:r>
        <w:rPr>
          <w:b/>
          <w:i w:val="0"/>
        </w:rPr>
        <w:t>Where.</w:t>
      </w:r>
      <w:r>
        <w:rPr>
          <w:b w:val="0"/>
          <w:i w:val="0"/>
        </w:rPr>
        <w:t xml:space="preserve"> India 121, Brazil 80, South Africa 77, United States 62, Ghana 51 are the most frequent single countries (110 studies name several countries or a region).</w:t>
      </w:r>
    </w:p>
    <w:p>
      <w:pPr>
        <w:pStyle w:val="ListBullet"/>
        <w:spacing w:after="60"/>
      </w:pPr>
      <w:r>
        <w:rPr>
          <w:b/>
          <w:i w:val="0"/>
        </w:rPr>
        <w:t>What is studied.</w:t>
      </w:r>
      <w:r>
        <w:rPr>
          <w:b w:val="0"/>
          <w:i w:val="0"/>
        </w:rPr>
        <w:t xml:space="preserve"> The most coded mechanisms are institutional fragmentation (621), discretion accommodation (579), fees (531). Water access is coded in 944 studies and sanitation access in 415, about half as often. Redress mechanisms are thin: administrative review 68 studies, judicial review 64.</w:t>
      </w:r>
    </w:p>
    <w:p>
      <w:pPr>
        <w:pStyle w:val="Heading1"/>
      </w:pPr>
      <w:r>
        <w:t>4. What the quantitative studies show</w:t>
      </w:r>
    </w:p>
    <w:tbl>
      <w:tblPr>
        <w:tblW w:w="9647"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3528"/>
        <w:gridCol w:w="864"/>
        <w:gridCol w:w="1656"/>
        <w:gridCol w:w="2016"/>
        <w:gridCol w:w="1584"/>
      </w:tblGrid>
      <w:tr>
        <w:trPr>
          <w:cantSplit w:val="true"/>
          <w:tblHeader w:val="true"/>
        </w:trPr>
        <w:tc>
          <w:tcPr>
            <w:tcW w:type="dxa" w:w="3528"/>
            <w:shd w:val="clear" w:color="auto" w:fill="E8EEF5"/>
          </w:tcPr>
          <w:p>
            <w:pPr>
              <w:spacing w:after="0"/>
              <w:jc w:val="left"/>
            </w:pPr>
            <w:r>
              <w:rPr>
                <w:b/>
                <w:i w:val="0"/>
                <w:sz w:val="17"/>
              </w:rPr>
              <w:t>Family</w:t>
            </w:r>
          </w:p>
        </w:tc>
        <w:tc>
          <w:tcPr>
            <w:tcW w:type="dxa" w:w="864"/>
            <w:shd w:val="clear" w:color="auto" w:fill="E8EEF5"/>
          </w:tcPr>
          <w:p>
            <w:pPr>
              <w:spacing w:after="0"/>
              <w:jc w:val="center"/>
            </w:pPr>
            <w:r>
              <w:rPr>
                <w:b/>
                <w:i w:val="0"/>
                <w:sz w:val="17"/>
              </w:rPr>
              <w:t>Studies</w:t>
            </w:r>
          </w:p>
        </w:tc>
        <w:tc>
          <w:tcPr>
            <w:tcW w:type="dxa" w:w="1656"/>
            <w:shd w:val="clear" w:color="auto" w:fill="E8EEF5"/>
          </w:tcPr>
          <w:p>
            <w:pPr>
              <w:spacing w:after="0"/>
              <w:jc w:val="center"/>
            </w:pPr>
            <w:r>
              <w:rPr>
                <w:b/>
                <w:i w:val="0"/>
                <w:sz w:val="17"/>
              </w:rPr>
              <w:t>Raw sign</w:t>
              <w:br/>
              <w:t>+ / − / null / mixed</w:t>
            </w:r>
          </w:p>
        </w:tc>
        <w:tc>
          <w:tcPr>
            <w:tcW w:type="dxa" w:w="2016"/>
            <w:shd w:val="clear" w:color="auto" w:fill="E8EEF5"/>
          </w:tcPr>
          <w:p>
            <w:pPr>
              <w:spacing w:after="0"/>
              <w:jc w:val="center"/>
            </w:pPr>
            <w:r>
              <w:rPr>
                <w:b/>
                <w:i w:val="0"/>
                <w:sz w:val="17"/>
              </w:rPr>
              <w:t>Substantive direction</w:t>
              <w:br/>
              <w:t>fav. / unfav. / null / mixed</w:t>
            </w:r>
          </w:p>
        </w:tc>
        <w:tc>
          <w:tcPr>
            <w:tcW w:type="dxa" w:w="1584"/>
            <w:shd w:val="clear" w:color="auto" w:fill="E8EEF5"/>
          </w:tcPr>
          <w:p>
            <w:pPr>
              <w:spacing w:after="0"/>
              <w:jc w:val="center"/>
            </w:pPr>
            <w:r>
              <w:rPr>
                <w:b/>
                <w:i w:val="0"/>
                <w:sz w:val="17"/>
              </w:rPr>
              <w:t>Inclusion checked by</w:t>
              <w:br/>
              <w:t>the author / AI only*</w:t>
            </w:r>
          </w:p>
        </w:tc>
      </w:tr>
      <w:tr>
        <w:trPr>
          <w:cantSplit w:val="true"/>
        </w:trPr>
        <w:tc>
          <w:tcPr>
            <w:tcW w:type="dxa" w:w="3528"/>
          </w:tcPr>
          <w:p>
            <w:pPr>
              <w:spacing w:after="0"/>
              <w:jc w:val="left"/>
            </w:pPr>
            <w:r>
              <w:rPr>
                <w:b w:val="0"/>
                <w:i w:val="0"/>
                <w:sz w:val="17"/>
              </w:rPr>
              <w:t>A. Legal status, tenure, recognition and governance arrangements</w:t>
            </w:r>
          </w:p>
        </w:tc>
        <w:tc>
          <w:tcPr>
            <w:tcW w:type="dxa" w:w="864"/>
          </w:tcPr>
          <w:p>
            <w:pPr>
              <w:spacing w:after="0"/>
              <w:jc w:val="center"/>
            </w:pPr>
            <w:r>
              <w:rPr>
                <w:b w:val="0"/>
                <w:i w:val="0"/>
                <w:sz w:val="17"/>
              </w:rPr>
              <w:t>13</w:t>
            </w:r>
          </w:p>
        </w:tc>
        <w:tc>
          <w:tcPr>
            <w:tcW w:type="dxa" w:w="1656"/>
          </w:tcPr>
          <w:p>
            <w:pPr>
              <w:spacing w:after="0"/>
              <w:jc w:val="center"/>
            </w:pPr>
            <w:r>
              <w:rPr>
                <w:b w:val="0"/>
                <w:i w:val="0"/>
                <w:sz w:val="17"/>
              </w:rPr>
              <w:t>7 / 4 / 2 / 0</w:t>
            </w:r>
          </w:p>
        </w:tc>
        <w:tc>
          <w:tcPr>
            <w:tcW w:type="dxa" w:w="2016"/>
          </w:tcPr>
          <w:p>
            <w:pPr>
              <w:spacing w:after="0"/>
              <w:jc w:val="center"/>
            </w:pPr>
            <w:r>
              <w:rPr>
                <w:b w:val="0"/>
                <w:i w:val="0"/>
                <w:sz w:val="17"/>
              </w:rPr>
              <w:t>10 / 1 / 2 / 0</w:t>
            </w:r>
          </w:p>
        </w:tc>
        <w:tc>
          <w:tcPr>
            <w:tcW w:type="dxa" w:w="1584"/>
          </w:tcPr>
          <w:p>
            <w:pPr>
              <w:spacing w:after="0"/>
              <w:jc w:val="center"/>
            </w:pPr>
            <w:r>
              <w:rPr>
                <w:b w:val="0"/>
                <w:i w:val="0"/>
                <w:sz w:val="17"/>
              </w:rPr>
              <w:t>7 / 6</w:t>
            </w:r>
          </w:p>
        </w:tc>
      </w:tr>
      <w:tr>
        <w:trPr>
          <w:cantSplit w:val="true"/>
        </w:trPr>
        <w:tc>
          <w:tcPr>
            <w:tcW w:type="dxa" w:w="3528"/>
          </w:tcPr>
          <w:p>
            <w:pPr>
              <w:spacing w:after="0"/>
              <w:jc w:val="left"/>
            </w:pPr>
            <w:r>
              <w:rPr>
                <w:b w:val="0"/>
                <w:i w:val="0"/>
                <w:sz w:val="17"/>
              </w:rPr>
              <w:t>B. Assistance, participation, trust and external support</w:t>
            </w:r>
          </w:p>
        </w:tc>
        <w:tc>
          <w:tcPr>
            <w:tcW w:type="dxa" w:w="864"/>
          </w:tcPr>
          <w:p>
            <w:pPr>
              <w:spacing w:after="0"/>
              <w:jc w:val="center"/>
            </w:pPr>
            <w:r>
              <w:rPr>
                <w:b w:val="0"/>
                <w:i w:val="0"/>
                <w:sz w:val="17"/>
              </w:rPr>
              <w:t>3</w:t>
            </w:r>
          </w:p>
        </w:tc>
        <w:tc>
          <w:tcPr>
            <w:tcW w:type="dxa" w:w="1656"/>
          </w:tcPr>
          <w:p>
            <w:pPr>
              <w:spacing w:after="0"/>
              <w:jc w:val="center"/>
            </w:pPr>
            <w:r>
              <w:rPr>
                <w:b w:val="0"/>
                <w:i w:val="0"/>
                <w:sz w:val="17"/>
              </w:rPr>
              <w:t>3 / 0 / 0 / 0</w:t>
            </w:r>
          </w:p>
        </w:tc>
        <w:tc>
          <w:tcPr>
            <w:tcW w:type="dxa" w:w="2016"/>
          </w:tcPr>
          <w:p>
            <w:pPr>
              <w:spacing w:after="0"/>
              <w:jc w:val="center"/>
            </w:pPr>
            <w:r>
              <w:rPr>
                <w:b w:val="0"/>
                <w:i w:val="0"/>
                <w:sz w:val="17"/>
              </w:rPr>
              <w:t>3 / 0 / 0 / 0</w:t>
            </w:r>
          </w:p>
        </w:tc>
        <w:tc>
          <w:tcPr>
            <w:tcW w:type="dxa" w:w="1584"/>
          </w:tcPr>
          <w:p>
            <w:pPr>
              <w:spacing w:after="0"/>
              <w:jc w:val="center"/>
            </w:pPr>
            <w:r>
              <w:rPr>
                <w:b w:val="0"/>
                <w:i w:val="0"/>
                <w:sz w:val="17"/>
              </w:rPr>
              <w:t>3 / 0</w:t>
            </w:r>
          </w:p>
        </w:tc>
      </w:tr>
      <w:tr>
        <w:trPr>
          <w:cantSplit w:val="true"/>
        </w:trPr>
        <w:tc>
          <w:tcPr>
            <w:tcW w:type="dxa" w:w="3528"/>
          </w:tcPr>
          <w:p>
            <w:pPr>
              <w:spacing w:after="0"/>
              <w:jc w:val="left"/>
            </w:pPr>
            <w:r>
              <w:rPr>
                <w:b w:val="0"/>
                <w:i w:val="0"/>
                <w:sz w:val="17"/>
              </w:rPr>
              <w:t>C. Ownership, regulation, institutional capacity and structure</w:t>
            </w:r>
          </w:p>
        </w:tc>
        <w:tc>
          <w:tcPr>
            <w:tcW w:type="dxa" w:w="864"/>
          </w:tcPr>
          <w:p>
            <w:pPr>
              <w:spacing w:after="0"/>
              <w:jc w:val="center"/>
            </w:pPr>
            <w:r>
              <w:rPr>
                <w:b w:val="0"/>
                <w:i w:val="0"/>
                <w:sz w:val="17"/>
              </w:rPr>
              <w:t>15</w:t>
            </w:r>
          </w:p>
        </w:tc>
        <w:tc>
          <w:tcPr>
            <w:tcW w:type="dxa" w:w="1656"/>
          </w:tcPr>
          <w:p>
            <w:pPr>
              <w:spacing w:after="0"/>
              <w:jc w:val="center"/>
            </w:pPr>
            <w:r>
              <w:rPr>
                <w:b w:val="0"/>
                <w:i w:val="0"/>
                <w:sz w:val="17"/>
              </w:rPr>
              <w:t>4 / 8 / 0 / 3</w:t>
            </w:r>
          </w:p>
        </w:tc>
        <w:tc>
          <w:tcPr>
            <w:tcW w:type="dxa" w:w="2016"/>
          </w:tcPr>
          <w:p>
            <w:pPr>
              <w:spacing w:after="0"/>
              <w:jc w:val="center"/>
            </w:pPr>
            <w:r>
              <w:rPr>
                <w:b w:val="0"/>
                <w:i w:val="0"/>
                <w:sz w:val="17"/>
              </w:rPr>
              <w:t>5 / 7 / 0 / 3</w:t>
            </w:r>
          </w:p>
        </w:tc>
        <w:tc>
          <w:tcPr>
            <w:tcW w:type="dxa" w:w="1584"/>
          </w:tcPr>
          <w:p>
            <w:pPr>
              <w:spacing w:after="0"/>
              <w:jc w:val="center"/>
            </w:pPr>
            <w:r>
              <w:rPr>
                <w:b w:val="0"/>
                <w:i w:val="0"/>
                <w:sz w:val="17"/>
              </w:rPr>
              <w:t>3 / 12</w:t>
            </w:r>
          </w:p>
        </w:tc>
      </w:tr>
    </w:tbl>
    <w:p>
      <w:pPr>
        <w:spacing w:after="40"/>
      </w:pPr>
    </w:p>
    <w:p>
      <w:pPr>
        <w:spacing w:after="80" w:before="0"/>
      </w:pPr>
      <w:r>
        <w:rPr>
          <w:b w:val="0"/>
          <w:i w:val="0"/>
          <w:color w:val="52514E"/>
          <w:sz w:val="16"/>
        </w:rPr>
        <w:t>*AI only: the AI's narrow-scope and outcome check found no red flag; this is not a human confirmation, and the author has not yet reviewed these papers against their source passages. The author has confirmed the direction coding of 0 of the 31 studies.</w:t>
      </w:r>
    </w:p>
    <w:p>
      <w:pPr>
        <w:keepNext/>
        <w:spacing w:after="40"/>
        <w:jc w:val="center"/>
      </w:pPr>
      <w:r>
        <w:drawing>
          <wp:inline xmlns:a="http://schemas.openxmlformats.org/drawingml/2006/main" xmlns:pic="http://schemas.openxmlformats.org/drawingml/2006/picture">
            <wp:extent cx="5394960" cy="3514898"/>
            <wp:docPr id="1" name="Direction of association by family" descr="Two stacked bar panels for Families A, B and C. The first shows the raw sign of each study's estimate; the second shows its substantive direction for households. Family A: 10 favourable, 1 unfavourable, 2 null. Family B: 3 favourable, 0 mixed. Family C: 5 favourable, 7 unfavourable, 3 mixed."/>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94960" cy="3514898"/>
                    </a:xfrm>
                    <a:prstGeom prst="rect"/>
                  </pic:spPr>
                </pic:pic>
              </a:graphicData>
            </a:graphic>
          </wp:inline>
        </w:drawing>
      </w:r>
    </w:p>
    <w:p>
      <w:pPr>
        <w:spacing w:after="120" w:before="0"/>
        <w:jc w:val="center"/>
      </w:pPr>
      <w:r>
        <w:rPr>
          <w:b/>
          <w:i w:val="0"/>
          <w:color w:val="52514E"/>
          <w:sz w:val="17"/>
        </w:rPr>
        <w:t>Figure 1.</w:t>
      </w:r>
      <w:r>
        <w:rPr>
          <w:b w:val="0"/>
          <w:i w:val="0"/>
          <w:color w:val="52514E"/>
          <w:sz w:val="17"/>
        </w:rPr>
        <w:t xml:space="preserve"> Direction of association in the three structured syntheses, read two ways.</w:t>
      </w:r>
    </w:p>
    <w:p>
      <w:pPr>
        <w:pStyle w:val="ListBullet"/>
        <w:spacing w:after="60"/>
      </w:pPr>
      <w:r>
        <w:rPr>
          <w:b/>
          <w:i w:val="0"/>
        </w:rPr>
        <w:t>Family A (recognition and status).</w:t>
      </w:r>
      <w:r>
        <w:rPr>
          <w:b w:val="0"/>
          <w:i w:val="0"/>
        </w:rPr>
        <w:t xml:space="preserve"> Where a legal status, tenure right or formal recognition is the exposure, the association with access is favourable in 77% of studies. 1 points the other way (S104, a tenure study in which owners had more service interruptions) and 2 are null.</w:t>
      </w:r>
    </w:p>
    <w:p>
      <w:pPr>
        <w:pStyle w:val="ListBullet"/>
        <w:spacing w:after="60"/>
      </w:pPr>
      <w:r>
        <w:rPr>
          <w:b/>
          <w:i w:val="0"/>
        </w:rPr>
        <w:t>Family B (assistance, participation, trust).</w:t>
      </w:r>
      <w:r>
        <w:rPr>
          <w:b w:val="0"/>
          <w:i w:val="0"/>
        </w:rPr>
        <w:t xml:space="preserve"> 3 of 3 studies are favourable: a cluster trial of bureaucratic assistance (S085), a cluster trial of a community-driven WASH programme in the DRC (S366; its 2025 companion report S294 is a linked report with no estimate of its own) and a matched comparison of a mandatory capital-cost contribution rule (S1102). The 3 test different mechanisms, so this should not be read as a pattern.</w:t>
      </w:r>
    </w:p>
    <w:p>
      <w:pPr>
        <w:pStyle w:val="ListBullet"/>
        <w:spacing w:after="60"/>
      </w:pPr>
      <w:r>
        <w:rPr>
          <w:b/>
          <w:i w:val="0"/>
        </w:rPr>
        <w:t>Family C (ownership, regulation, structure).</w:t>
      </w:r>
      <w:r>
        <w:rPr>
          <w:b w:val="0"/>
          <w:i w:val="0"/>
        </w:rPr>
        <w:t xml:space="preserve"> Raw signs split 4 positive, 8 negative and 3 mixed; substantive directions split 5, 7 and 3. The exposures are too different (private versus public ownership, the level of regulation, new local governments, contract enforcement, cost-recovery policy, corruption) to expect agreement. Negative is a bare majority by raw sign (8 of 15), but that count mixes outcomes of opposite polarity (a lower bill or complaint rate is favourable) and is not the household reading.</w:t>
      </w:r>
    </w:p>
    <w:p>
      <w:pPr>
        <w:pStyle w:val="ListBullet"/>
        <w:spacing w:after="60"/>
      </w:pPr>
      <w:r>
        <w:rPr>
          <w:b/>
          <w:i w:val="0"/>
        </w:rPr>
        <w:t>Two readings, deliberately.</w:t>
      </w:r>
      <w:r>
        <w:rPr>
          <w:b w:val="0"/>
          <w:i w:val="0"/>
        </w:rPr>
        <w:t xml:space="preserve"> Raw sign and substantive direction come apart for 10 of the 31 studies, so each is reported separately.</w:t>
      </w:r>
    </w:p>
    <w:p>
      <w:pPr>
        <w:pStyle w:val="ListBullet"/>
        <w:spacing w:after="60"/>
      </w:pPr>
      <w:r>
        <w:rPr>
          <w:b/>
          <w:i w:val="0"/>
        </w:rPr>
        <w:t>Verification status.</w:t>
      </w:r>
      <w:r>
        <w:rPr>
          <w:b w:val="0"/>
          <w:i w:val="0"/>
        </w:rPr>
        <w:t xml:space="preserve"> 13 of the 31 studies carry a recorded human verification of the inclusion decision: the author's earlier confirmations (9) and, on 2026-10-14, rulings made after reading the verbatim passages of the papers (S366, S920, S1102, S1146). The other 18 were checked only by the AI against the narrow-scope and outcome criteria and are recorded as AI-checked, not as human confirmations. The author has confirmed the direction coding of 0 studies. Of the ten core studies the AI had flagged on that check (an exposure that is community management, participation, programme delivery, an attitude or macro-governance, or an outcome that is not household access), the author's rulings removed six and kept four. The effect estimates were extracted and checked against the full texts by the AI, not by a human.</w:t>
      </w:r>
    </w:p>
    <w:p>
      <w:pPr>
        <w:pStyle w:val="Heading1"/>
      </w:pPr>
      <w:r>
        <w:t>5. How robust are the counts?</w:t>
      </w:r>
    </w:p>
    <w:tbl>
      <w:tblPr>
        <w:tblW w:w="9648"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3384"/>
        <w:gridCol w:w="1944"/>
        <w:gridCol w:w="1368"/>
        <w:gridCol w:w="1728"/>
        <w:gridCol w:w="1224"/>
      </w:tblGrid>
      <w:tr>
        <w:trPr>
          <w:cantSplit w:val="true"/>
          <w:tblHeader w:val="true"/>
        </w:trPr>
        <w:tc>
          <w:tcPr>
            <w:tcW w:type="dxa" w:w="3384"/>
            <w:shd w:val="clear" w:color="auto" w:fill="E8EEF5"/>
          </w:tcPr>
          <w:p>
            <w:pPr>
              <w:spacing w:after="0"/>
              <w:jc w:val="left"/>
            </w:pPr>
            <w:r>
              <w:rPr>
                <w:b/>
                <w:i w:val="0"/>
                <w:sz w:val="16"/>
              </w:rPr>
              <w:t>Scenario</w:t>
            </w:r>
          </w:p>
        </w:tc>
        <w:tc>
          <w:tcPr>
            <w:tcW w:type="dxa" w:w="1944"/>
            <w:shd w:val="clear" w:color="auto" w:fill="E8EEF5"/>
          </w:tcPr>
          <w:p>
            <w:pPr>
              <w:spacing w:after="0"/>
              <w:jc w:val="center"/>
            </w:pPr>
            <w:r>
              <w:rPr>
                <w:b/>
                <w:i w:val="0"/>
                <w:sz w:val="16"/>
              </w:rPr>
              <w:t>Family A: k; fav./unfav./null</w:t>
            </w:r>
          </w:p>
        </w:tc>
        <w:tc>
          <w:tcPr>
            <w:tcW w:type="dxa" w:w="1368"/>
            <w:shd w:val="clear" w:color="auto" w:fill="E8EEF5"/>
          </w:tcPr>
          <w:p>
            <w:pPr>
              <w:spacing w:after="0"/>
              <w:jc w:val="center"/>
            </w:pPr>
            <w:r>
              <w:rPr>
                <w:b/>
                <w:i w:val="0"/>
                <w:sz w:val="16"/>
              </w:rPr>
              <w:t>Family B: k; fav./mixed</w:t>
            </w:r>
          </w:p>
        </w:tc>
        <w:tc>
          <w:tcPr>
            <w:tcW w:type="dxa" w:w="1728"/>
            <w:shd w:val="clear" w:color="auto" w:fill="E8EEF5"/>
          </w:tcPr>
          <w:p>
            <w:pPr>
              <w:spacing w:after="0"/>
              <w:jc w:val="center"/>
            </w:pPr>
            <w:r>
              <w:rPr>
                <w:b/>
                <w:i w:val="0"/>
                <w:sz w:val="16"/>
              </w:rPr>
              <w:t>Family C: k; fav./unfav./mixed</w:t>
            </w:r>
          </w:p>
        </w:tc>
        <w:tc>
          <w:tcPr>
            <w:tcW w:type="dxa" w:w="1224"/>
            <w:shd w:val="clear" w:color="auto" w:fill="E8EEF5"/>
          </w:tcPr>
          <w:p>
            <w:pPr>
              <w:spacing w:after="0"/>
              <w:jc w:val="center"/>
            </w:pPr>
            <w:r>
              <w:rPr>
                <w:b/>
                <w:i w:val="0"/>
                <w:sz w:val="16"/>
              </w:rPr>
              <w:t>Pre-stated tests</w:t>
            </w:r>
          </w:p>
        </w:tc>
      </w:tr>
      <w:tr>
        <w:trPr>
          <w:cantSplit w:val="true"/>
        </w:trPr>
        <w:tc>
          <w:tcPr>
            <w:tcW w:type="dxa" w:w="3384"/>
          </w:tcPr>
          <w:p>
            <w:pPr>
              <w:spacing w:after="0"/>
              <w:jc w:val="left"/>
            </w:pPr>
            <w:r>
              <w:rPr>
                <w:b w:val="0"/>
                <w:i w:val="0"/>
                <w:sz w:val="16"/>
              </w:rPr>
              <w:t>Baseline</w:t>
            </w:r>
          </w:p>
        </w:tc>
        <w:tc>
          <w:tcPr>
            <w:tcW w:type="dxa" w:w="1944"/>
          </w:tcPr>
          <w:p>
            <w:pPr>
              <w:spacing w:after="0"/>
              <w:jc w:val="center"/>
            </w:pPr>
            <w:r>
              <w:rPr>
                <w:b w:val="0"/>
                <w:i w:val="0"/>
                <w:sz w:val="16"/>
              </w:rPr>
              <w:t>13; 10/1/2 (77%)</w:t>
            </w:r>
          </w:p>
        </w:tc>
        <w:tc>
          <w:tcPr>
            <w:tcW w:type="dxa" w:w="1368"/>
          </w:tcPr>
          <w:p>
            <w:pPr>
              <w:spacing w:after="0"/>
              <w:jc w:val="center"/>
            </w:pPr>
            <w:r>
              <w:rPr>
                <w:b w:val="0"/>
                <w:i w:val="0"/>
                <w:sz w:val="16"/>
              </w:rPr>
              <w:t>3; 3/0</w:t>
            </w:r>
          </w:p>
        </w:tc>
        <w:tc>
          <w:tcPr>
            <w:tcW w:type="dxa" w:w="1728"/>
          </w:tcPr>
          <w:p>
            <w:pPr>
              <w:spacing w:after="0"/>
              <w:jc w:val="center"/>
            </w:pPr>
            <w:r>
              <w:rPr>
                <w:b w:val="0"/>
                <w:i w:val="0"/>
                <w:sz w:val="16"/>
              </w:rPr>
              <w:t>15; 5/7/3</w:t>
            </w:r>
          </w:p>
        </w:tc>
        <w:tc>
          <w:tcPr>
            <w:tcW w:type="dxa" w:w="1224"/>
          </w:tcPr>
          <w:p>
            <w:pPr>
              <w:spacing w:after="0"/>
              <w:jc w:val="center"/>
            </w:pPr>
            <w:r>
              <w:rPr>
                <w:b w:val="0"/>
                <w:i w:val="0"/>
                <w:sz w:val="16"/>
              </w:rPr>
              <w:t>one fails</w:t>
            </w:r>
          </w:p>
        </w:tc>
      </w:tr>
      <w:tr>
        <w:trPr>
          <w:cantSplit w:val="true"/>
        </w:trPr>
        <w:tc>
          <w:tcPr>
            <w:tcW w:type="dxa" w:w="3384"/>
          </w:tcPr>
          <w:p>
            <w:pPr>
              <w:spacing w:after="0"/>
              <w:jc w:val="left"/>
            </w:pPr>
            <w:r>
              <w:rPr>
                <w:b w:val="0"/>
                <w:i w:val="0"/>
                <w:sz w:val="16"/>
              </w:rPr>
              <w:t>Drop S404, the one Family A coding judgment call</w:t>
            </w:r>
          </w:p>
        </w:tc>
        <w:tc>
          <w:tcPr>
            <w:tcW w:type="dxa" w:w="1944"/>
          </w:tcPr>
          <w:p>
            <w:pPr>
              <w:spacing w:after="0"/>
              <w:jc w:val="center"/>
            </w:pPr>
            <w:r>
              <w:rPr>
                <w:b w:val="0"/>
                <w:i w:val="0"/>
                <w:sz w:val="16"/>
              </w:rPr>
              <w:t>12; 9/1/2 (75%)</w:t>
            </w:r>
          </w:p>
        </w:tc>
        <w:tc>
          <w:tcPr>
            <w:tcW w:type="dxa" w:w="1368"/>
          </w:tcPr>
          <w:p>
            <w:pPr>
              <w:spacing w:after="0"/>
              <w:jc w:val="center"/>
            </w:pPr>
            <w:r>
              <w:rPr>
                <w:b w:val="0"/>
                <w:i w:val="0"/>
                <w:sz w:val="16"/>
              </w:rPr>
              <w:t>3; 3/0</w:t>
            </w:r>
          </w:p>
        </w:tc>
        <w:tc>
          <w:tcPr>
            <w:tcW w:type="dxa" w:w="1728"/>
          </w:tcPr>
          <w:p>
            <w:pPr>
              <w:spacing w:after="0"/>
              <w:jc w:val="center"/>
            </w:pPr>
            <w:r>
              <w:rPr>
                <w:b w:val="0"/>
                <w:i w:val="0"/>
                <w:sz w:val="16"/>
              </w:rPr>
              <w:t>15; 5/7/3</w:t>
            </w:r>
          </w:p>
        </w:tc>
        <w:tc>
          <w:tcPr>
            <w:tcW w:type="dxa" w:w="1224"/>
          </w:tcPr>
          <w:p>
            <w:pPr>
              <w:spacing w:after="0"/>
              <w:jc w:val="center"/>
            </w:pPr>
            <w:r>
              <w:rPr>
                <w:b w:val="0"/>
                <w:i w:val="0"/>
                <w:sz w:val="16"/>
              </w:rPr>
              <w:t>one fails</w:t>
            </w:r>
          </w:p>
        </w:tc>
      </w:tr>
      <w:tr>
        <w:trPr>
          <w:cantSplit w:val="true"/>
        </w:trPr>
        <w:tc>
          <w:tcPr>
            <w:tcW w:type="dxa" w:w="3384"/>
          </w:tcPr>
          <w:p>
            <w:pPr>
              <w:spacing w:after="0"/>
              <w:jc w:val="left"/>
            </w:pPr>
            <w:r>
              <w:rPr>
                <w:b w:val="0"/>
                <w:i w:val="0"/>
                <w:sz w:val="16"/>
              </w:rPr>
              <w:t>Recode S471 as null (fully adjusted estimate)</w:t>
            </w:r>
          </w:p>
        </w:tc>
        <w:tc>
          <w:tcPr>
            <w:tcW w:type="dxa" w:w="1944"/>
          </w:tcPr>
          <w:p>
            <w:pPr>
              <w:spacing w:after="0"/>
              <w:jc w:val="center"/>
            </w:pPr>
            <w:r>
              <w:rPr>
                <w:b w:val="0"/>
                <w:i w:val="0"/>
                <w:sz w:val="16"/>
              </w:rPr>
              <w:t>13; 10/1/2 (77%)</w:t>
            </w:r>
          </w:p>
        </w:tc>
        <w:tc>
          <w:tcPr>
            <w:tcW w:type="dxa" w:w="1368"/>
          </w:tcPr>
          <w:p>
            <w:pPr>
              <w:spacing w:after="0"/>
              <w:jc w:val="center"/>
            </w:pPr>
            <w:r>
              <w:rPr>
                <w:b w:val="0"/>
                <w:i w:val="0"/>
                <w:sz w:val="16"/>
              </w:rPr>
              <w:t>3; 3/0</w:t>
            </w:r>
          </w:p>
        </w:tc>
        <w:tc>
          <w:tcPr>
            <w:tcW w:type="dxa" w:w="1728"/>
          </w:tcPr>
          <w:p>
            <w:pPr>
              <w:spacing w:after="0"/>
              <w:jc w:val="center"/>
            </w:pPr>
            <w:r>
              <w:rPr>
                <w:b w:val="0"/>
                <w:i w:val="0"/>
                <w:sz w:val="16"/>
              </w:rPr>
              <w:t>15; 4/7/3</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Recode S879 as null (household water access alone)</w:t>
            </w:r>
          </w:p>
        </w:tc>
        <w:tc>
          <w:tcPr>
            <w:tcW w:type="dxa" w:w="1944"/>
          </w:tcPr>
          <w:p>
            <w:pPr>
              <w:spacing w:after="0"/>
              <w:jc w:val="center"/>
            </w:pPr>
            <w:r>
              <w:rPr>
                <w:b w:val="0"/>
                <w:i w:val="0"/>
                <w:sz w:val="16"/>
              </w:rPr>
              <w:t>13; 10/1/2 (77%)</w:t>
            </w:r>
          </w:p>
        </w:tc>
        <w:tc>
          <w:tcPr>
            <w:tcW w:type="dxa" w:w="1368"/>
          </w:tcPr>
          <w:p>
            <w:pPr>
              <w:spacing w:after="0"/>
              <w:jc w:val="center"/>
            </w:pPr>
            <w:r>
              <w:rPr>
                <w:b w:val="0"/>
                <w:i w:val="0"/>
                <w:sz w:val="16"/>
              </w:rPr>
              <w:t>3; 3/0</w:t>
            </w:r>
          </w:p>
        </w:tc>
        <w:tc>
          <w:tcPr>
            <w:tcW w:type="dxa" w:w="1728"/>
          </w:tcPr>
          <w:p>
            <w:pPr>
              <w:spacing w:after="0"/>
              <w:jc w:val="center"/>
            </w:pPr>
            <w:r>
              <w:rPr>
                <w:b w:val="0"/>
                <w:i w:val="0"/>
                <w:sz w:val="16"/>
              </w:rPr>
              <w:t>15; 5/7/2</w:t>
            </w:r>
          </w:p>
        </w:tc>
        <w:tc>
          <w:tcPr>
            <w:tcW w:type="dxa" w:w="1224"/>
          </w:tcPr>
          <w:p>
            <w:pPr>
              <w:spacing w:after="0"/>
              <w:jc w:val="center"/>
            </w:pPr>
            <w:r>
              <w:rPr>
                <w:b w:val="0"/>
                <w:i w:val="0"/>
                <w:sz w:val="16"/>
              </w:rPr>
              <w:t>one fails</w:t>
            </w:r>
          </w:p>
        </w:tc>
      </w:tr>
      <w:tr>
        <w:trPr>
          <w:cantSplit w:val="true"/>
        </w:trPr>
        <w:tc>
          <w:tcPr>
            <w:tcW w:type="dxa" w:w="3384"/>
          </w:tcPr>
          <w:p>
            <w:pPr>
              <w:spacing w:after="0"/>
              <w:jc w:val="left"/>
            </w:pPr>
            <w:r>
              <w:rPr>
                <w:b w:val="0"/>
                <w:i w:val="0"/>
                <w:sz w:val="16"/>
              </w:rPr>
              <w:t>All of the above, plus the data-quality drops, applied together</w:t>
            </w:r>
          </w:p>
        </w:tc>
        <w:tc>
          <w:tcPr>
            <w:tcW w:type="dxa" w:w="1944"/>
          </w:tcPr>
          <w:p>
            <w:pPr>
              <w:spacing w:after="0"/>
              <w:jc w:val="center"/>
            </w:pPr>
            <w:r>
              <w:rPr>
                <w:b w:val="0"/>
                <w:i w:val="0"/>
                <w:sz w:val="16"/>
              </w:rPr>
              <w:t>12; 9/1/2 (75%)</w:t>
            </w:r>
          </w:p>
        </w:tc>
        <w:tc>
          <w:tcPr>
            <w:tcW w:type="dxa" w:w="1368"/>
          </w:tcPr>
          <w:p>
            <w:pPr>
              <w:spacing w:after="0"/>
              <w:jc w:val="center"/>
            </w:pPr>
            <w:r>
              <w:rPr>
                <w:b w:val="0"/>
                <w:i w:val="0"/>
                <w:sz w:val="16"/>
              </w:rPr>
              <w:t>3; 3/0</w:t>
            </w:r>
          </w:p>
        </w:tc>
        <w:tc>
          <w:tcPr>
            <w:tcW w:type="dxa" w:w="1728"/>
          </w:tcPr>
          <w:p>
            <w:pPr>
              <w:spacing w:after="0"/>
              <w:jc w:val="center"/>
            </w:pPr>
            <w:r>
              <w:rPr>
                <w:b w:val="0"/>
                <w:i w:val="0"/>
                <w:sz w:val="16"/>
              </w:rPr>
              <w:t>15; 4/7/2</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Keep only studies where raw sign and direction agree</w:t>
            </w:r>
          </w:p>
        </w:tc>
        <w:tc>
          <w:tcPr>
            <w:tcW w:type="dxa" w:w="1944"/>
          </w:tcPr>
          <w:p>
            <w:pPr>
              <w:spacing w:after="0"/>
              <w:jc w:val="center"/>
            </w:pPr>
            <w:r>
              <w:rPr>
                <w:b w:val="0"/>
                <w:i w:val="0"/>
                <w:sz w:val="16"/>
              </w:rPr>
              <w:t>8; 6/0/2 (75%)</w:t>
            </w:r>
          </w:p>
        </w:tc>
        <w:tc>
          <w:tcPr>
            <w:tcW w:type="dxa" w:w="1368"/>
          </w:tcPr>
          <w:p>
            <w:pPr>
              <w:spacing w:after="0"/>
              <w:jc w:val="center"/>
            </w:pPr>
            <w:r>
              <w:rPr>
                <w:b w:val="0"/>
                <w:i w:val="0"/>
                <w:sz w:val="16"/>
              </w:rPr>
              <w:t>3; 3/0</w:t>
            </w:r>
          </w:p>
        </w:tc>
        <w:tc>
          <w:tcPr>
            <w:tcW w:type="dxa" w:w="1728"/>
          </w:tcPr>
          <w:p>
            <w:pPr>
              <w:spacing w:after="0"/>
              <w:jc w:val="center"/>
            </w:pPr>
            <w:r>
              <w:rPr>
                <w:b w:val="0"/>
                <w:i w:val="0"/>
                <w:sz w:val="16"/>
              </w:rPr>
              <w:t>10; 2/5/3</w:t>
            </w:r>
          </w:p>
        </w:tc>
        <w:tc>
          <w:tcPr>
            <w:tcW w:type="dxa" w:w="1224"/>
          </w:tcPr>
          <w:p>
            <w:pPr>
              <w:spacing w:after="0"/>
              <w:jc w:val="center"/>
            </w:pPr>
            <w:r>
              <w:rPr>
                <w:b w:val="0"/>
                <w:i w:val="0"/>
                <w:sz w:val="16"/>
              </w:rPr>
              <w:t>all hold</w:t>
            </w:r>
          </w:p>
        </w:tc>
      </w:tr>
    </w:tbl>
    <w:p>
      <w:pPr>
        <w:spacing w:after="40"/>
      </w:pPr>
    </w:p>
    <w:p>
      <w:pPr>
        <w:spacing w:after="80" w:before="0"/>
      </w:pPr>
      <w:r>
        <w:rPr>
          <w:b w:val="0"/>
          <w:i w:val="0"/>
          <w:sz w:val="19"/>
        </w:rPr>
        <w:t>The pre-stated conclusions were: more than half of Family A favourable; no Family B study unfavourable or null; no single raw sign and no single substantive direction holding a majority in Family C. They were fixed before the numbers were computed. The scenarios do not test the direction coding itself, studies that were never extracted, or overlap between reports that were not flagged as linked. The Family C test now fails in the baseline: after the author's scope rulings removed S947, a positive study, negative raw signs are 8 of 15, a bare majority. It is reported, not reworded or dropped; the substantive-direction test, which says what the result means for households, holds in every scenario. Family B has only 3 studies, so its unanimity is fragile to any single removal.</w:t>
      </w:r>
    </w:p>
    <w:p>
      <w:pPr>
        <w:pStyle w:val="Heading1"/>
      </w:pPr>
      <w:r>
        <w:t>6. How far to trust this</w:t>
      </w:r>
    </w:p>
    <w:p>
      <w:pPr>
        <w:spacing w:after="60" w:before="0"/>
      </w:pPr>
      <w:r>
        <w:rPr>
          <w:b w:val="0"/>
          <w:i w:val="0"/>
        </w:rPr>
        <w:t xml:space="preserve">The author's tentative characterisation is </w:t>
      </w:r>
      <w:r>
        <w:rPr>
          <w:b/>
          <w:i w:val="0"/>
        </w:rPr>
        <w:t>low to very low confidence for any causal or comparative claim</w:t>
      </w:r>
      <w:r>
        <w:rPr>
          <w:b w:val="0"/>
          <w:i w:val="0"/>
        </w:rPr>
        <w:t xml:space="preserve"> (no GRADE judgment has been made). The main reasons:</w:t>
      </w:r>
    </w:p>
    <w:p>
      <w:pPr>
        <w:pStyle w:val="ListBullet"/>
        <w:spacing w:after="60"/>
      </w:pPr>
      <w:r>
        <w:rPr>
          <w:b/>
          <w:i w:val="0"/>
        </w:rPr>
        <w:t>Screening is incomplete.</w:t>
      </w:r>
      <w:r>
        <w:rPr>
          <w:b w:val="0"/>
          <w:i w:val="0"/>
        </w:rPr>
        <w:t xml:space="preserve"> 1,382 of 3,659 candidate records were never assessed at full text, and they are older on average, so earlier literature is under-represented. 151 of the 1,205 excludes were never judged on content because the text was inaccessible.</w:t>
      </w:r>
    </w:p>
    <w:p>
      <w:pPr>
        <w:pStyle w:val="ListBullet"/>
        <w:spacing w:after="60"/>
      </w:pPr>
      <w:r>
        <w:rPr>
          <w:b/>
          <w:i w:val="0"/>
        </w:rPr>
        <w:t>Most decisions are the AI's.</w:t>
      </w:r>
      <w:r>
        <w:rPr>
          <w:b w:val="0"/>
          <w:i w:val="0"/>
        </w:rPr>
        <w:t xml:space="preserve"> 1,818 of 2,277 full-text decisions have no human check (287 includes and 172 excludes do). A blind re-read of 70 exclusions by two other AI models, adjudicated by the author, found 3 false exclusions among the 62 randomly sampled (4.8%, 95% interval 1.7 to 13.3%), roughly 51 studies across the 1,046 content-based exclusions (interval 17 to 139).</w:t>
      </w:r>
    </w:p>
    <w:p>
      <w:pPr>
        <w:pStyle w:val="ListBullet"/>
        <w:spacing w:after="60"/>
      </w:pPr>
      <w:r>
        <w:rPr>
          <w:b/>
          <w:i w:val="0"/>
        </w:rPr>
        <w:t>Eligibility was narrowed after the fact.</w:t>
      </w:r>
      <w:r>
        <w:rPr>
          <w:b w:val="0"/>
          <w:i w:val="0"/>
        </w:rPr>
        <w:t xml:space="preserve"> After seeing the models' disagreement the author adopted a narrow reading of the second criterion (a legal or administrative access rule or mechanism, not programme delivery, participation or macro-governance). Together with the four inclusions the models questioned, that moved 92 included reports to the exclusions, and a further six core studies were excluded on the same reading after the author read their source passages. The protocol was fixed before searching but registered on OSF retrospectively.</w:t>
      </w:r>
    </w:p>
    <w:p>
      <w:pPr>
        <w:pStyle w:val="ListBullet"/>
        <w:spacing w:after="60"/>
      </w:pPr>
      <w:r>
        <w:rPr>
          <w:b/>
          <w:i w:val="0"/>
        </w:rPr>
        <w:t>Extraction and appraisal are unchecked.</w:t>
      </w:r>
      <w:r>
        <w:rPr>
          <w:b w:val="0"/>
          <w:i w:val="0"/>
        </w:rPr>
        <w:t xml:space="preserve"> There is no second extractor, 10 studies were extracted from abstracts only (a floor), and appraisal ratings are rule-based. 51 of 127 JBI ratings are "High concern", which here means sparse extraction rather than a poor study.</w:t>
      </w:r>
    </w:p>
    <w:p>
      <w:pPr>
        <w:pStyle w:val="ListBullet"/>
        <w:spacing w:after="60"/>
      </w:pPr>
      <w:r>
        <w:rPr>
          <w:b/>
          <w:i w:val="0"/>
        </w:rPr>
        <w:t>The families are thematic groupings, not homogeneous pairs.</w:t>
      </w:r>
      <w:r>
        <w:rPr>
          <w:b w:val="0"/>
          <w:i w:val="0"/>
        </w:rPr>
        <w:t xml:space="preserve"> Vote counting weights every study equally, ignores size and precision, and is not certainty-graded.</w:t>
      </w:r>
    </w:p>
    <w:p>
      <w:pPr>
        <w:pStyle w:val="Heading1"/>
      </w:pPr>
      <w:r>
        <w:t>7. Decisions and next steps</w:t>
      </w:r>
    </w:p>
    <w:tbl>
      <w:tblPr>
        <w:tblW w:w="9647"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432"/>
        <w:gridCol w:w="3312"/>
        <w:gridCol w:w="5904"/>
      </w:tblGrid>
      <w:tr>
        <w:trPr>
          <w:cantSplit w:val="true"/>
          <w:tblHeader w:val="true"/>
        </w:trPr>
        <w:tc>
          <w:tcPr>
            <w:tcW w:type="dxa" w:w="432"/>
            <w:shd w:val="clear" w:color="auto" w:fill="E8EEF5"/>
          </w:tcPr>
          <w:p>
            <w:pPr>
              <w:spacing w:after="0"/>
              <w:jc w:val="center"/>
            </w:pPr>
            <w:r>
              <w:rPr>
                <w:b/>
                <w:i w:val="0"/>
                <w:sz w:val="17"/>
              </w:rPr>
              <w:t>#</w:t>
            </w:r>
          </w:p>
        </w:tc>
        <w:tc>
          <w:tcPr>
            <w:tcW w:type="dxa" w:w="3312"/>
            <w:shd w:val="clear" w:color="auto" w:fill="E8EEF5"/>
          </w:tcPr>
          <w:p>
            <w:pPr>
              <w:spacing w:after="0"/>
              <w:jc w:val="left"/>
            </w:pPr>
            <w:r>
              <w:rPr>
                <w:b/>
                <w:i w:val="0"/>
                <w:sz w:val="17"/>
              </w:rPr>
              <w:t>Item</w:t>
            </w:r>
          </w:p>
        </w:tc>
        <w:tc>
          <w:tcPr>
            <w:tcW w:type="dxa" w:w="5904"/>
            <w:shd w:val="clear" w:color="auto" w:fill="E8EEF5"/>
          </w:tcPr>
          <w:p>
            <w:pPr>
              <w:spacing w:after="0"/>
              <w:jc w:val="left"/>
            </w:pPr>
            <w:r>
              <w:rPr>
                <w:b/>
                <w:i w:val="0"/>
                <w:sz w:val="17"/>
              </w:rPr>
              <w:t>What it needs</w:t>
            </w:r>
          </w:p>
        </w:tc>
      </w:tr>
      <w:tr>
        <w:trPr>
          <w:cantSplit w:val="true"/>
        </w:trPr>
        <w:tc>
          <w:tcPr>
            <w:tcW w:type="dxa" w:w="432"/>
          </w:tcPr>
          <w:p>
            <w:pPr>
              <w:spacing w:after="0"/>
              <w:jc w:val="center"/>
            </w:pPr>
            <w:r>
              <w:rPr>
                <w:b w:val="0"/>
                <w:i w:val="0"/>
                <w:sz w:val="17"/>
              </w:rPr>
              <w:t>1</w:t>
            </w:r>
          </w:p>
        </w:tc>
        <w:tc>
          <w:tcPr>
            <w:tcW w:type="dxa" w:w="3312"/>
          </w:tcPr>
          <w:p>
            <w:pPr>
              <w:spacing w:after="0"/>
              <w:jc w:val="left"/>
            </w:pPr>
            <w:r>
              <w:rPr>
                <w:b w:val="0"/>
                <w:i w:val="0"/>
                <w:sz w:val="17"/>
              </w:rPr>
              <w:t>Review the 18 AI-checked core studies against their source passages (open item A30)</w:t>
            </w:r>
          </w:p>
        </w:tc>
        <w:tc>
          <w:tcPr>
            <w:tcW w:type="dxa" w:w="5904"/>
          </w:tcPr>
          <w:p>
            <w:pPr>
              <w:spacing w:after="0"/>
              <w:jc w:val="left"/>
            </w:pPr>
            <w:r>
              <w:rPr>
                <w:b w:val="0"/>
                <w:i w:val="0"/>
                <w:sz w:val="17"/>
              </w:rPr>
              <w:t>Read the verbatim passages in 05_analysis/effect_sizes/SWIM_31_SOURCE_VERIFICATION_DOSSIER.md, rule include or exclude (with a reason code) and confirm the two direction codings for each of the 31 studies. Until then these are not counted as human-verified.</w:t>
            </w:r>
          </w:p>
        </w:tc>
      </w:tr>
      <w:tr>
        <w:trPr>
          <w:cantSplit w:val="true"/>
        </w:trPr>
        <w:tc>
          <w:tcPr>
            <w:tcW w:type="dxa" w:w="432"/>
          </w:tcPr>
          <w:p>
            <w:pPr>
              <w:spacing w:after="0"/>
              <w:jc w:val="center"/>
            </w:pPr>
            <w:r>
              <w:rPr>
                <w:b w:val="0"/>
                <w:i w:val="0"/>
                <w:sz w:val="17"/>
              </w:rPr>
              <w:t>2</w:t>
            </w:r>
          </w:p>
        </w:tc>
        <w:tc>
          <w:tcPr>
            <w:tcW w:type="dxa" w:w="3312"/>
          </w:tcPr>
          <w:p>
            <w:pPr>
              <w:spacing w:after="0"/>
              <w:jc w:val="left"/>
            </w:pPr>
            <w:r>
              <w:rPr>
                <w:b w:val="0"/>
                <w:i w:val="0"/>
                <w:sz w:val="17"/>
              </w:rPr>
              <w:t>Approve or reject three proposed number corrections (A32)</w:t>
            </w:r>
          </w:p>
        </w:tc>
        <w:tc>
          <w:tcPr>
            <w:tcW w:type="dxa" w:w="5904"/>
          </w:tcPr>
          <w:p>
            <w:pPr>
              <w:spacing w:after="0"/>
              <w:jc w:val="left"/>
            </w:pPr>
            <w:r>
              <w:rPr>
                <w:b w:val="0"/>
                <w:i w:val="0"/>
                <w:sz w:val="17"/>
              </w:rPr>
              <w:t>The PDFs print different numbers from three stored fields: a derived sample total (S037), a robustness estimate (S470) and a standard-error range (S593). Nothing has been changed; the evidence is in 05_analysis/effect_sizes/EFFECT_ROW_NUMBER_CHECK_2026-10-14.md.</w:t>
            </w:r>
          </w:p>
        </w:tc>
      </w:tr>
      <w:tr>
        <w:trPr>
          <w:cantSplit w:val="true"/>
        </w:trPr>
        <w:tc>
          <w:tcPr>
            <w:tcW w:type="dxa" w:w="432"/>
          </w:tcPr>
          <w:p>
            <w:pPr>
              <w:spacing w:after="0"/>
              <w:jc w:val="center"/>
            </w:pPr>
            <w:r>
              <w:rPr>
                <w:b w:val="0"/>
                <w:i w:val="0"/>
                <w:sz w:val="17"/>
              </w:rPr>
              <w:t>3</w:t>
            </w:r>
          </w:p>
        </w:tc>
        <w:tc>
          <w:tcPr>
            <w:tcW w:type="dxa" w:w="3312"/>
          </w:tcPr>
          <w:p>
            <w:pPr>
              <w:spacing w:after="0"/>
              <w:jc w:val="left"/>
            </w:pPr>
            <w:r>
              <w:rPr>
                <w:b w:val="0"/>
                <w:i w:val="0"/>
                <w:sz w:val="17"/>
              </w:rPr>
              <w:t>Finish the human check of screening (A6, tiers 2 and 3)</w:t>
            </w:r>
          </w:p>
        </w:tc>
        <w:tc>
          <w:tcPr>
            <w:tcW w:type="dxa" w:w="5904"/>
          </w:tcPr>
          <w:p>
            <w:pPr>
              <w:spacing w:after="0"/>
              <w:jc w:val="left"/>
            </w:pPr>
            <w:r>
              <w:rPr>
                <w:b w:val="0"/>
                <w:i w:val="0"/>
                <w:sz w:val="17"/>
              </w:rPr>
              <w:t>152 further rows (102 excludes, 50 includes) would bound the risk of wrongly excluded or included studies.</w:t>
            </w:r>
          </w:p>
        </w:tc>
      </w:tr>
      <w:tr>
        <w:trPr>
          <w:cantSplit w:val="true"/>
        </w:trPr>
        <w:tc>
          <w:tcPr>
            <w:tcW w:type="dxa" w:w="432"/>
          </w:tcPr>
          <w:p>
            <w:pPr>
              <w:spacing w:after="0"/>
              <w:jc w:val="center"/>
            </w:pPr>
            <w:r>
              <w:rPr>
                <w:b w:val="0"/>
                <w:i w:val="0"/>
                <w:sz w:val="17"/>
              </w:rPr>
              <w:t>4</w:t>
            </w:r>
          </w:p>
        </w:tc>
        <w:tc>
          <w:tcPr>
            <w:tcW w:type="dxa" w:w="3312"/>
          </w:tcPr>
          <w:p>
            <w:pPr>
              <w:spacing w:after="0"/>
              <w:jc w:val="left"/>
            </w:pPr>
            <w:r>
              <w:rPr>
                <w:b w:val="0"/>
                <w:i w:val="0"/>
                <w:sz w:val="17"/>
              </w:rPr>
              <w:t>Second-extract the prepared sample</w:t>
            </w:r>
          </w:p>
        </w:tc>
        <w:tc>
          <w:tcPr>
            <w:tcW w:type="dxa" w:w="5904"/>
          </w:tcPr>
          <w:p>
            <w:pPr>
              <w:spacing w:after="0"/>
              <w:jc w:val="left"/>
            </w:pPr>
            <w:r>
              <w:rPr>
                <w:b w:val="0"/>
                <w:i w:val="0"/>
                <w:sz w:val="17"/>
              </w:rPr>
              <w:t>60 studies from S001 to S200, checked against the source papers, to estimate extraction error. A second sample from later studies is needed before any corpus-wide claim.</w:t>
            </w:r>
          </w:p>
        </w:tc>
      </w:tr>
      <w:tr>
        <w:trPr>
          <w:cantSplit w:val="true"/>
        </w:trPr>
        <w:tc>
          <w:tcPr>
            <w:tcW w:type="dxa" w:w="432"/>
          </w:tcPr>
          <w:p>
            <w:pPr>
              <w:spacing w:after="0"/>
              <w:jc w:val="center"/>
            </w:pPr>
            <w:r>
              <w:rPr>
                <w:b w:val="0"/>
                <w:i w:val="0"/>
                <w:sz w:val="17"/>
              </w:rPr>
              <w:t>5</w:t>
            </w:r>
          </w:p>
        </w:tc>
        <w:tc>
          <w:tcPr>
            <w:tcW w:type="dxa" w:w="3312"/>
          </w:tcPr>
          <w:p>
            <w:pPr>
              <w:spacing w:after="0"/>
              <w:jc w:val="left"/>
            </w:pPr>
            <w:r>
              <w:rPr>
                <w:b w:val="0"/>
                <w:i w:val="0"/>
                <w:sz w:val="17"/>
              </w:rPr>
              <w:t>Reduce the retrieval bias</w:t>
            </w:r>
          </w:p>
        </w:tc>
        <w:tc>
          <w:tcPr>
            <w:tcW w:type="dxa" w:w="5904"/>
          </w:tcPr>
          <w:p>
            <w:pPr>
              <w:spacing w:after="0"/>
              <w:jc w:val="left"/>
            </w:pPr>
            <w:r>
              <w:rPr>
                <w:b w:val="0"/>
                <w:i w:val="0"/>
                <w:sz w:val="17"/>
              </w:rPr>
              <w:t>Prioritise the older, unassessed records, and consider targeted searches for evidence from high-coverage welfare states (for example the Netherlands and other European systems) to examine administrative exclusion inside universal-network systems.</w:t>
            </w:r>
          </w:p>
        </w:tc>
      </w:tr>
      <w:tr>
        <w:trPr>
          <w:cantSplit w:val="true"/>
        </w:trPr>
        <w:tc>
          <w:tcPr>
            <w:tcW w:type="dxa" w:w="432"/>
          </w:tcPr>
          <w:p>
            <w:pPr>
              <w:spacing w:after="0"/>
              <w:jc w:val="center"/>
            </w:pPr>
            <w:r>
              <w:rPr>
                <w:b w:val="0"/>
                <w:i w:val="0"/>
                <w:sz w:val="17"/>
              </w:rPr>
              <w:t>6</w:t>
            </w:r>
          </w:p>
        </w:tc>
        <w:tc>
          <w:tcPr>
            <w:tcW w:type="dxa" w:w="3312"/>
          </w:tcPr>
          <w:p>
            <w:pPr>
              <w:spacing w:after="0"/>
              <w:jc w:val="left"/>
            </w:pPr>
            <w:r>
              <w:rPr>
                <w:b w:val="0"/>
                <w:i w:val="0"/>
                <w:sz w:val="17"/>
              </w:rPr>
              <w:t>Register and freeze</w:t>
            </w:r>
          </w:p>
        </w:tc>
        <w:tc>
          <w:tcPr>
            <w:tcW w:type="dxa" w:w="5904"/>
          </w:tcPr>
          <w:p>
            <w:pPr>
              <w:spacing w:after="0"/>
              <w:jc w:val="left"/>
            </w:pPr>
            <w:r>
              <w:rPr>
                <w:b w:val="0"/>
                <w:i w:val="0"/>
                <w:sz w:val="17"/>
              </w:rPr>
              <w:t>Upload the preregistration draft to OSF (A7) and push the release tag v0.2.0-interim from your own clone.</w:t>
            </w:r>
          </w:p>
        </w:tc>
      </w:tr>
      <w:tr>
        <w:trPr>
          <w:cantSplit w:val="true"/>
        </w:trPr>
        <w:tc>
          <w:tcPr>
            <w:tcW w:type="dxa" w:w="432"/>
          </w:tcPr>
          <w:p>
            <w:pPr>
              <w:spacing w:after="0"/>
              <w:jc w:val="center"/>
            </w:pPr>
            <w:r>
              <w:rPr>
                <w:b w:val="0"/>
                <w:i w:val="0"/>
                <w:sz w:val="17"/>
              </w:rPr>
              <w:t>7</w:t>
            </w:r>
          </w:p>
        </w:tc>
        <w:tc>
          <w:tcPr>
            <w:tcW w:type="dxa" w:w="3312"/>
          </w:tcPr>
          <w:p>
            <w:pPr>
              <w:spacing w:after="0"/>
              <w:jc w:val="left"/>
            </w:pPr>
            <w:r>
              <w:rPr>
                <w:b w:val="0"/>
                <w:i w:val="0"/>
                <w:sz w:val="17"/>
              </w:rPr>
              <w:t>Revise the manuscript draft by hand</w:t>
            </w:r>
          </w:p>
        </w:tc>
        <w:tc>
          <w:tcPr>
            <w:tcW w:type="dxa" w:w="5904"/>
          </w:tcPr>
          <w:p>
            <w:pPr>
              <w:spacing w:after="0"/>
              <w:jc w:val="left"/>
            </w:pPr>
            <w:r>
              <w:rPr>
                <w:b w:val="0"/>
                <w:i w:val="0"/>
                <w:sz w:val="17"/>
              </w:rPr>
              <w:t>The draft in 07_manuscript/draft/ is generated from the same figures and is marked as not reviewed by a human author.</w:t>
            </w:r>
          </w:p>
        </w:tc>
      </w:tr>
    </w:tbl>
    <w:p>
      <w:pPr>
        <w:spacing w:after="40"/>
      </w:pPr>
    </w:p>
    <w:p>
      <w:pPr>
        <w:spacing w:after="0" w:before="80"/>
      </w:pPr>
      <w:r>
        <w:rPr>
          <w:b w:val="0"/>
          <w:i w:val="0"/>
          <w:color w:val="52514E"/>
          <w:sz w:val="17"/>
        </w:rPr>
        <w:t>Provenance. Every figure is computed by code/analysis/build_executive_summary.py from the project databases (00_admin/CURRENT_FIGURES.md, 05_analysis/sensitivity/SENSITIVITY_ANALYSIS_2026-09-28.md, 05_analysis/effect_sizes/SWIM_DIRECTION_CODING_2026-10-14.csv and SWIM_AI_SCOPE_CHECKS_2026-10-14.csv). The full report is 06_outputs/PRELIMINARY_RESULTS_REPORT_2026-09-29.docx; AI use is described in AI_USE_STATEMENT.md.</w:t>
      </w:r>
    </w:p>
    <w:sectPr w:rsidR="00FC693F" w:rsidRPr="0006063C" w:rsidSect="00034616">
      <w:headerReference w:type="default" r:id="rId9"/>
      <w:foot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val="0"/>
        <w:i w:val="0"/>
        <w:color w:val="52514E"/>
        <w:sz w:val="16"/>
      </w:rPr>
      <w:t>The Legal Last Mile: executive summary of preliminary findings   |   release 0.2.0-interim   |   PRELIMINARY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Calibri" w:hAnsi="Calibri" w:eastAsia="Calibri" w:cs="Calibri"/>
      <w:b/>
      <w:bCs/>
      <w:color w:val="1F3A5F"/>
      <w:sz w:val="27"/>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Calibri" w:hAnsi="Calibri" w:eastAsia="Calibri" w:cs="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before="0"/>
      <w:contextualSpacing/>
    </w:pPr>
    <w:rPr>
      <w:rFonts w:ascii="Calibri" w:hAnsi="Calibri" w:eastAsia="Calibri" w:cs="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Legal Last Mile: executive summary of preliminary findings</dc:title>
  <dc:subject>AI-assisted systematic review of legal and administrative conditions and household water and sanitation access</dc:subject>
  <dc:creator>The Legal Last Mile review project</dc:creator>
  <cp:keywords>systematic review; SWiM; water; sanitation; administrative law; preliminary</cp:keywords>
  <dc:description>generated by python-docx</dc:description>
  <cp:lastModifiedBy>The Legal Last Mile review project</cp:lastModifiedBy>
  <cp:revision>1</cp:revision>
  <dcterms:created xsi:type="dcterms:W3CDTF">2026-10-14T12:00:00Z</dcterms:created>
  <dcterms:modified xsi:type="dcterms:W3CDTF">2026-10-14T12:00:00Z</dcterms:modified>
  <cp:category/>
</cp:coreProperties>
</file>