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author’s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expansion of water and sanitation infrastructure does not automatically guarantee household connection or effective use where legal, regulatory, and administrative conditions—such as eligibility screening, tenure and documentation rules, tariffs, bureaucratic discretion, and enforcement—operate as barriers at the</w:t>
      </w:r>
      <w:r>
        <w:t xml:space="preserve"> </w:t>
      </w:r>
      <w:r>
        <w:t xml:space="preserve">‘</w:t>
      </w:r>
      <w:r>
        <w:t xml:space="preserve">legal last mile.</w:t>
      </w:r>
      <w:r>
        <w:t xml:space="preserve">’</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reports (representing 1,078 distinct studies; 1,076 counting partial sample overlaps) were included and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60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The author independently confirmed 197 chronological full-text inclusions (S001–S200 net of 3 later retirements) and adjudicated a further 248 full-text records (164 exclusions, 84 inclusions) in the scope, consistency and audit passes (A6, A16, A19, A22–A25), so 445 of the 2,277 full-text decisions (19.5%) carry human verification or adjudication; no extracted value has been independently verified.</w:t>
      </w:r>
    </w:p>
    <w:p>
      <w:pPr>
        <w:pStyle w:val="BodyText"/>
      </w:pPr>
      <w:r>
        <w:rPr>
          <w:bCs/>
          <w:b/>
        </w:rPr>
        <w:t xml:space="preserve">Conclusions.</w:t>
      </w:r>
      <w:r>
        <w:t xml:space="preserve"> </w:t>
      </w:r>
      <w:r>
        <w:t xml:space="preserve">The empirical literature extensively documents associations between legal and administrative conditions and household water and sanitation access across diverse institutional contexts, but rarely employs designs capable of isolating causal effects and does not support a single pooled meta-analytic estimate. Overall certainty for causal or cross-jurisdictional magnitude claims remains low to very low, underscoring the need for quasi-experimental and comparative socio-legal designs targeting specific administrative rules.</w:t>
      </w:r>
    </w:p>
    <w:p>
      <w:pPr>
        <w:pStyle w:val="BodyText"/>
      </w:pPr>
      <w:r>
        <w:rPr>
          <w:bCs/>
          <w:b/>
        </w:rPr>
        <w:t xml:space="preserve">Registration.</w:t>
      </w:r>
      <w:r>
        <w:t xml:space="preserve"> </w:t>
      </w:r>
      <w:r>
        <w:t xml:space="preserve">Not registered before the work was done. The protocol was fixed in writing on 2026-08-22 (git commit</w:t>
      </w:r>
      <w:r>
        <w:t xml:space="preserve"> </w:t>
      </w:r>
      <w:r>
        <w:rPr>
          <w:rStyle w:val="VerbatimChar"/>
        </w:rPr>
        <w:t xml:space="preserve">d591062</w:t>
      </w:r>
      <w:r>
        <w:t xml:space="preserve">),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introduction"/>
    <w:p>
      <w:pPr>
        <w:pStyle w:val="Heading2"/>
      </w:pPr>
      <w:r>
        <w:t xml:space="preserve">1. Introduction</w:t>
      </w:r>
    </w:p>
    <w:p>
      <w:pPr>
        <w:pStyle w:val="FirstParagraph"/>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(Bakker et al., 2008; Criqui, 2015; Hackenbroch &amp; Hossain, 2012; Olmstead, 2004).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Most of the systematic reviews in the corpus synthesise a single intervention type or governance model: community participation (Nelson et al., 2021), behaviour-change and legal-provision approaches to household sewer connection (Alam et al., 2025), or the privatisation of one city’s water services (Hendraputra, 2026). The closest cross-cutting review in the corpus, a scoping review of access inequalities in slums, organises its 33 studies into five barrier themes, one of which is governance and policy, rather than by the legal and administrative mechanisms through which access is conditioned (Abdulhadi et al., 2024). To the authors’ knowledge, no prior synthesis maps this evidence with a mechanism-based framework.</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(Page et al., 2021), and SWiM guidance for synthesis without meta-analysis (Campbell et al., 2020).</w:t>
      </w:r>
      <w:r>
        <w:t xml:space="preserve"> </w:t>
      </w:r>
      <w:r>
        <w:rPr>
          <w:bCs/>
          <w:b/>
        </w:rPr>
        <w:t xml:space="preserve">The protocol was not registered before the work was done.</w:t>
      </w:r>
      <w:r>
        <w:t xml:space="preserve"> </w:t>
      </w:r>
      <w:r>
        <w:t xml:space="preserve">It was fixed in writing on 2026-08-22 (git commit</w:t>
      </w:r>
      <w:r>
        <w:t xml:space="preserve"> </w:t>
      </w:r>
      <w:r>
        <w:rPr>
          <w:rStyle w:val="VerbatimChar"/>
        </w:rPr>
        <w:t xml:space="preserve">d591062</w:t>
      </w:r>
      <w:r>
        <w:t xml:space="preserve">),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w:t>
      </w:r>
      <w:r>
        <w:rPr>
          <w:rStyle w:val="VerbatimChar"/>
        </w:rPr>
        <w:t xml:space="preserve">00_admin/preregistration/osf_preregistration_draft.md</w:t>
      </w:r>
      <w:r>
        <w:t xml:space="preserve">)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w:t>
      </w:r>
      <w:r>
        <w:t xml:space="preserve"> </w:t>
      </w:r>
      <w:r>
        <w:rPr>
          <w:rStyle w:val="VerbatimChar"/>
        </w:rPr>
        <w:t xml:space="preserve">CHANGELOG.md</w:t>
      </w:r>
      <w:r>
        <w:t xml:space="preserve">: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about half of a sample of the AI’s full-text exclusions, the author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(open items A6, A16, A19, and A22 to A25) applying criterion 3 (no primary data and no systematic method, code E05), criterion 4 (the outcome is not a household access outcome, E04) and the exposure test (E03); in these passes 83 included reports were moved to the exclusions and three exclusions to the inclusions. Eligibility never depends on the significance, magnitude or direction of a study’s estimate (clarification of 2026-10-14).</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the human reviewer (the author) covered the 3,665 title/abstract records the AI marked include or unsure, and confirmed 197 of the 1,080 full-text includes; the author then adjudicated 248 further full-text decisions, so 445 of the 2,277 decisions (19.5%) carry human verification or adjudication. Full-text retrieval was closed by the author’s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10 studies were extracted from abstract or metadata only and an audit found further rows with signs of shallow extraction (Limitations). The AI later re-read 127 studies from full texts found in the author’s Drive; of the 76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reports of 4 distinct trials),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0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author’s review (four studies the mapping could not place were excluded), and the original labels are preserved; the mapping is mechanical and unvalidated, and the author has not checked it. Free-text study-design labels were mapped to the design list (eight values plus</w:t>
      </w:r>
      <w:r>
        <w:t xml:space="preserve"> </w:t>
      </w:r>
      <w:r>
        <w:rPr>
          <w:rStyle w:val="VerbatimChar"/>
        </w:rPr>
        <w:t xml:space="preserve">other</w:t>
      </w:r>
      <w:r>
        <w:t xml:space="preserve">) in the same way. A feasibility judgment (</w:t>
      </w:r>
      <w:r>
        <w:rPr>
          <w:rStyle w:val="VerbatimChar"/>
        </w:rPr>
        <w:t xml:space="preserve">phase11_quantitative_feasibility_judgment.md</w:t>
      </w:r>
      <w:r>
        <w:t xml:space="preserve">) concluded that no family reaches the bar for meta-analysis, so 60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w:t>
      </w:r>
      <w:r>
        <w:rPr>
          <w:rStyle w:val="VerbatimChar"/>
        </w:rPr>
        <w:t xml:space="preserve">05_analysis/effect_sizes/FAMILY_FIT_AUDIT_2026-10-04.md</w:t>
      </w:r>
      <w:r>
        <w:t xml:space="preserve">),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linked reports and two coding judgment calls, and would remove the rows of studies not flagged eligible (none remain since S589’s row was taken out on 2026-10-14); they are reported as a supplementary table (</w:t>
      </w:r>
      <w:r>
        <w:rPr>
          <w:rStyle w:val="VerbatimChar"/>
        </w:rPr>
        <w:t xml:space="preserve">05_analysis/sensitivity/SENSITIVITY_ANALYSIS_2026-09-28.md</w:t>
      </w:r>
      <w:r>
        <w:t xml:space="preserve">), a standing pre-publication requirement, and the direction coding itself still awaits human verification on a sample.</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author,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author adjudicated 248 further full-text decisions (164 exclusions, 84 inclusions; open items A16, A19, A22 to A25 and A6), so 445 of the 2,277 full-text decisions (19.5%) carry human verification or adjudication,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author’s decision: 2,277 of 3,659 records were assessed and 1,382 were never assessed (1,200 not retrievable, 182 for which the wrong file was obtained). Of the 2,277 assessed, 1,197 were excluded (151 because the full text was inaccessible; reasons for the others are in</w:t>
      </w:r>
      <w:r>
        <w:t xml:space="preserve"> </w:t>
      </w:r>
      <w:r>
        <w:rPr>
          <w:rStyle w:val="VerbatimChar"/>
        </w:rPr>
        <w:t xml:space="preserve">exclusion_log.csv</w:t>
      </w:r>
      <w:r>
        <w:t xml:space="preserve">)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under open item A20, with the original strings kept in</w:t>
      </w:r>
      <w:r>
        <w:t xml:space="preserve"> </w:t>
      </w:r>
      <w:r>
        <w:rPr>
          <w:rStyle w:val="VerbatimChar"/>
        </w:rPr>
        <w:t xml:space="preserve">evidence_map_original_labels_2026-10-14.csv</w:t>
      </w:r>
      <w:r>
        <w:t xml:space="preserve">,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32 studies carry a numeric mechanism-certainty of 3 or 4 (the codebook’s quasi-experimental or experimental evidence),</w:t>
      </w:r>
      <w:r>
        <w:t xml:space="preserve"> </w:t>
      </w:r>
      <w:r>
        <w:rPr>
          <w:bCs/>
          <w:b/>
        </w:rPr>
        <w:t xml:space="preserve">but only 10 of them are among the 63 ROBINS-I/RoB 2 studies; the other 22 are other designs, a coding inconsistency the audit flags</w:t>
      </w:r>
      <w:r>
        <w:t xml:space="preserve"> </w:t>
      </w:r>
      <w:r>
        <w:t xml:space="preserve">(</w:t>
      </w:r>
      <w:r>
        <w:rPr>
          <w:rStyle w:val="VerbatimChar"/>
        </w:rPr>
        <w:t xml:space="preserve">DATA_QUALITY_AUDIT_2026-09-29.md</w:t>
      </w:r>
      <w:r>
        <w:t xml:space="preserve"> </w:t>
      </w:r>
      <w:r>
        <w:t xml:space="preserve">§5); 209 sit at level 1 (documented association) and 268 at level 2; 567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w:t>
      </w:r>
      <w:r>
        <w:t xml:space="preserve"> </w:t>
      </w:r>
      <w:r>
        <w:t xml:space="preserve">‘</w:t>
      </w:r>
      <w:r>
        <w:t xml:space="preserve">high concern</w:t>
      </w:r>
      <w:r>
        <w:t xml:space="preserve">’</w:t>
      </w:r>
      <w:r>
        <w:t xml:space="preserve">, largely reflecting sparse extraction rather than demonstrated weakness. ROBINS-I ratings: Moderate 49, Serious 9. RoB 2 ratings: Some concerns 5; two of the randomised-trial studies (S294 and S366) report the same trial. A numeric mechanism-certainty code of 3 or 4 (quasi-experimental or experimental) was recorded for 32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w:t>
      </w:r>
      <w:r>
        <w:rPr>
          <w:rStyle w:val="VerbatimChar"/>
        </w:rPr>
        <w:t xml:space="preserve">RISK_OF_BIAS.md</w:t>
      </w:r>
      <w:r>
        <w:t xml:space="preserve"> </w:t>
      </w:r>
      <w:r>
        <w:t xml:space="preserve">§4). On 2026-10-14 the PI ruled on all of them (open item A25):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 at most one weak signal (the word</w:t>
      </w:r>
      <w:r>
        <w:t xml:space="preserve"> </w:t>
      </w:r>
      <w:r>
        <w:t xml:space="preserve">“</w:t>
      </w:r>
      <w:r>
        <w:t xml:space="preserve">systematic</w:t>
      </w:r>
      <w:r>
        <w:t xml:space="preserve">”</w:t>
      </w:r>
      <w:r>
        <w:t xml:space="preserve"> </w:t>
      </w:r>
      <w:r>
        <w:t xml:space="preserve">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18 of the 18 received a formal AMSTAR 2 confidence rating</w:t>
      </w:r>
      <w:r>
        <w:t xml:space="preserve"> </w:t>
      </w:r>
      <w:r>
        <w:t xml:space="preserve">(S015 Critically Low, S019 Critically Low, S027 Critically Low, S052 Critically Low, S116 Critically Low, S319 Critically Low, S325 Critically Low, S344 Critically Low, S350 Critically Low, S370 Critically Low, S372 Critically Low, S418 Critically Low, S427 Critically Low, S438 Critically Low, S475 Critically Low, S521 Critically Low, S537 Low, S1168 Critically Low; 17 of the 18 are Critically Low; the others are S537 Low, mostly because of missing protocols, single-database searches, no list of excluded studies or no appraisal of the included studies); the other 0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0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60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11 / 5 / 2 / 0</w:t>
            </w:r>
          </w:p>
        </w:tc>
        <w:tc>
          <w:tcPr/>
          <w:p>
            <w:pPr>
              <w:pStyle w:val="Compact"/>
              <w:jc w:val="left"/>
            </w:pPr>
            <w:r>
              <w:rPr>
                <w:rStyle w:val="VerbatimChar"/>
              </w:rPr>
              <w:t xml:space="preserve">family_A_swim_synthesis_2026-09-28.md</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w:t>
      </w:r>
      <w:r>
        <w:rPr>
          <w:rStyle w:val="VerbatimChar"/>
        </w:rPr>
        <w:t xml:space="preserve">PROJECT_SPEC.md</w:t>
      </w:r>
      <w:r>
        <w:t xml:space="preserve"> </w:t>
      </w:r>
      <w:r>
        <w:t xml:space="preserve">§8, dated note; open item A21).</w:t>
      </w:r>
    </w:p>
    <w:p>
      <w:pPr>
        <w:pStyle w:val="BodyText"/>
      </w:pPr>
      <w:r>
        <w:rPr>
          <w:bCs/>
          <w:b/>
        </w:rPr>
        <w:t xml:space="preserve">Where studies agree.</w:t>
      </w:r>
      <w:r>
        <w:t xml:space="preserve"> </w:t>
      </w:r>
      <w:r>
        <w:t xml:space="preserve">In Family A, 13 of 18 (72.2%)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(10 positive-sign studies plus 3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and dropping Family A’s two coding judgment calls — the pre-stated conclusion tests for A, B and C hold; Family A’s concordant share ranges 68.8–72.2%.</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(848 studies by design class, plus 0 with unmapped free-text design labels) is qualitative, mixed-methods or documentary rather than quantitative. Using the mechanism vocabulary adopted on 2026-10-14 (</w:t>
      </w:r>
      <w:r>
        <w:rPr>
          <w:rStyle w:val="VerbatimChar"/>
        </w:rPr>
        <w:t xml:space="preserve">FAMILY_VOCABULARY_PROPOSAL_2026-09-28.md</w:t>
      </w:r>
      <w:r>
        <w:t xml:space="preserve">,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(original) mechanism label beside the adopted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197 full-text includes were human-confirmed and 248 further decisions were adjudicated by the author, 73 decided rows had no reviewer recorded at the time (the label was inferred afterwards),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532 further includes if the models were right, and an AI triage of the same records puts about 37 under a narrow reading of the criteria (arithmetic only), so the exclusion log may understate the eligible literature substantially; in the other direction, the models would exclude 3 of 40 sampled unconfirmed includes, roughly 66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w:t>
      </w:r>
      <w:r>
        <w:t xml:space="preserve"> </w:t>
      </w:r>
      <w:r>
        <w:t xml:space="preserve">‘</w:t>
      </w:r>
      <w:r>
        <w:t xml:space="preserve">high concern</w:t>
      </w:r>
      <w:r>
        <w:t xml:space="preserve">’</w:t>
      </w:r>
      <w:r>
        <w:t xml:space="preserve"> </w:t>
      </w:r>
      <w:r>
        <w:t xml:space="preserve">largely reflecting sparse extraction; only 18 of 18 AMSTAR 2 reviews could be given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60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and followed by consistency passes (open items A16 and A22 to A25) that moved 83 included reports to the exclusions and three exclusions to the inclusions. It is a post-hoc clarification, not an a priori rule; the wording of the criterion is unchanged, and a different reading would change the included set (</w:t>
      </w:r>
      <w:r>
        <w:rPr>
          <w:rStyle w:val="VerbatimChar"/>
        </w:rPr>
        <w:t xml:space="preserve">INCLUSION_EXCLUSION.md</w:t>
      </w:r>
      <w:r>
        <w:t xml:space="preserve">,</w:t>
      </w:r>
      <w:r>
        <w:t xml:space="preserve"> </w:t>
      </w:r>
      <w:r>
        <w:rPr>
          <w:rStyle w:val="VerbatimChar"/>
        </w:rPr>
        <w:t xml:space="preserve">CHANGELOG.md</w:t>
      </w:r>
      <w:r>
        <w:t xml:space="preserve">).</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Every full-text decision is the AI’s; a human confirmed 197 includes (S001–S200) and no excludes; 73 decided rows had no reviewer label recorded at the time (an AI label was inferred for them on 2026-10-14 from the exclusion log and extraction records, open item A2).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121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532 further includes if the models were right, and about 37 even under a narrow reading of criterion 2 by an AI triage of the same records (arithmetic only, against 1,080 current includes); if even a fraction are eligible, the exclusion log and every count built on it are understated. In the other direction the models would exclude 3 of 40 sampled includes beyond S001–S200, roughly 66 (range 23–175) of the unconfirmed includes if the rate held — a precision question that the human second-screening of includes would settle. The author’s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53 more rows with at least one sign of shallow extraction — 0 whose own notes say only the abstract or citation was read and 15 whose recorded location cites the abstract alone (a verification queue, not proof) — of which 1 carry effect-size rows. There is no second extractor: extracted values have not been checked against the source papers.</w:t>
      </w:r>
    </w:p>
    <w:p>
      <w:pPr>
        <w:numPr>
          <w:ilvl w:val="0"/>
          <w:numId w:val="1008"/>
        </w:numPr>
        <w:pStyle w:val="Compact"/>
      </w:pPr>
      <w:r>
        <w:t xml:space="preserve">51 of 130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60 effect-size rows, 9 give a confidence interval and 26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Anthropic Claude and OpenAI Codex were paid personally by the author, and Google Gemini runs (</w:t>
      </w:r>
      <w:r>
        <w:rPr>
          <w:rStyle w:val="VerbatimChar"/>
        </w:rPr>
        <w:t xml:space="preserve">gemini-3.1-flash-lite</w:t>
      </w:r>
      <w:r>
        <w:t xml:space="preserve">) used the author’s free-tier API key;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w:t>
      </w:r>
    </w:p>
    <w:p>
      <w:pPr>
        <w:numPr>
          <w:ilvl w:val="0"/>
          <w:numId w:val="1009"/>
        </w:numPr>
        <w:pStyle w:val="Compact"/>
      </w:pPr>
      <w:r>
        <w:rPr>
          <w:bCs/>
          <w:b/>
        </w:rPr>
        <w:t xml:space="preserve">Author contributions (CRediT):</w:t>
      </w:r>
      <w:r>
        <w:t xml:space="preserve"> </w:t>
      </w:r>
      <w:r>
        <w:t xml:space="preserve">Claudio Klaus: Conceptualization, Data curation, Formal analysis, Funding acquisition (self-funded), Investigation, Methodology, Project administration, Resources, Software, Supervision, Validation, Visualization, Writing – original draft (direction and revision of AI-assisted synthesis; see AI_USE_STATEMENT.md), Writing – review &amp; editing. The AI tools used (Anthropic Claude, OpenAI Codex, Google Gemini) are not authors; the AI-assisted stages are described in</w:t>
      </w:r>
      <w:r>
        <w:t xml:space="preserve"> </w:t>
      </w:r>
      <w:r>
        <w:rPr>
          <w:rStyle w:val="VerbatimChar"/>
        </w:rPr>
        <w:t xml:space="preserve">AI_USE_STATEMENT.md</w:t>
      </w:r>
      <w:r>
        <w:t xml:space="preserve">.</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release</w:t>
      </w:r>
      <w:r>
        <w:t xml:space="preserve"> </w:t>
      </w:r>
      <w:r>
        <w:rPr>
          <w:rStyle w:val="VerbatimChar"/>
        </w:rPr>
        <w:t xml:space="preserve">0.2.0-interim</w:t>
      </w:r>
      <w:r>
        <w:t xml:space="preserve"> </w:t>
      </w:r>
      <w:r>
        <w:t xml:space="preserve">(tag</w:t>
      </w:r>
      <w:r>
        <w:t xml:space="preserve"> </w:t>
      </w:r>
      <w:r>
        <w:rPr>
          <w:rStyle w:val="VerbatimChar"/>
        </w:rPr>
        <w:t xml:space="preserve">v0.2.0-interim</w:t>
      </w:r>
      <w:r>
        <w:t xml:space="preserve">);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49" w:name="references"/>
    <w:p>
      <w:pPr>
        <w:pStyle w:val="Heading2"/>
      </w:pPr>
      <w:r>
        <w:t xml:space="preserve">References</w:t>
      </w:r>
    </w:p>
    <w:p>
      <w:pPr>
        <w:pStyle w:val="FirstParagraph"/>
      </w:pPr>
      <w:r>
        <w:t xml:space="preserve">Abdulhadi R, Bailey A, Van Noorloos F (2024). Access inequalities to WASH and housing in slums in low- and middle-income countries (LMICs): A scoping review. Glob Public Health 19(1):2369099. https://doi.org/10.1080/17441692.2024.2369099</w:t>
      </w:r>
    </w:p>
    <w:p>
      <w:pPr>
        <w:pStyle w:val="BodyText"/>
      </w:pPr>
      <w:r>
        <w:t xml:space="preserve">Alam MU, Rahat MA, Nawaz S, Neeher N, Tabassum KF, Upoma TA, Kamal A, Evans B, Hutchings P (2025). Behaviour change interventions to promote household connectivity to sewer: a scoping review. Global Health Action, 18(1), 2476335. https://doi.org/10.1080/16549716.2025.2476335</w:t>
      </w:r>
    </w:p>
    <w:p>
      <w:pPr>
        <w:pStyle w:val="BodyText"/>
      </w:pPr>
      <w:r>
        <w:t xml:space="preserve">Bakker K, Kooy M, Shofiani NE, Martijn E-J (2008). Governance Failure: Rethinking the Institutional Dimensions of Urban Water Supply to Poor Households. World Development. https://doi.org/10.1016/j.worlddev.2007.09.015</w:t>
      </w:r>
    </w:p>
    <w:p>
      <w:pPr>
        <w:pStyle w:val="BodyText"/>
      </w:pPr>
      <w:r>
        <w:t xml:space="preserve">Campbell, M., McKenzie, J. E., Sowden, A., Katikireddi, S. V., Brennan, S. E., Ellis, S., et al. (2020). Synthesis without meta-analysis (SWiM) in systematic reviews: reporting guideline.</w:t>
      </w:r>
      <w:r>
        <w:t xml:space="preserve"> </w:t>
      </w:r>
      <w:r>
        <w:rPr>
          <w:iCs/>
          <w:i/>
        </w:rPr>
        <w:t xml:space="preserve">BMJ</w:t>
      </w:r>
      <w:r>
        <w:t xml:space="preserve">, 368, l6890. https://doi.org/10.1136/bmj.l6890</w:t>
      </w:r>
    </w:p>
    <w:p>
      <w:pPr>
        <w:pStyle w:val="BodyText"/>
      </w:pPr>
      <w:r>
        <w:t xml:space="preserve">Criqui L (2015). Infrastructure urbanism: Roadmaps for servicing unplanned urbanisation in emerging cities. Habitat International 47:93-102. https://doi.org/10.1016/j.habitatint.2015.01.015</w:t>
      </w:r>
    </w:p>
    <w:p>
      <w:pPr>
        <w:pStyle w:val="BodyText"/>
      </w:pPr>
      <w:r>
        <w:t xml:space="preserve">Hackenbroch K, Hossain S (2012).</w:t>
      </w:r>
      <w:r>
        <w:t xml:space="preserve"> </w:t>
      </w:r>
      <w:r>
        <w:t xml:space="preserve">“</w:t>
      </w:r>
      <w:r>
        <w:t xml:space="preserve">The organised encroachment of the powerful</w:t>
      </w:r>
      <w:r>
        <w:t xml:space="preserve">”</w:t>
      </w:r>
      <w:r>
        <w:t xml:space="preserve">–Everyday practices of public space and water supply in Dhaka, Bangladesh. Planning Theory &amp; Practice 13:397-420. https://doi.org/10.1080/14649357.2012.694265</w:t>
      </w:r>
    </w:p>
    <w:p>
      <w:pPr>
        <w:pStyle w:val="BodyText"/>
      </w:pPr>
      <w:r>
        <w:t xml:space="preserve">Hendraputra A (2026). From privatization to a governance predicament: A systematic review of Jakarta’s water governance, business models, and sustainability. SHS Web Conf 227:01001. https://doi.org/10.1051/shsconf/202622701001</w:t>
      </w:r>
    </w:p>
    <w:p>
      <w:pPr>
        <w:pStyle w:val="BodyText"/>
      </w:pPr>
      <w:r>
        <w:t xml:space="preserve">Nelson S, Drabarek D, Jenkins A, Negin J, Abimbola S (2021). How community participation in water and sanitation interventions impacts human health, WASH infrastructure and service longevity in low-income and middle-income countries: a realist review. BMJ Open 11:e053320. https://doi.org/10.1136/bmjopen-2021-053320</w:t>
      </w:r>
    </w:p>
    <w:p>
      <w:pPr>
        <w:pStyle w:val="BodyText"/>
      </w:pPr>
      <w:r>
        <w:t xml:space="preserve">Olmstead SM (2004). Thirsty colonias: Rate regulation and the provision of water service. Land Economics 80(1):136-150. https://doi.org/10.2307/3147149</w:t>
      </w:r>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w:t>
      </w:r>
      <w:r>
        <w:t xml:space="preserve">, 372, n71. https://doi.org/10.1136/bmj.n71</w:t>
      </w:r>
    </w:p>
    <w:p>
      <w:pPr>
        <w:pStyle w:val="BodyText"/>
      </w:pPr>
      <w:r>
        <w:t xml:space="preserve">[Author: the Introduction cites included studies and reviews as examples of each point; check each against the paper before submission, and add a general reference on administrative burden if wanted.</w:t>
      </w:r>
      <w:r>
        <w:t xml:space="preserve"> </w:t>
      </w:r>
      <w:r>
        <w:rPr>
          <w:rStyle w:val="VerbatimChar"/>
        </w:rPr>
        <w:t xml:space="preserve">SOURCES.md</w:t>
      </w:r>
      <w:r>
        <w:t xml:space="preserve"> </w:t>
      </w:r>
      <w:r>
        <w:t xml:space="preserve">and</w:t>
      </w:r>
      <w:r>
        <w:t xml:space="preserve"> </w:t>
      </w:r>
      <w:r>
        <w:rPr>
          <w:rStyle w:val="VerbatimChar"/>
        </w:rPr>
        <w:t xml:space="preserve">sources.bib</w:t>
      </w:r>
      <w:r>
        <w:t xml:space="preserve"> </w:t>
      </w:r>
      <w:r>
        <w:t xml:space="preserve">list the methodological sources (RoB 2, ROBINS-I, JBI, CASP, MMAT and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2026-10-14T12:13:10Z</dcterms:created>
  <dcterms:modified xsi:type="dcterms:W3CDTF">2026-10-14T12:13:10Z</dcterms:modified>
</cp:coreProperties>
</file>

<file path=docProps/custom.xml><?xml version="1.0" encoding="utf-8"?>
<Properties xmlns="http://schemas.openxmlformats.org/officeDocument/2006/custom-properties" xmlns:vt="http://schemas.openxmlformats.org/officeDocument/2006/docPropsVTypes"/>
</file>