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OneStream 9.2 – Clear Cube Data Utility</w:t>
        <w:br/>
        <w:t>Professional Implementation Guide</w:t>
      </w:r>
    </w:p>
    <w:p>
      <w:r>
        <w:rPr>
          <w:b/>
        </w:rPr>
        <w:t>Purpose</w:t>
        <w:br/>
      </w:r>
      <w:r>
        <w:t>This document is the implementation guide for a reusable Finance Business Rule based on the DataBuffer pattern used in the uploaded MTCH_DataHelper rule and its Data Management step.</w:t>
        <w:br/>
        <w:br/>
      </w:r>
    </w:p>
    <w:p>
      <w:pPr>
        <w:pStyle w:val="Heading2"/>
      </w:pPr>
      <w:r>
        <w:t>Status</w:t>
      </w:r>
    </w:p>
    <w:p>
      <w:r>
        <w:t>This guide is the framework for the complete implementation. The full compile-ready business rule is too large to generate in a single chat response. It will span several hundred lines of VB.NET plus documentation and exceeds the model response limits.</w:t>
      </w:r>
    </w:p>
    <w:p>
      <w:pPr>
        <w:pStyle w:val="Heading2"/>
      </w:pPr>
      <w:r>
        <w:t>Planned Deliverables</w:t>
      </w:r>
    </w:p>
    <w:p>
      <w:pPr>
        <w:pStyle w:val="ListBullet"/>
      </w:pPr>
      <w:r>
        <w:t>1. Complete Finance Business Rule</w:t>
      </w:r>
    </w:p>
    <w:p>
      <w:pPr>
        <w:pStyle w:val="ListBullet"/>
      </w:pPr>
      <w:r>
        <w:t>2. Data Management configuration</w:t>
      </w:r>
    </w:p>
    <w:p>
      <w:pPr>
        <w:pStyle w:val="ListBullet"/>
      </w:pPr>
      <w:r>
        <w:t>3. Implementation guide</w:t>
      </w:r>
    </w:p>
    <w:p>
      <w:pPr>
        <w:pStyle w:val="ListBullet"/>
      </w:pPr>
      <w:r>
        <w:t>4. Testing guide</w:t>
      </w:r>
    </w:p>
    <w:p>
      <w:pPr>
        <w:pStyle w:val="ListBullet"/>
      </w:pPr>
      <w:r>
        <w:t>5. Troubleshooting guide</w:t>
      </w:r>
    </w:p>
    <w:p>
      <w:pPr>
        <w:pStyle w:val="ListBullet"/>
      </w:pPr>
      <w:r>
        <w:t>6. Performance tuning guide</w:t>
      </w:r>
    </w:p>
    <w:p>
      <w:pPr>
        <w:pStyle w:val="Heading2"/>
      </w:pPr>
      <w:r>
        <w:t>Confirmed Architecture</w:t>
      </w:r>
    </w:p>
    <w:p>
      <w:r>
        <w:t>The uploaded XML establishes the Data Unit (Scenario, Entity, Time, View, Cons). The Finance Business Rule executes once per Data Unit and uses GetExpressionDestinationInfo("") together with GetDataBufferUsingFormula() and SetDataBuffer(). This architecture will be retained.</w:t>
      </w:r>
    </w:p>
    <w:p>
      <w:pPr>
        <w:pStyle w:val="Heading2"/>
      </w:pPr>
      <w:r>
        <w:t>Next Volumes</w:t>
      </w:r>
    </w:p>
    <w:p>
      <w:r>
        <w:t>Volume 1: Architecture</w:t>
        <w:br/>
        <w:t>Volume 2: Complete Business Rule</w:t>
        <w:br/>
        <w:t>Volume 3: Data Management Setup</w:t>
        <w:br/>
        <w:t>Volume 4: Administrator Guide</w:t>
        <w:br/>
        <w:t>Volume 5: Technical Reference</w:t>
        <w:br/>
        <w:t>Volume 6: Testing and Troubleshooting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