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053" w:type="dxa"/>
        <w:jc w:val="left"/>
        <w:tblInd w:w="20" w:type="dxa"/>
        <w:tblCellMar>
          <w:top w:w="0" w:type="dxa"/>
          <w:left w:w="0" w:type="dxa"/>
          <w:bottom w:w="0" w:type="dxa"/>
          <w:right w:w="0" w:type="dxa"/>
        </w:tblCellMar>
        <w:tblLook w:val="0000" w:noHBand="0" w:noVBand="0" w:firstColumn="0" w:lastRow="0" w:lastColumn="0" w:firstRow="0"/>
      </w:tblPr>
      <w:tblGrid>
        <w:gridCol w:w="10053"/>
      </w:tblGrid>
      <w:tr>
        <w:trPr/>
        <w:tc>
          <w:tcPr>
            <w:tcW w:w="10053" w:type="dxa"/>
            <w:tcBorders>
              <w:top w:val="single" w:sz="8" w:space="0" w:color="000000"/>
              <w:bottom w:val="single" w:sz="8" w:space="0" w:color="000000"/>
            </w:tcBorders>
          </w:tcPr>
          <w:p>
            <w:pPr>
              <w:pStyle w:val="ArticleType"/>
              <w:widowControl/>
              <w:bidi w:val="0"/>
              <w:spacing w:before="160" w:after="0"/>
              <w:jc w:val="left"/>
              <w:rPr/>
            </w:pPr>
            <w:r>
              <w:rPr/>
              <w:t>Metagenomic analysis</w:t>
            </w:r>
          </w:p>
          <w:p>
            <w:pPr>
              <w:pStyle w:val="Articletitle"/>
              <w:rPr/>
            </w:pPr>
            <w:r>
              <w:rPr/>
              <w:t>A Strategy and Pipeline for Visualizing Summarized Metagenomic Data on Antimicrobial Resistance Genes</w:t>
            </w:r>
          </w:p>
          <w:p>
            <w:pPr>
              <w:pStyle w:val="Authorname"/>
              <w:rPr/>
            </w:pPr>
            <w:r>
              <w:rPr/>
              <w:t>John Barker</w:t>
            </w:r>
            <w:r>
              <w:rPr>
                <w:vertAlign w:val="superscript"/>
              </w:rPr>
              <w:t>1</w:t>
            </w:r>
          </w:p>
          <w:p>
            <w:pPr>
              <w:pStyle w:val="Affilation"/>
              <w:rPr/>
            </w:pPr>
            <w:r>
              <w:rPr>
                <w:vertAlign w:val="superscript"/>
              </w:rPr>
              <w:t>1</w:t>
            </w:r>
            <w:r>
              <w:rPr/>
              <w:t>Johns Hopkins University</w:t>
            </w:r>
          </w:p>
          <w:p>
            <w:pPr>
              <w:pStyle w:val="Affilation"/>
              <w:spacing w:before="40" w:after="52"/>
              <w:rPr>
                <w:sz w:val="16"/>
                <w:szCs w:val="16"/>
              </w:rPr>
            </w:pPr>
            <w:r>
              <w:rPr>
                <w:sz w:val="16"/>
                <w:szCs w:val="16"/>
              </w:rPr>
              <w:t>Received on 19 Dec 2022</w:t>
            </w:r>
          </w:p>
        </w:tc>
      </w:tr>
    </w:tbl>
    <w:p>
      <w:pPr>
        <w:pStyle w:val="AbstractHead"/>
        <w:spacing w:lineRule="exact" w:line="14"/>
        <w:rPr/>
      </w:pPr>
      <w:r>
        <w:rPr/>
      </w:r>
    </w:p>
    <w:p>
      <w:pPr>
        <w:pStyle w:val="AbstractHead"/>
        <w:spacing w:lineRule="exact" w:line="14" w:before="0" w:after="0"/>
        <w:rPr/>
      </w:pPr>
      <w:r>
        <w:rPr/>
      </w:r>
    </w:p>
    <w:p>
      <w:pPr>
        <w:pStyle w:val="Normal"/>
        <w:rPr/>
      </w:pPr>
      <w:r>
        <w:rPr/>
      </w:r>
    </w:p>
    <w:p>
      <w:pPr>
        <w:sectPr>
          <w:footerReference w:type="default" r:id="rId2"/>
          <w:type w:val="continuous"/>
          <w:pgSz w:w="12240" w:h="15840"/>
          <w:pgMar w:left="1080" w:right="1080" w:header="0" w:top="1400" w:footer="790" w:bottom="1458" w:gutter="0"/>
          <w:formProt w:val="false"/>
          <w:textDirection w:val="lrTb"/>
          <w:docGrid w:type="default" w:linePitch="312" w:charSpace="2047"/>
        </w:sectPr>
      </w:pPr>
    </w:p>
    <w:p>
      <w:pPr>
        <w:pStyle w:val="AbstractHead"/>
        <w:spacing w:lineRule="exact" w:line="200" w:before="0" w:after="10"/>
        <w:rPr/>
      </w:pPr>
      <w:r>
        <w:rPr>
          <w:rStyle w:val="FootnoteAnchor"/>
          <w:vanish/>
          <w:color w:val="FFFFFF"/>
        </w:rPr>
        <w:footnoteReference w:customMarkFollows="1" w:id="2"/>
        <w:t>*</w:t>
      </w:r>
      <w:r>
        <w:rPr>
          <w:rFonts w:ascii="Liberation Serif" w:hAnsi="Liberation Serif"/>
        </w:rPr>
        <w:t>abstract</w:t>
      </w:r>
    </w:p>
    <w:p>
      <w:pPr>
        <w:pStyle w:val="AbstractText"/>
        <w:rPr>
          <w:rFonts w:ascii="Liberation Serif" w:hAnsi="Liberation Serif"/>
        </w:rPr>
      </w:pPr>
      <w:r>
        <w:rPr>
          <w:rFonts w:ascii="Liberation Serif" w:hAnsi="Liberation Serif"/>
          <w:b/>
          <w:bCs/>
        </w:rPr>
        <w:t>Motivation:</w:t>
      </w:r>
      <w:r>
        <w:rPr>
          <w:rFonts w:ascii="Liberation Serif" w:hAnsi="Liberation Serif"/>
        </w:rPr>
        <w:t xml:space="preserve"> The spread of antimicrobial resistance is a growing concern worldwide. The ability to process large environmental datasets through metagenomic analysis is essential to understanding the impact of human activity on the spread of resistance genes throughout bacterial populations. An approach is proposed herein for quickly aligning known plasmids to microbiome datasets, then condensing the resultant analysis into a format for easy visualization and trend mapping to establish correlations with other known environmental factors. This solution promises generalizability to all datasets that include latitude and longitude of initial sampling</w:t>
      </w:r>
    </w:p>
    <w:p>
      <w:pPr>
        <w:pStyle w:val="Heading1"/>
        <w:numPr>
          <w:ilvl w:val="0"/>
          <w:numId w:val="2"/>
        </w:numPr>
        <w:spacing w:before="360" w:after="50"/>
        <w:ind w:left="360" w:hanging="360"/>
        <w:rPr>
          <w:rFonts w:ascii="Liberation Serif" w:hAnsi="Liberation Serif"/>
        </w:rPr>
      </w:pPr>
      <w:r>
        <w:rPr>
          <w:rFonts w:ascii="Liberation Serif" w:hAnsi="Liberation Serif"/>
        </w:rPr>
        <w:t xml:space="preserve">introduction </w:t>
      </w:r>
    </w:p>
    <w:p>
      <w:pPr>
        <w:pStyle w:val="Para"/>
        <w:rPr>
          <w:rFonts w:ascii="Liberation Serif" w:hAnsi="Liberation Serif"/>
        </w:rPr>
      </w:pPr>
      <w:r>
        <w:rPr>
          <w:rFonts w:ascii="Liberation Serif" w:hAnsi="Liberation Serif"/>
        </w:rPr>
        <w:t xml:space="preserve">The World Health Organization characterizes antimicrobial resistance (AMR) as a “global health and development threat,” that is, “one of the top 10 global public health threats facing humanity.” The growing use of antibiotics and other antimicrobial agents at scale – both in human medicine and to support agricultural concerns – are the most significant contributors to the reduced effectiveness of these agents (WHO, 2021). Different studies assign different significance to the contributions of agricultural antibiotic use (Manyi-Loh et al., 2018) or the general quality of water infrastructure (Nikolaos et al., 2022), but </w:t>
      </w:r>
      <w:r>
        <w:rPr>
          <w:rFonts w:ascii="Liberation Serif" w:hAnsi="Liberation Serif"/>
          <w:sz w:val="18"/>
        </w:rPr>
        <w:t>the existence of a broad and interconnected resistome allowing for the exchange and persistence of AMR genes within and between bacterial species is a known vector for the worsening of this public health challenge. (Su et al., 2017).</w:t>
      </w:r>
    </w:p>
    <w:p>
      <w:pPr>
        <w:pStyle w:val="Para"/>
        <w:rPr>
          <w:rFonts w:ascii="Liberation Serif" w:hAnsi="Liberation Serif"/>
        </w:rPr>
      </w:pPr>
      <w:r>
        <w:rPr>
          <w:rFonts w:ascii="Liberation Serif" w:hAnsi="Liberation Serif"/>
          <w:sz w:val="18"/>
        </w:rPr>
        <w:t>A wide array of tools exist for the prediction and characterization of particular genes and their homologs within a given sample from a microbiome. Unfortunately, it is a time consuming process to sift through the considerable volume of unstandardized data that is produced from these methods, and any insights gleaned from them are often specific to a particular generated gene assembly from a sequencing run. This project aims to select a very small number of features captured from metagenomic data and collect them into a condensed form that can leverage a small processed file size and the registered geographical coordinates of sampling projects to allow for location-based mapping of many different datasets, creating scatter plot maps that can provide a quick dashboard-like overview of regional variation in known or predicted antimicrobial resistance genes. The application of this approach to scan geo-tagged datasets for other genes of interest from a pre-established list of monitoring targets is beyond the scope of this project, however it may be that a similar approach to creating a small and easily maintained tool for processing and mapping insights from large data sets would be useful in addressing other public health questions as well.</w:t>
      </w:r>
    </w:p>
    <w:p>
      <w:pPr>
        <w:pStyle w:val="Heading1"/>
        <w:numPr>
          <w:ilvl w:val="0"/>
          <w:numId w:val="2"/>
        </w:numPr>
        <w:spacing w:before="360" w:after="50"/>
        <w:ind w:left="360" w:hanging="360"/>
        <w:rPr>
          <w:rFonts w:ascii="Liberation Serif" w:hAnsi="Liberation Serif"/>
        </w:rPr>
      </w:pPr>
      <w:r>
        <w:rPr>
          <w:rFonts w:ascii="Liberation Serif" w:hAnsi="Liberation Serif"/>
        </w:rPr>
        <w:t>methods</w:t>
      </w:r>
    </w:p>
    <w:p>
      <w:pPr>
        <w:pStyle w:val="Para1"/>
        <w:rPr>
          <w:rFonts w:ascii="Liberation Serif" w:hAnsi="Liberation Serif"/>
        </w:rPr>
      </w:pPr>
      <w:r>
        <w:rPr>
          <w:rFonts w:ascii="Liberation Serif" w:hAnsi="Liberation Serif"/>
        </w:rPr>
        <w:t>This pipeline approach relies upon the existing work of Alcock et al. and  the Resistance Gene Identifier tool linked to McMaster University’s Comprehensive Antimicrobial Resistance Database, however the strategy is designed to be generalizable to other environmental metagenomics questions.  The RGI tool, in turn, relies upon the Prodigal tool for open reading frame (ORF) prediction and homolog detection using the DIAMOND rapid alignment tool. The CARD RGI web interface can be used to process smaller files and its command line version can be acquired and installed to process larger datasets – its predictions of antimicrobial resistance genes from metagenomic datasets taken from the Joint Genome Institute’s IMG/M database are here used to produce proof of concept visualizations using a standardized file format for easy later reprocessing.</w:t>
      </w:r>
    </w:p>
    <w:p>
      <w:pPr>
        <w:pStyle w:val="Para1"/>
        <w:rPr>
          <w:rFonts w:ascii="Liberation Serif" w:hAnsi="Liberation Serif"/>
        </w:rPr>
      </w:pPr>
      <w:r>
        <w:rPr>
          <w:rFonts w:ascii="Liberation Serif" w:hAnsi="Liberation Serif"/>
        </w:rPr>
        <w:t>The analysis of this data takes place in three steps: gene prediction, output parsing, and visualization, with options for user defined parameters at each step.</w:t>
      </w:r>
    </w:p>
    <w:p>
      <w:pPr>
        <w:pStyle w:val="Para1"/>
        <w:rPr>
          <w:rFonts w:ascii="Liberation Serif" w:hAnsi="Liberation Serif"/>
        </w:rPr>
      </w:pPr>
      <w:r>
        <w:rPr>
          <w:rFonts w:ascii="Liberation Serif" w:hAnsi="Liberation Serif"/>
        </w:rPr>
        <w:t>Initially, selected datasets were acquired from the IMG/M database and run through the RGI interface using default settings and the presets for low quality/coverage assemblies to allow for the prediction of partial genes. The RGI’s “nudge” setting was enabled to bump &gt;95% identity hits to always clear the threshold for “strict” hit cutoffs, but the tool was also set to include Perfect and Loose hits to maximize available data for processing.</w:t>
      </w:r>
    </w:p>
    <w:p>
      <w:pPr>
        <w:pStyle w:val="Para1"/>
        <w:rPr>
          <w:rFonts w:ascii="Liberation Serif" w:hAnsi="Liberation Serif"/>
        </w:rPr>
      </w:pPr>
      <w:r>
        <w:rPr>
          <w:rFonts w:ascii="Liberation Serif" w:hAnsi="Liberation Serif"/>
        </w:rPr>
        <w:t xml:space="preserve">For output parsing, the rgiparser tool was implemented to quickly collect outputs from the RGI pipeline. After user definition of a manifest file </w:t>
      </w:r>
      <w:r>
        <w:rPr>
          <w:rFonts w:ascii="Liberation Serif" w:hAnsi="Liberation Serif"/>
          <w:sz w:val="16"/>
        </w:rPr>
        <w:t>associating</w:t>
      </w:r>
      <w:r>
        <w:rPr>
          <w:rFonts w:ascii="Liberation Serif" w:hAnsi="Liberation Serif"/>
        </w:rPr>
        <w:t xml:space="preserve"> manually </w:t>
      </w:r>
      <w:r>
        <w:rPr>
          <w:rFonts w:ascii="Liberation Serif" w:hAnsi="Liberation Serif"/>
          <w:sz w:val="16"/>
        </w:rPr>
        <w:t>entered</w:t>
      </w:r>
      <w:r>
        <w:rPr>
          <w:rFonts w:ascii="Liberation Serif" w:hAnsi="Liberation Serif"/>
        </w:rPr>
        <w:t xml:space="preserve"> latitude and longitude coordinates with the file paths of data to be processed, the tool will create a summarized list of identified resistances resulting from an RGI-predicted AMR gene and collect them together into a .csv file that can then be passed to the third visualization step of the process. This step is kept isolated from the others to improve modularity such that other scripts might be developed using the same summarized output format, and so that once these large files have been processed once, they need not be re-scanned every time a new visualization is needed.</w:t>
      </w:r>
    </w:p>
    <w:p>
      <w:pPr>
        <w:pStyle w:val="Para1"/>
        <w:rPr>
          <w:rFonts w:ascii="Liberation Serif" w:hAnsi="Liberation Serif"/>
        </w:rPr>
      </w:pPr>
      <w:r>
        <w:rPr>
          <w:rFonts w:ascii="Liberation Serif" w:hAnsi="Liberation Serif"/>
        </w:rPr>
        <w:t>The final step of this process is the creation of the end product – an interactive summary visualization of the processed data using the Plotly library to place scaled dots representing different incidences of antimicrobial resistance at the latitude and longitude coordinates of data sampling. The creation of this output is shaped by the settings in the user defined configuration file which allow for the application of a cutoff for sequence identity, a custom title for the visualization project, and a visualization of the total number of hits within an area. The program will also generate a histogram capturing the distribution of classified drug resistances within the provided data set, to provide further detail and insight.</w:t>
      </w:r>
    </w:p>
    <w:p>
      <w:pPr>
        <w:pStyle w:val="Heading1"/>
        <w:keepNext w:val="true"/>
        <w:numPr>
          <w:ilvl w:val="0"/>
          <w:numId w:val="2"/>
        </w:numPr>
        <w:spacing w:before="360" w:after="50"/>
        <w:ind w:left="360" w:hanging="360"/>
        <w:rPr>
          <w:rFonts w:ascii="Liberation Serif" w:hAnsi="Liberation Serif"/>
        </w:rPr>
      </w:pPr>
      <w:r>
        <w:rPr>
          <w:rFonts w:ascii="Liberation Serif" w:hAnsi="Liberation Serif"/>
        </w:rPr>
        <w:t>results</w:t>
      </w:r>
    </w:p>
    <w:p>
      <w:pPr>
        <w:pStyle w:val="Para1"/>
        <w:rPr>
          <w:rFonts w:ascii="Liberation Serif" w:hAnsi="Liberation Serif"/>
        </w:rPr>
      </w:pPr>
      <w:r>
        <w:rPr>
          <w:rFonts w:ascii="Liberation Serif" w:hAnsi="Liberation Serif"/>
        </w:rPr>
        <w:t xml:space="preserve">For this study, </w:t>
      </w:r>
      <w:r>
        <w:rPr>
          <w:rFonts w:ascii="Liberation Serif" w:hAnsi="Liberation Serif"/>
          <w:sz w:val="16"/>
        </w:rPr>
        <w:t>three</w:t>
      </w:r>
      <w:r>
        <w:rPr>
          <w:rFonts w:ascii="Liberation Serif" w:hAnsi="Liberation Serif"/>
        </w:rPr>
        <w:t xml:space="preserve"> metagenomic datasets of human-connected microbiomes from a city subway, a groundwater contamination site, and a wastewater treatment plant were assessed using the RGI tool. These files were then loaded into the  script and used to generate summarized data sets, which were later grouped according to the RGI model’s characterization of their antimicrobial resistance type. The resultant figures are captured below. Noteably, RGI did not identify antimicrobial resistance genes, even using the most permissive settings, for prokaryotes sequenced from the New York City subway, and so no hits are plotted for this data. A dummy entry is also included for reference to document a small number of hits, set with the coordinates of JHU in the manifest file.</w:t>
      </w:r>
    </w:p>
    <w:p>
      <w:pPr>
        <w:pStyle w:val="Para1"/>
        <w:ind w:hanging="0"/>
        <w:rPr>
          <w:rFonts w:ascii="Liberation Serif" w:hAnsi="Liberation Serif"/>
          <w:b/>
          <w:b/>
          <w:bCs/>
        </w:rPr>
      </w:pPr>
      <w:r>
        <w:rPr>
          <w:rFonts w:ascii="Liberation Serif" w:hAnsi="Liberation Serif"/>
          <w:b/>
          <w:bCs/>
        </w:rPr>
        <w:t>Figure 1. A color coded frequency plot of number of AMR gene hits above the cutoff threshold (50% sequence identity)</w:t>
      </w:r>
    </w:p>
    <w:p>
      <w:pPr>
        <w:pStyle w:val="Para1"/>
        <w:ind w:hanging="0"/>
        <w:rPr>
          <w:rFonts w:ascii="Liberation Serif" w:hAnsi="Liberation Serif"/>
          <w:b/>
          <w:b/>
          <w:bCs/>
        </w:rPr>
      </w:pPr>
      <w:r>
        <w:rPr>
          <w:rFonts w:ascii="Liberation Serif" w:hAnsi="Liberation Serif"/>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86100" cy="14471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86100" cy="1447165"/>
                    </a:xfrm>
                    <a:prstGeom prst="rect">
                      <a:avLst/>
                    </a:prstGeom>
                  </pic:spPr>
                </pic:pic>
              </a:graphicData>
            </a:graphic>
          </wp:anchor>
        </w:drawing>
      </w:r>
    </w:p>
    <w:p>
      <w:pPr>
        <w:pStyle w:val="Para1"/>
        <w:ind w:hanging="0"/>
        <w:rPr>
          <w:rFonts w:ascii="Liberation Serif" w:hAnsi="Liberation Serif"/>
          <w:b/>
          <w:b/>
          <w:bCs/>
        </w:rPr>
      </w:pPr>
      <w:r>
        <w:rPr>
          <w:rFonts w:ascii="Liberation Serif" w:hAnsi="Liberation Serif"/>
          <w:b/>
          <w:bCs/>
        </w:rPr>
        <w:t>Figure 2. A histogram summarizing the data and demonstrating the distribution of types of AMR resistance genes</w:t>
      </w:r>
    </w:p>
    <w:p>
      <w:pPr>
        <w:pStyle w:val="Para1"/>
        <w:ind w:hanging="0"/>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086100" cy="14712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086100" cy="1471295"/>
                    </a:xfrm>
                    <a:prstGeom prst="rect">
                      <a:avLst/>
                    </a:prstGeom>
                  </pic:spPr>
                </pic:pic>
              </a:graphicData>
            </a:graphic>
          </wp:anchor>
        </w:drawing>
      </w:r>
    </w:p>
    <w:p>
      <w:pPr>
        <w:pStyle w:val="Para1"/>
        <w:ind w:hanging="0"/>
        <w:rPr>
          <w:rFonts w:ascii="Liberation Serif" w:hAnsi="Liberation Serif"/>
          <w:b/>
          <w:b/>
          <w:bCs/>
        </w:rPr>
      </w:pPr>
      <w:r>
        <w:rPr>
          <w:rFonts w:ascii="Liberation Serif" w:hAnsi="Liberation Serif"/>
          <w:b w:val="false"/>
          <w:bCs w:val="false"/>
        </w:rPr>
        <w:t>This tool can be extended to process far larger data sets spanning far greater geographic areas, and the approach captured here should be considered when attempting to make sense of a number of large metagenomic datasets. While fragment recruitment plots and other tools are essential to understanding individual metagenomic reads, the bigger picture requires summarization and visualization in a more immediately human-readable manner. Encouragingly, the Comprehensive Antimicrobial Resistance Database and the SARG database are both attempting to do just that, creating live readouts mapping time and place of their datasets onto a global monitoring tool, although further work is needed to ensure that this is ultimately completed.</w:t>
      </w:r>
    </w:p>
    <w:p>
      <w:pPr>
        <w:pStyle w:val="AckHead"/>
        <w:spacing w:before="360" w:after="50"/>
        <w:rPr>
          <w:rFonts w:ascii="Liberation Serif" w:hAnsi="Liberation Serif"/>
        </w:rPr>
      </w:pPr>
      <w:r>
        <w:rPr>
          <w:rFonts w:ascii="Liberation Serif" w:hAnsi="Liberation Serif"/>
        </w:rPr>
        <w:t>acknowledgements</w:t>
      </w:r>
    </w:p>
    <w:p>
      <w:pPr>
        <w:pStyle w:val="AckText"/>
        <w:rPr>
          <w:rFonts w:ascii="Liberation Serif" w:hAnsi="Liberation Serif"/>
        </w:rPr>
      </w:pPr>
      <w:r>
        <w:br w:type="column"/>
      </w:r>
      <w:r>
        <w:rPr>
          <w:rFonts w:ascii="Liberation Serif" w:hAnsi="Liberation Serif"/>
        </w:rPr>
        <w:t>Professor Joshua Orvis assisted with the planning of and impetus for this project.</w:t>
      </w:r>
    </w:p>
    <w:p>
      <w:pPr>
        <w:pStyle w:val="AckText"/>
        <w:rPr>
          <w:rFonts w:ascii="Liberation Serif" w:hAnsi="Liberation Serif"/>
        </w:rPr>
      </w:pPr>
      <w:r>
        <w:rPr>
          <w:rFonts w:ascii="Liberation Serif" w:hAnsi="Liberation Serif"/>
        </w:rPr>
      </w:r>
    </w:p>
    <w:p>
      <w:pPr>
        <w:pStyle w:val="RefHead"/>
        <w:rPr>
          <w:rFonts w:ascii="Liberation Serif" w:hAnsi="Liberation Serif"/>
        </w:rPr>
      </w:pPr>
      <w:r>
        <w:rPr>
          <w:rFonts w:ascii="Liberation Serif" w:hAnsi="Liberation Serif"/>
        </w:rPr>
        <w:t>References</w:t>
      </w:r>
    </w:p>
    <w:p>
      <w:pPr>
        <w:pStyle w:val="RefText"/>
        <w:rPr>
          <w:rFonts w:ascii="Liberation Serif" w:hAnsi="Liberation Serif"/>
        </w:rPr>
      </w:pPr>
      <w:r>
        <w:rPr>
          <w:rFonts w:ascii="Liberation Serif" w:hAnsi="Liberation Serif"/>
        </w:rPr>
        <w:t>Alcock et al. 2023. CARD 2023: Expanded Curation, Support for Machine Learning, and Resistome Prediction at the Comprehensive Antibiotic Resistance Database. Nucleic Acids Research, in press.</w:t>
      </w:r>
    </w:p>
    <w:p>
      <w:pPr>
        <w:pStyle w:val="RefText"/>
        <w:rPr>
          <w:rFonts w:ascii="Liberation Serif" w:hAnsi="Liberation Serif"/>
        </w:rPr>
      </w:pPr>
      <w:r>
        <w:rPr>
          <w:rFonts w:ascii="Liberation Serif" w:hAnsi="Liberation Serif"/>
        </w:rPr>
        <w:t>Benjamin Buchfink, Chao Xie &amp; Daniel H. Huson, Fast and Sensitive Protein Alignment using DIAMOND, Nature Methods, 12, 59–60 (2015) doi:10.1038/nmeth.3176.</w:t>
      </w:r>
    </w:p>
    <w:p>
      <w:pPr>
        <w:pStyle w:val="RefText"/>
        <w:rPr>
          <w:rFonts w:ascii="Liberation Serif" w:hAnsi="Liberation Serif"/>
        </w:rPr>
      </w:pPr>
      <w:r>
        <w:rPr>
          <w:rFonts w:ascii="Liberation Serif" w:hAnsi="Liberation Serif"/>
        </w:rPr>
        <w:t>Manyi-Loh C, Mamphweli S, Meyer E, Okoh A. Antibiotic Use in Agriculture and Its Consequential Resistance in Environmental Sources: Potential Public Health Implications. Molecules. 2018 Mar 30;23(4):795. doi: 10.3390/molecules23040795. PMID: 29601469; PMCID: PMC6017557.</w:t>
      </w:r>
    </w:p>
    <w:p>
      <w:pPr>
        <w:pStyle w:val="RefText"/>
        <w:rPr/>
      </w:pPr>
      <w:r>
        <w:rPr>
          <w:rFonts w:ascii="Liberation Serif" w:hAnsi="Liberation Serif"/>
        </w:rPr>
        <w:t xml:space="preserve">Nikolaos I. Rousis, Zhe Li, Richard Bade, Michael S. McLachlan, Jochen F. Mueller, Jake W. O'Brien, Saer Samanipour, Benjamin J. Tscharke, Nikolaos S. Thomaidis, Kevin V. Thomas, Socioeconomic status and public health in Australia: A wastewater-based study, Environment International, Volume 167, 2022, 107436, ISSN 0160-4120, </w:t>
      </w:r>
      <w:hyperlink r:id="rId5">
        <w:r>
          <w:rPr>
            <w:rStyle w:val="InternetLink"/>
            <w:rFonts w:ascii="Liberation Serif" w:hAnsi="Liberation Serif"/>
          </w:rPr>
          <w:t>https://doi.org/10.1016/j.envint.2022.107436</w:t>
        </w:r>
      </w:hyperlink>
      <w:r>
        <w:rPr>
          <w:rFonts w:ascii="Liberation Serif" w:hAnsi="Liberation Serif"/>
        </w:rPr>
        <w:t>.</w:t>
      </w:r>
    </w:p>
    <w:p>
      <w:pPr>
        <w:pStyle w:val="RefText"/>
        <w:rPr/>
      </w:pPr>
      <w:r>
        <w:rPr/>
        <w:t>Pillay, Manoj. Sewage treatment plant microbial communities from Vermont, USA – HR2_B, JGI Accession #198747/IMG3300030034</w:t>
      </w:r>
    </w:p>
    <w:p>
      <w:pPr>
        <w:pStyle w:val="RefText"/>
        <w:rPr>
          <w:rFonts w:ascii="Liberation Serif" w:hAnsi="Liberation Serif"/>
        </w:rPr>
      </w:pPr>
      <w:r>
        <w:rPr>
          <w:rFonts w:ascii="Liberation Serif" w:hAnsi="Liberation Serif"/>
        </w:rPr>
        <w:t>Sorted cell/s from water treatment plant in SURF, South Dakota, USA - Parcubacteria bacterium SCGC_AG-578-G05. Accession: PRJNA444638 ID: 444638</w:t>
      </w:r>
    </w:p>
    <w:p>
      <w:pPr>
        <w:pStyle w:val="RefText"/>
        <w:rPr>
          <w:rFonts w:ascii="Liberation Serif" w:hAnsi="Liberation Serif"/>
        </w:rPr>
      </w:pPr>
      <w:r>
        <w:rPr>
          <w:rFonts w:ascii="Liberation Serif" w:hAnsi="Liberation Serif"/>
        </w:rPr>
        <w:t>Sorted cells from water treatment plant in Sanford Underground Research Facility (SURF), South Dakota to study Microbial Dark Matter phase II</w:t>
      </w:r>
    </w:p>
    <w:p>
      <w:pPr>
        <w:pStyle w:val="RefText"/>
        <w:rPr>
          <w:rFonts w:ascii="Liberation Serif" w:hAnsi="Liberation Serif"/>
        </w:rPr>
      </w:pPr>
      <w:r>
        <w:rPr>
          <w:rFonts w:ascii="Liberation Serif" w:hAnsi="Liberation Serif"/>
        </w:rPr>
        <w:t>Stegen, James. Coupling Microbial Communities to Carbon and Contaminant Biogeochemistry in the Groundwater-Surface Water Interaction Zone: GW-RW metaG T4_4-Nov-14. JGI IMG 1066008. https://www.osti.gov/award-doi-service/biblio/10.46936/jejc.proj.2014.48473/60005497</w:t>
      </w:r>
    </w:p>
    <w:p>
      <w:pPr>
        <w:pStyle w:val="RefText"/>
        <w:rPr/>
      </w:pPr>
      <w:r>
        <w:rPr>
          <w:rFonts w:ascii="Liberation Serif" w:hAnsi="Liberation Serif"/>
        </w:rPr>
        <w:t xml:space="preserve">Su, JQ., An, XL., Li, B. et al. Metagenomics of urban sewage identifies an extensively shared antibiotic resistome in China. Microbiome 5, 84 (2017). </w:t>
      </w:r>
      <w:r>
        <w:rPr>
          <w:rStyle w:val="InternetLink"/>
          <w:rFonts w:ascii="Liberation Serif" w:hAnsi="Liberation Serif"/>
        </w:rPr>
        <w:t>https://doi.org/10.1186/s40168-017-0298-y</w:t>
      </w:r>
    </w:p>
    <w:p>
      <w:pPr>
        <w:pStyle w:val="RefText"/>
        <w:rPr>
          <w:rFonts w:ascii="Liberation Serif" w:hAnsi="Liberation Serif"/>
        </w:rPr>
      </w:pPr>
      <w:r>
        <w:rPr>
          <w:rFonts w:ascii="Liberation Serif" w:hAnsi="Liberation Serif"/>
        </w:rPr>
        <w:t xml:space="preserve">Urban prokaryotic and eukaryotic communities from the subway and surrounding areas in New York, USA.  </w:t>
        <w:tab/>
        <w:t>Study ID: Gs0118444  Project ID: Gp0134944  Analysis ID: Ga0120709  </w:t>
      </w:r>
    </w:p>
    <w:p>
      <w:pPr>
        <w:pStyle w:val="RefText"/>
        <w:rPr>
          <w:rFonts w:ascii="Liberation Serif" w:hAnsi="Liberation Serif"/>
        </w:rPr>
      </w:pPr>
      <w:r>
        <w:rPr>
          <w:rFonts w:ascii="Liberation Serif" w:hAnsi="Liberation Serif"/>
        </w:rPr>
        <w:t>World Health Organization. (2021) Antimicrobial resistance. World Health Organization. https://www.who.int/news-room/fact-sheets/detail/antimicrobial-resistance (Accessed: December 8, 2022).</w:t>
      </w:r>
    </w:p>
    <w:p>
      <w:pPr>
        <w:pStyle w:val="RefText"/>
        <w:rPr>
          <w:rFonts w:ascii="Liberation Serif" w:hAnsi="Liberation Serif"/>
        </w:rPr>
      </w:pPr>
      <w:r>
        <w:rPr>
          <w:rFonts w:ascii="Liberation Serif" w:hAnsi="Liberation Serif"/>
        </w:rPr>
        <w:t>Yin, X, X-T Jiang, B. Chai, L. Li, Y. Yang, J. R. Cole, J. M. Tiedje*, and T. Zhang*.(2018) "ARGs-OAP v2. 0 with an Expanded SARG Database and Hidden Markov Models for Enhancement Characterization and Quantification of Antibiotic Resistance Genes in Environmental Metagenomes." Bioinformatics 1:8. DOI:10.1093/bioinformatics/bty053.</w:t>
      </w:r>
    </w:p>
    <w:sectPr>
      <w:footnotePr>
        <w:numFmt w:val="decimal"/>
      </w:footnotePr>
      <w:type w:val="continuous"/>
      <w:pgSz w:w="12240" w:h="15840"/>
      <w:pgMar w:left="1080" w:right="1080" w:header="0" w:top="1400" w:footer="790" w:bottom="1458" w:gutter="0"/>
      <w:cols w:num="2" w:space="360" w:equalWidth="true" w:sep="false"/>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Helvetica">
    <w:altName w:val="Arial"/>
    <w:charset w:val="01"/>
    <w:family w:val="roman"/>
    <w:pitch w:val="variable"/>
  </w:font>
  <w:font w:name="Arial">
    <w:charset w:val="01"/>
    <w:family w:val="roman"/>
    <w:pitch w:val="variable"/>
  </w:font>
  <w:font w:name="Liberation Sans">
    <w:altName w:val="Arial"/>
    <w:charset w:val="01"/>
    <w:family w:val="roman"/>
    <w:pitch w:val="variable"/>
  </w:font>
  <w:font w:name="Helvetica-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pyrightLine"/>
      <w:rPr/>
    </w:pPr>
    <w:r>
      <mc:AlternateContent>
        <mc:Choice Requires="wps">
          <w:drawing>
            <wp:anchor behindDoc="1" distT="0" distB="0" distL="0" distR="0" simplePos="0" locked="0" layoutInCell="1" allowOverlap="1" relativeHeight="3">
              <wp:simplePos x="0" y="0"/>
              <wp:positionH relativeFrom="column">
                <wp:posOffset>0</wp:posOffset>
              </wp:positionH>
              <wp:positionV relativeFrom="page">
                <wp:posOffset>9378315</wp:posOffset>
              </wp:positionV>
              <wp:extent cx="4493260" cy="1270"/>
              <wp:effectExtent l="0" t="0" r="0" b="0"/>
              <wp:wrapNone/>
              <wp:docPr id="1" name="Image1"/>
              <a:graphic xmlns:a="http://schemas.openxmlformats.org/drawingml/2006/main">
                <a:graphicData uri="http://schemas.microsoft.com/office/word/2010/wordprocessingShape">
                  <wps:wsp>
                    <wps:cNvSpPr/>
                    <wps:spPr>
                      <a:xfrm>
                        <a:off x="0" y="0"/>
                        <a:ext cx="449280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0pt,738.45pt" to="353.7pt,738.45pt" ID="Image1" stroked="t" style="position:absolute;mso-position-vertical-relative:page">
              <v:stroke color="black" weight="12600" joinstyle="round" endcap="flat"/>
              <v:fill o:detectmouseclick="t" on="false"/>
            </v:line>
          </w:pict>
        </mc:Fallback>
      </mc:AlternateContent>
    </w:r>
    <w:r>
      <w:rPr/>
      <w:t>© Oxford University Press 2005</w:t>
      <w:tab/>
    </w: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lineRule="exact" w:line="200" w:before="20" w:after="0"/>
        <w:rPr/>
      </w:pPr>
      <w:r>
        <w:rPr>
          <w:rStyle w:val="FootnoteCharacters"/>
        </w:rPr>
        <w:t>*</w:t>
      </w:r>
      <w:r>
        <w:rPr>
          <w:rStyle w:val="FootnoteCharacters"/>
        </w:rPr>
        <w:t>*</w:t>
      </w:r>
      <w:r>
        <w:rPr/>
        <w:t xml:space="preserve">To whom correspondence should be addressed.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360"/>
      </w:pPr>
    </w:lvl>
    <w:lvl w:ilvl="1">
      <w:start w:val="1"/>
      <w:pStyle w:val="Heading2"/>
      <w:numFmt w:val="decimal"/>
      <w:lvlText w:val="%1.%2"/>
      <w:lvlJc w:val="left"/>
      <w:pPr>
        <w:tabs>
          <w:tab w:val="num" w:pos="544"/>
        </w:tabs>
        <w:ind w:left="544" w:hanging="544"/>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1.%2"/>
      <w:lvlJc w:val="left"/>
      <w:pPr>
        <w:tabs>
          <w:tab w:val="num" w:pos="544"/>
        </w:tabs>
        <w:ind w:left="544" w:hanging="544"/>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doNotHyphenateCaps/>
  <w:footnotePr>
    <w:numFmt w:val="decimal"/>
    <w:footnote w:id="0"/>
    <w:footnote w:id="1"/>
  </w:footnotePr>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false"/>
      <w:bidi w:val="0"/>
      <w:spacing w:lineRule="exact" w:line="240" w:before="0" w:after="0"/>
      <w:jc w:val="left"/>
    </w:pPr>
    <w:rPr>
      <w:rFonts w:ascii="Times" w:hAnsi="Times" w:eastAsia="Times New Roman" w:cs="Times New Roman"/>
      <w:color w:val="auto"/>
      <w:kern w:val="0"/>
      <w:sz w:val="20"/>
      <w:szCs w:val="24"/>
      <w:lang w:val="en-US" w:eastAsia="en-US" w:bidi="ar-SA"/>
    </w:rPr>
  </w:style>
  <w:style w:type="paragraph" w:styleId="Heading1">
    <w:name w:val="Heading 1"/>
    <w:next w:val="Normal"/>
    <w:qFormat/>
    <w:pPr>
      <w:widowControl/>
      <w:numPr>
        <w:ilvl w:val="0"/>
        <w:numId w:val="1"/>
      </w:numPr>
      <w:suppressAutoHyphens w:val="true"/>
      <w:bidi w:val="0"/>
      <w:spacing w:lineRule="exact" w:line="240" w:before="226" w:after="50"/>
      <w:ind w:left="357" w:hanging="357"/>
      <w:jc w:val="left"/>
      <w:outlineLvl w:val="0"/>
    </w:pPr>
    <w:rPr>
      <w:rFonts w:ascii="Helvetica" w:hAnsi="Helvetica" w:eastAsia="Times New Roman" w:cs="Times New Roman"/>
      <w:b/>
      <w:caps/>
      <w:color w:val="auto"/>
      <w:kern w:val="0"/>
      <w:sz w:val="20"/>
      <w:szCs w:val="20"/>
      <w:lang w:val="en-US" w:eastAsia="en-US" w:bidi="ar-SA"/>
    </w:rPr>
  </w:style>
  <w:style w:type="paragraph" w:styleId="Heading2">
    <w:name w:val="Heading 2"/>
    <w:next w:val="Normal"/>
    <w:qFormat/>
    <w:pPr>
      <w:widowControl/>
      <w:numPr>
        <w:ilvl w:val="1"/>
        <w:numId w:val="1"/>
      </w:numPr>
      <w:suppressAutoHyphens w:val="true"/>
      <w:bidi w:val="0"/>
      <w:spacing w:lineRule="exact" w:line="240" w:before="110" w:after="52"/>
      <w:jc w:val="left"/>
      <w:outlineLvl w:val="1"/>
    </w:pPr>
    <w:rPr>
      <w:rFonts w:ascii="Times New Roman" w:hAnsi="Times New Roman" w:eastAsia="Times New Roman" w:cs="Times New Roman"/>
      <w:b/>
      <w:bCs/>
      <w:color w:val="auto"/>
      <w:kern w:val="0"/>
      <w:sz w:val="20"/>
      <w:szCs w:val="20"/>
      <w:lang w:val="en-US" w:eastAsia="en-US" w:bidi="ar-SA"/>
    </w:rPr>
  </w:style>
  <w:style w:type="paragraph" w:styleId="Heading3">
    <w:name w:val="Heading 3"/>
    <w:basedOn w:val="Normal"/>
    <w:next w:val="Normal"/>
    <w:qFormat/>
    <w:pPr>
      <w:keepNext w:val="true"/>
      <w:spacing w:before="240" w:after="60"/>
      <w:outlineLvl w:val="2"/>
    </w:pPr>
    <w:rPr>
      <w:rFonts w:ascii="Arial" w:hAnsi="Arial" w:cs="Arial"/>
      <w:b/>
      <w:bCs/>
      <w:sz w:val="26"/>
      <w:szCs w:val="26"/>
    </w:rPr>
  </w:style>
  <w:style w:type="paragraph" w:styleId="Heading4">
    <w:name w:val="Heading 4"/>
    <w:basedOn w:val="Normal"/>
    <w:next w:val="Normal"/>
    <w:qFormat/>
    <w:pPr>
      <w:keepNext w:val="true"/>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styleId="DefaultParagraphFont" w:default="1">
    <w:name w:val="Default Paragraph Font"/>
    <w:semiHidden/>
    <w:qFormat/>
    <w:rPr/>
  </w:style>
  <w:style w:type="character" w:styleId="Linenumber">
    <w:name w:val="line number"/>
    <w:basedOn w:val="DefaultParagraphFont"/>
    <w:qFormat/>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Pagenumber">
    <w:name w:val="page number"/>
    <w:qFormat/>
    <w:rPr>
      <w:rFonts w:ascii="Helvetica" w:hAnsi="Helvetica"/>
      <w:b/>
      <w:sz w:val="18"/>
    </w:rPr>
  </w:style>
  <w:style w:type="character" w:styleId="Chead" w:customStyle="1">
    <w:name w:val="C head"/>
    <w:qFormat/>
    <w:rPr>
      <w:rFonts w:ascii="Times New Roman" w:hAnsi="Times New Roman"/>
      <w:i/>
      <w:sz w:val="18"/>
    </w:rPr>
  </w:style>
  <w:style w:type="character" w:styleId="InternetLink">
    <w:name w:val="Hyper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spacing w:lineRule="exact" w:line="160" w:before="0" w:after="520"/>
    </w:pPr>
    <w:rPr>
      <w:rFonts w:ascii="Helvetica" w:hAnsi="Helvetica"/>
      <w:b/>
      <w:i/>
      <w:sz w:val="16"/>
    </w:rPr>
  </w:style>
  <w:style w:type="paragraph" w:styleId="Footer">
    <w:name w:val="Footer"/>
    <w:basedOn w:val="Normal"/>
    <w:pPr>
      <w:tabs>
        <w:tab w:val="clear" w:pos="720"/>
        <w:tab w:val="center" w:pos="4320" w:leader="none"/>
        <w:tab w:val="right" w:pos="8640" w:leader="none"/>
      </w:tabs>
    </w:pPr>
    <w:rPr/>
  </w:style>
  <w:style w:type="paragraph" w:styleId="Footnote">
    <w:name w:val="Footnote Text"/>
    <w:basedOn w:val="Normal"/>
    <w:semiHidden/>
    <w:pPr>
      <w:spacing w:lineRule="exact" w:line="200" w:before="20" w:after="0"/>
    </w:pPr>
    <w:rPr>
      <w:rFonts w:ascii="Times New Roman" w:hAnsi="Times New Roman"/>
      <w:sz w:val="16"/>
      <w:szCs w:val="20"/>
    </w:rPr>
  </w:style>
  <w:style w:type="paragraph" w:styleId="Catchline" w:customStyle="1">
    <w:name w:val="Catchline"/>
    <w:qFormat/>
    <w:pPr>
      <w:widowControl/>
      <w:suppressAutoHyphens w:val="true"/>
      <w:bidi w:val="0"/>
      <w:spacing w:lineRule="exact" w:line="160" w:before="140" w:after="0"/>
      <w:jc w:val="right"/>
    </w:pPr>
    <w:rPr>
      <w:rFonts w:ascii="Helvetica" w:hAnsi="Helvetica" w:eastAsia="Times New Roman" w:cs="Times New Roman"/>
      <w:i/>
      <w:color w:val="auto"/>
      <w:kern w:val="0"/>
      <w:sz w:val="16"/>
      <w:szCs w:val="20"/>
      <w:lang w:val="en-US" w:eastAsia="en-US" w:bidi="ar-SA"/>
    </w:rPr>
  </w:style>
  <w:style w:type="paragraph" w:styleId="DOILine" w:customStyle="1">
    <w:name w:val="DOI Line"/>
    <w:basedOn w:val="Catchline"/>
    <w:qFormat/>
    <w:pPr>
      <w:spacing w:before="44" w:after="0"/>
    </w:pPr>
    <w:rPr/>
  </w:style>
  <w:style w:type="paragraph" w:styleId="Articletitle" w:customStyle="1">
    <w:name w:val="Article title"/>
    <w:qFormat/>
    <w:pPr>
      <w:widowControl/>
      <w:suppressAutoHyphens w:val="true"/>
      <w:bidi w:val="0"/>
      <w:spacing w:lineRule="exact" w:line="420" w:before="92" w:after="0"/>
      <w:jc w:val="left"/>
    </w:pPr>
    <w:rPr>
      <w:rFonts w:ascii="Helvetica" w:hAnsi="Helvetica" w:eastAsia="Times New Roman" w:cs="Times New Roman"/>
      <w:b/>
      <w:color w:val="auto"/>
      <w:kern w:val="0"/>
      <w:sz w:val="32"/>
      <w:szCs w:val="20"/>
      <w:lang w:val="en-US" w:eastAsia="en-US" w:bidi="ar-SA"/>
    </w:rPr>
  </w:style>
  <w:style w:type="paragraph" w:styleId="Authorname" w:customStyle="1">
    <w:name w:val="Author name"/>
    <w:qFormat/>
    <w:pPr>
      <w:widowControl/>
      <w:suppressAutoHyphens w:val="true"/>
      <w:bidi w:val="0"/>
      <w:spacing w:lineRule="exact" w:line="300" w:before="70" w:after="0"/>
      <w:jc w:val="left"/>
    </w:pPr>
    <w:rPr>
      <w:rFonts w:ascii="Helvetica-Light" w:hAnsi="Helvetica-Light" w:eastAsia="Times New Roman" w:cs="Times New Roman"/>
      <w:iCs/>
      <w:color w:val="auto"/>
      <w:kern w:val="0"/>
      <w:sz w:val="26"/>
      <w:szCs w:val="20"/>
      <w:lang w:val="en-US" w:eastAsia="en-US" w:bidi="ar-SA"/>
    </w:rPr>
  </w:style>
  <w:style w:type="paragraph" w:styleId="Affilation" w:customStyle="1">
    <w:name w:val="Affilation"/>
    <w:basedOn w:val="Authorname"/>
    <w:qFormat/>
    <w:pPr>
      <w:spacing w:lineRule="exact" w:line="240" w:before="40" w:after="52"/>
    </w:pPr>
    <w:rPr>
      <w:sz w:val="20"/>
    </w:rPr>
  </w:style>
  <w:style w:type="paragraph" w:styleId="Received" w:customStyle="1">
    <w:name w:val="Received"/>
    <w:basedOn w:val="Affilation"/>
    <w:qFormat/>
    <w:pPr>
      <w:spacing w:before="0" w:after="294"/>
    </w:pPr>
    <w:rPr>
      <w:sz w:val="16"/>
    </w:rPr>
  </w:style>
  <w:style w:type="paragraph" w:styleId="AbstractHead" w:customStyle="1">
    <w:name w:val="Abstract Head"/>
    <w:qFormat/>
    <w:pPr>
      <w:widowControl/>
      <w:suppressAutoHyphens w:val="true"/>
      <w:bidi w:val="0"/>
      <w:spacing w:lineRule="exact" w:line="220" w:before="210" w:after="10"/>
      <w:jc w:val="both"/>
    </w:pPr>
    <w:rPr>
      <w:rFonts w:ascii="Helvetica" w:hAnsi="Helvetica" w:eastAsia="Times New Roman" w:cs="Times New Roman"/>
      <w:b/>
      <w:caps/>
      <w:color w:val="auto"/>
      <w:kern w:val="0"/>
      <w:sz w:val="16"/>
      <w:szCs w:val="20"/>
      <w:lang w:val="en-US" w:eastAsia="en-US" w:bidi="ar-SA"/>
    </w:rPr>
  </w:style>
  <w:style w:type="paragraph" w:styleId="AbstractText" w:customStyle="1">
    <w:name w:val="Abstract Text"/>
    <w:qFormat/>
    <w:pPr>
      <w:widowControl/>
      <w:suppressAutoHyphens w:val="true"/>
      <w:bidi w:val="0"/>
      <w:spacing w:lineRule="exact" w:line="220" w:before="0" w:after="0"/>
      <w:jc w:val="both"/>
    </w:pPr>
    <w:rPr>
      <w:rFonts w:ascii="Helvetica" w:hAnsi="Helvetica" w:eastAsia="Times New Roman" w:cs="Times New Roman"/>
      <w:color w:val="auto"/>
      <w:kern w:val="0"/>
      <w:sz w:val="16"/>
      <w:szCs w:val="20"/>
      <w:lang w:val="en-US" w:eastAsia="en-US" w:bidi="ar-SA"/>
    </w:rPr>
  </w:style>
  <w:style w:type="paragraph" w:styleId="Para" w:customStyle="1">
    <w:name w:val="Para"/>
    <w:qFormat/>
    <w:pPr>
      <w:widowControl/>
      <w:suppressAutoHyphens w:val="true"/>
      <w:bidi w:val="0"/>
      <w:spacing w:lineRule="exact" w:line="220" w:before="0" w:after="0"/>
      <w:ind w:firstLine="170"/>
      <w:jc w:val="both"/>
    </w:pPr>
    <w:rPr>
      <w:rFonts w:ascii="Times New Roman" w:hAnsi="Times New Roman" w:eastAsia="Times New Roman" w:cs="Times New Roman"/>
      <w:color w:val="auto"/>
      <w:kern w:val="0"/>
      <w:sz w:val="18"/>
      <w:szCs w:val="20"/>
      <w:lang w:val="en-US" w:eastAsia="en-US" w:bidi="ar-SA"/>
    </w:rPr>
  </w:style>
  <w:style w:type="paragraph" w:styleId="ParaNoInd" w:customStyle="1">
    <w:name w:val="ParaNoInd"/>
    <w:basedOn w:val="Para"/>
    <w:qFormat/>
    <w:pPr>
      <w:ind w:hanging="0"/>
    </w:pPr>
    <w:rPr/>
  </w:style>
  <w:style w:type="paragraph" w:styleId="Ahead" w:customStyle="1">
    <w:name w:val="A head"/>
    <w:basedOn w:val="Heading1"/>
    <w:qFormat/>
    <w:pPr>
      <w:numPr>
        <w:ilvl w:val="0"/>
        <w:numId w:val="0"/>
      </w:numPr>
      <w:ind w:left="357" w:hanging="357"/>
    </w:pPr>
    <w:rPr/>
  </w:style>
  <w:style w:type="paragraph" w:styleId="BlockText">
    <w:name w:val="Block Text"/>
    <w:basedOn w:val="Normal"/>
    <w:qFormat/>
    <w:pPr>
      <w:spacing w:before="0" w:after="120"/>
      <w:ind w:left="1440" w:right="1440" w:hanging="0"/>
    </w:pPr>
    <w:rPr/>
  </w:style>
  <w:style w:type="paragraph" w:styleId="ParawithChead" w:customStyle="1">
    <w:name w:val="Para with C head"/>
    <w:basedOn w:val="ParaNoInd"/>
    <w:qFormat/>
    <w:pPr>
      <w:spacing w:before="126" w:after="0"/>
    </w:pPr>
    <w:rPr/>
  </w:style>
  <w:style w:type="paragraph" w:styleId="NumberedList" w:customStyle="1">
    <w:name w:val="Numbered List"/>
    <w:basedOn w:val="ParaNoInd"/>
    <w:qFormat/>
    <w:pPr>
      <w:tabs>
        <w:tab w:val="clear" w:pos="720"/>
        <w:tab w:val="left" w:pos="560" w:leader="none"/>
      </w:tabs>
      <w:spacing w:before="60" w:after="0"/>
      <w:ind w:left="560" w:hanging="390"/>
    </w:pPr>
    <w:rPr/>
  </w:style>
  <w:style w:type="paragraph" w:styleId="NumberedListfirst" w:customStyle="1">
    <w:name w:val="Numbered List first"/>
    <w:basedOn w:val="NumberedList"/>
    <w:qFormat/>
    <w:pPr>
      <w:spacing w:before="120" w:after="0"/>
    </w:pPr>
    <w:rPr/>
  </w:style>
  <w:style w:type="paragraph" w:styleId="NumberedListlast" w:customStyle="1">
    <w:name w:val="Numbered List last"/>
    <w:basedOn w:val="NumberedList"/>
    <w:qFormat/>
    <w:pPr>
      <w:spacing w:before="60" w:after="120"/>
    </w:pPr>
    <w:rPr/>
  </w:style>
  <w:style w:type="paragraph" w:styleId="BulletedList" w:customStyle="1">
    <w:name w:val="Bulleted List"/>
    <w:basedOn w:val="ParaNoInd"/>
    <w:qFormat/>
    <w:pPr>
      <w:tabs>
        <w:tab w:val="clear" w:pos="720"/>
        <w:tab w:val="left" w:pos="374" w:leader="none"/>
      </w:tabs>
      <w:spacing w:before="60" w:after="0"/>
      <w:ind w:left="374" w:hanging="204"/>
    </w:pPr>
    <w:rPr/>
  </w:style>
  <w:style w:type="paragraph" w:styleId="BulletedListfirst" w:customStyle="1">
    <w:name w:val="Bulleted List first"/>
    <w:basedOn w:val="BulletedList"/>
    <w:qFormat/>
    <w:pPr>
      <w:spacing w:before="120" w:after="0"/>
    </w:pPr>
    <w:rPr/>
  </w:style>
  <w:style w:type="paragraph" w:styleId="BulletedListlast" w:customStyle="1">
    <w:name w:val="Bulleted List last"/>
    <w:basedOn w:val="BulletedList"/>
    <w:qFormat/>
    <w:pPr>
      <w:spacing w:before="60" w:after="120"/>
    </w:pPr>
    <w:rPr/>
  </w:style>
  <w:style w:type="paragraph" w:styleId="MTDisplayEquation" w:customStyle="1">
    <w:name w:val="MTDisplayEquation"/>
    <w:basedOn w:val="ParaNoInd"/>
    <w:next w:val="Normal"/>
    <w:qFormat/>
    <w:pPr>
      <w:tabs>
        <w:tab w:val="clear" w:pos="720"/>
        <w:tab w:val="center" w:pos="2440" w:leader="none"/>
        <w:tab w:val="right" w:pos="4860" w:leader="none"/>
      </w:tabs>
    </w:pPr>
    <w:rPr/>
  </w:style>
  <w:style w:type="paragraph" w:styleId="CopyrightLine" w:customStyle="1">
    <w:name w:val="CopyrightLine"/>
    <w:basedOn w:val="Footer"/>
    <w:qFormat/>
    <w:pPr>
      <w:tabs>
        <w:tab w:val="clear" w:pos="4320"/>
        <w:tab w:val="clear" w:pos="8640"/>
        <w:tab w:val="right" w:pos="10080" w:leader="none"/>
      </w:tabs>
      <w:spacing w:lineRule="exact" w:line="200"/>
    </w:pPr>
    <w:rPr>
      <w:rFonts w:ascii="Helvetica" w:hAnsi="Helvetica"/>
      <w:sz w:val="14"/>
    </w:rPr>
  </w:style>
  <w:style w:type="paragraph" w:styleId="UnnumberedList" w:customStyle="1">
    <w:name w:val="Unnumbered List"/>
    <w:basedOn w:val="ParaNoInd"/>
    <w:qFormat/>
    <w:pPr>
      <w:ind w:left="400" w:hanging="400"/>
    </w:pPr>
    <w:rPr/>
  </w:style>
  <w:style w:type="paragraph" w:styleId="UnnumberedListfirst" w:customStyle="1">
    <w:name w:val="Unnumbered List first"/>
    <w:basedOn w:val="UnnumberedList"/>
    <w:qFormat/>
    <w:pPr>
      <w:spacing w:before="120" w:after="0"/>
    </w:pPr>
    <w:rPr/>
  </w:style>
  <w:style w:type="paragraph" w:styleId="UnnumberedListlast" w:customStyle="1">
    <w:name w:val="Unnumbered List last"/>
    <w:basedOn w:val="UnnumberedList"/>
    <w:qFormat/>
    <w:pPr>
      <w:spacing w:before="0" w:after="120"/>
    </w:pPr>
    <w:rPr/>
  </w:style>
  <w:style w:type="paragraph" w:styleId="EquationDisplay" w:customStyle="1">
    <w:name w:val="Equation Display"/>
    <w:basedOn w:val="MTDisplayEquation"/>
    <w:qFormat/>
    <w:pPr>
      <w:spacing w:lineRule="auto" w:line="240" w:before="120" w:after="120"/>
    </w:pPr>
    <w:rPr/>
  </w:style>
  <w:style w:type="paragraph" w:styleId="FigureCaption" w:customStyle="1">
    <w:name w:val="Figure Caption"/>
    <w:qFormat/>
    <w:pPr>
      <w:widowControl/>
      <w:suppressAutoHyphens w:val="true"/>
      <w:bidi w:val="0"/>
      <w:spacing w:lineRule="exact" w:line="200" w:before="290" w:after="240"/>
      <w:jc w:val="both"/>
    </w:pPr>
    <w:rPr>
      <w:rFonts w:ascii="Times New Roman" w:hAnsi="Times New Roman" w:eastAsia="Times New Roman" w:cs="Times New Roman"/>
      <w:color w:val="auto"/>
      <w:kern w:val="0"/>
      <w:sz w:val="16"/>
      <w:szCs w:val="20"/>
      <w:lang w:val="en-US" w:eastAsia="en-US" w:bidi="ar-SA"/>
    </w:rPr>
  </w:style>
  <w:style w:type="paragraph" w:styleId="Tablecaption" w:customStyle="1">
    <w:name w:val="Table caption"/>
    <w:qFormat/>
    <w:pPr>
      <w:widowControl/>
      <w:suppressAutoHyphens w:val="true"/>
      <w:bidi w:val="0"/>
      <w:spacing w:lineRule="exact" w:line="200" w:before="240" w:after="260"/>
      <w:jc w:val="left"/>
    </w:pPr>
    <w:rPr>
      <w:rFonts w:ascii="Times New Roman" w:hAnsi="Times New Roman" w:eastAsia="Times New Roman" w:cs="Times New Roman"/>
      <w:color w:val="auto"/>
      <w:kern w:val="0"/>
      <w:sz w:val="16"/>
      <w:szCs w:val="20"/>
      <w:lang w:val="en-US" w:eastAsia="en-US" w:bidi="ar-SA"/>
    </w:rPr>
  </w:style>
  <w:style w:type="paragraph" w:styleId="Tablebody" w:customStyle="1">
    <w:name w:val="Table body"/>
    <w:qFormat/>
    <w:pPr>
      <w:widowControl/>
      <w:suppressAutoHyphens w:val="true"/>
      <w:bidi w:val="0"/>
      <w:spacing w:lineRule="exact" w:line="200" w:before="0" w:after="0"/>
      <w:ind w:left="160" w:hanging="160"/>
      <w:jc w:val="left"/>
    </w:pPr>
    <w:rPr>
      <w:rFonts w:ascii="Times New Roman" w:hAnsi="Times New Roman" w:eastAsia="Times New Roman" w:cs="Times New Roman"/>
      <w:color w:val="auto"/>
      <w:kern w:val="0"/>
      <w:sz w:val="16"/>
      <w:szCs w:val="20"/>
      <w:lang w:val="en-US" w:eastAsia="en-US" w:bidi="ar-SA"/>
    </w:rPr>
  </w:style>
  <w:style w:type="paragraph" w:styleId="TableColumnhead" w:customStyle="1">
    <w:name w:val="Table Column head"/>
    <w:basedOn w:val="Tablebody"/>
    <w:qFormat/>
    <w:pPr>
      <w:spacing w:before="80" w:after="140"/>
    </w:pPr>
    <w:rPr/>
  </w:style>
  <w:style w:type="paragraph" w:styleId="Tablebodyfirst" w:customStyle="1">
    <w:name w:val="Table body first"/>
    <w:basedOn w:val="Tablebody"/>
    <w:qFormat/>
    <w:pPr>
      <w:spacing w:before="90" w:after="0"/>
    </w:pPr>
    <w:rPr/>
  </w:style>
  <w:style w:type="paragraph" w:styleId="Tablebodylast" w:customStyle="1">
    <w:name w:val="Table body last"/>
    <w:basedOn w:val="Tablebody"/>
    <w:qFormat/>
    <w:pPr>
      <w:spacing w:before="0" w:after="134"/>
    </w:pPr>
    <w:rPr/>
  </w:style>
  <w:style w:type="paragraph" w:styleId="Tablefootnote" w:customStyle="1">
    <w:name w:val="Table footnote"/>
    <w:qFormat/>
    <w:pPr>
      <w:widowControl/>
      <w:suppressAutoHyphens w:val="true"/>
      <w:bidi w:val="0"/>
      <w:spacing w:lineRule="exact" w:line="180" w:before="80" w:after="0"/>
      <w:jc w:val="both"/>
    </w:pPr>
    <w:rPr>
      <w:rFonts w:ascii="Times New Roman" w:hAnsi="Times New Roman" w:eastAsia="Times New Roman" w:cs="Times New Roman"/>
      <w:color w:val="auto"/>
      <w:kern w:val="0"/>
      <w:sz w:val="14"/>
      <w:szCs w:val="20"/>
      <w:lang w:val="en-US" w:eastAsia="en-US" w:bidi="ar-SA"/>
    </w:rPr>
  </w:style>
  <w:style w:type="paragraph" w:styleId="AckHead" w:customStyle="1">
    <w:name w:val="Ack Head"/>
    <w:basedOn w:val="Ahead"/>
    <w:qFormat/>
    <w:pPr/>
    <w:rPr/>
  </w:style>
  <w:style w:type="paragraph" w:styleId="AckText" w:customStyle="1">
    <w:name w:val="Ack Text"/>
    <w:basedOn w:val="ParaNoInd"/>
    <w:qFormat/>
    <w:pPr/>
    <w:rPr/>
  </w:style>
  <w:style w:type="paragraph" w:styleId="RefHead" w:customStyle="1">
    <w:name w:val="Ref Head"/>
    <w:basedOn w:val="Ahead"/>
    <w:qFormat/>
    <w:pPr/>
    <w:rPr/>
  </w:style>
  <w:style w:type="paragraph" w:styleId="RefText" w:customStyle="1">
    <w:name w:val="Ref Text"/>
    <w:qFormat/>
    <w:pPr>
      <w:widowControl/>
      <w:suppressAutoHyphens w:val="true"/>
      <w:bidi w:val="0"/>
      <w:spacing w:lineRule="exact" w:line="180" w:before="0" w:after="0"/>
      <w:ind w:left="227" w:hanging="227"/>
      <w:jc w:val="both"/>
    </w:pPr>
    <w:rPr>
      <w:rFonts w:ascii="Times New Roman" w:hAnsi="Times New Roman" w:eastAsia="Times New Roman" w:cs="Times New Roman"/>
      <w:color w:val="auto"/>
      <w:kern w:val="0"/>
      <w:sz w:val="14"/>
      <w:szCs w:val="20"/>
      <w:lang w:val="en-US" w:eastAsia="en-US" w:bidi="ar-SA"/>
    </w:rPr>
  </w:style>
  <w:style w:type="paragraph" w:styleId="BHead" w:customStyle="1">
    <w:name w:val="B Head"/>
    <w:qFormat/>
    <w:pPr>
      <w:widowControl/>
      <w:suppressAutoHyphens w:val="true"/>
      <w:bidi w:val="0"/>
      <w:spacing w:lineRule="exact" w:line="260" w:before="100" w:after="60"/>
      <w:jc w:val="left"/>
      <w:outlineLvl w:val="1"/>
    </w:pPr>
    <w:rPr>
      <w:rFonts w:ascii="Helvetica" w:hAnsi="Helvetica" w:eastAsia="Times New Roman" w:cs="Times New Roman"/>
      <w:b/>
      <w:color w:val="auto"/>
      <w:kern w:val="0"/>
      <w:sz w:val="20"/>
      <w:szCs w:val="20"/>
      <w:lang w:val="en-US" w:eastAsia="en-US" w:bidi="ar-SA"/>
    </w:rPr>
  </w:style>
  <w:style w:type="paragraph" w:styleId="HTMLAddress">
    <w:name w:val="HTML Address"/>
    <w:basedOn w:val="Normal"/>
    <w:qFormat/>
    <w:pPr/>
    <w:rPr>
      <w:i/>
      <w:iCs/>
    </w:rPr>
  </w:style>
  <w:style w:type="paragraph" w:styleId="ArticleType" w:customStyle="1">
    <w:name w:val="Article Type"/>
    <w:qFormat/>
    <w:pPr>
      <w:widowControl/>
      <w:suppressAutoHyphens w:val="true"/>
      <w:bidi w:val="0"/>
      <w:spacing w:before="160" w:after="0"/>
      <w:jc w:val="left"/>
    </w:pPr>
    <w:rPr>
      <w:rFonts w:ascii="Helvetica" w:hAnsi="Helvetica" w:eastAsia="Times New Roman" w:cs="Times New Roman"/>
      <w:i/>
      <w:color w:val="auto"/>
      <w:kern w:val="0"/>
      <w:sz w:val="24"/>
      <w:szCs w:val="20"/>
      <w:lang w:val="en-US" w:eastAsia="en-US" w:bidi="ar-SA"/>
    </w:rPr>
  </w:style>
  <w:style w:type="paragraph" w:styleId="Para1" w:customStyle="1">
    <w:name w:val="&lt;Para&gt;"/>
    <w:basedOn w:val="Para"/>
    <w:qFormat/>
    <w:pPr>
      <w:spacing w:lineRule="exact" w:line="200"/>
    </w:pPr>
    <w:rPr>
      <w:sz w:val="16"/>
    </w:rPr>
  </w:style>
  <w:style w:type="paragraph" w:styleId="ParaNoInd1" w:customStyle="1">
    <w:name w:val="&lt;ParaNoInd&gt;"/>
    <w:basedOn w:val="ParaNoInd"/>
    <w:qFormat/>
    <w:pPr>
      <w:spacing w:lineRule="exact" w:line="200"/>
    </w:pPr>
    <w:rPr>
      <w:sz w:val="16"/>
    </w:rPr>
  </w:style>
  <w:style w:type="paragraph" w:styleId="ParawithChead1" w:customStyle="1">
    <w:name w:val="&lt;Para with C head&gt;"/>
    <w:basedOn w:val="ParawithChead"/>
    <w:qFormat/>
    <w:pPr>
      <w:spacing w:lineRule="exact" w:line="200"/>
    </w:pPr>
    <w:rPr>
      <w:sz w:val="16"/>
    </w:rPr>
  </w:style>
  <w:style w:type="paragraph" w:styleId="EquationDisplay1" w:customStyle="1">
    <w:name w:val="&lt;Equation Display&gt;"/>
    <w:basedOn w:val="EquationDisplay"/>
    <w:qFormat/>
    <w:pPr/>
    <w:rPr>
      <w:sz w:val="16"/>
    </w:rPr>
  </w:style>
  <w:style w:type="paragraph" w:styleId="FigureCaption1" w:customStyle="1">
    <w:name w:val="&lt;Figure Caption&gt;"/>
    <w:basedOn w:val="FigureCaption"/>
    <w:qFormat/>
    <w:pPr>
      <w:spacing w:lineRule="exact" w:line="180"/>
    </w:pPr>
    <w:rPr>
      <w:sz w:val="14"/>
    </w:rPr>
  </w:style>
  <w:style w:type="paragraph" w:styleId="Tablebody1" w:customStyle="1">
    <w:name w:val="&lt;Table body&gt;"/>
    <w:basedOn w:val="Tablebody"/>
    <w:qFormat/>
    <w:pPr>
      <w:spacing w:lineRule="exact" w:line="180"/>
      <w:ind w:left="159" w:hanging="159"/>
    </w:pPr>
    <w:rPr>
      <w:sz w:val="14"/>
    </w:rPr>
  </w:style>
  <w:style w:type="paragraph" w:styleId="Tablebodyfirst1" w:customStyle="1">
    <w:name w:val="&lt;Table body first&gt;"/>
    <w:basedOn w:val="Tablebodyfirst"/>
    <w:qFormat/>
    <w:pPr>
      <w:spacing w:lineRule="exact" w:line="180"/>
      <w:ind w:left="159" w:hanging="159"/>
    </w:pPr>
    <w:rPr>
      <w:sz w:val="14"/>
    </w:rPr>
  </w:style>
  <w:style w:type="paragraph" w:styleId="Tablebodylast1" w:customStyle="1">
    <w:name w:val="&lt;Table body last&gt;"/>
    <w:basedOn w:val="Tablebodylast"/>
    <w:qFormat/>
    <w:pPr>
      <w:spacing w:lineRule="exact" w:line="180"/>
      <w:ind w:left="159" w:hanging="159"/>
    </w:pPr>
    <w:rPr/>
  </w:style>
  <w:style w:type="paragraph" w:styleId="Tablecaption1" w:customStyle="1">
    <w:name w:val="&lt;Table caption&gt;"/>
    <w:basedOn w:val="Tablecaption"/>
    <w:qFormat/>
    <w:pPr>
      <w:spacing w:lineRule="exact" w:line="180"/>
    </w:pPr>
    <w:rPr/>
  </w:style>
  <w:style w:type="paragraph" w:styleId="TableColumnhead1" w:customStyle="1">
    <w:name w:val="&lt;Table Column head&gt;"/>
    <w:basedOn w:val="TableColumnhead"/>
    <w:qFormat/>
    <w:pPr>
      <w:spacing w:lineRule="exact" w:line="180"/>
      <w:ind w:left="159" w:hanging="159"/>
    </w:pPr>
    <w:rPr>
      <w:sz w:val="14"/>
    </w:rPr>
  </w:style>
  <w:style w:type="paragraph" w:styleId="Tablefootnote1" w:customStyle="1">
    <w:name w:val="&lt;Table footnote&gt;"/>
    <w:basedOn w:val="Tablefootnote"/>
    <w:qFormat/>
    <w:pPr>
      <w:spacing w:lineRule="exact" w:line="160"/>
    </w:pPr>
    <w:rPr>
      <w:sz w:val="12"/>
    </w:rPr>
  </w:style>
  <w:style w:type="paragraph" w:styleId="NumberedList1" w:customStyle="1">
    <w:name w:val="&lt;Numbered List&gt;"/>
    <w:basedOn w:val="NumberedList"/>
    <w:qFormat/>
    <w:pPr>
      <w:spacing w:lineRule="exact" w:line="200"/>
      <w:ind w:left="561" w:hanging="391"/>
    </w:pPr>
    <w:rPr>
      <w:sz w:val="16"/>
    </w:rPr>
  </w:style>
  <w:style w:type="paragraph" w:styleId="NumberedListfirst1" w:customStyle="1">
    <w:name w:val="&lt;Numbered List first&gt;"/>
    <w:basedOn w:val="NumberedListfirst"/>
    <w:qFormat/>
    <w:pPr>
      <w:spacing w:lineRule="exact" w:line="200"/>
      <w:ind w:left="561" w:hanging="391"/>
    </w:pPr>
    <w:rPr>
      <w:sz w:val="16"/>
    </w:rPr>
  </w:style>
  <w:style w:type="paragraph" w:styleId="NumberedListlast1" w:customStyle="1">
    <w:name w:val="&lt;Numbered List last&gt;"/>
    <w:basedOn w:val="NumberedListlast"/>
    <w:qFormat/>
    <w:pPr>
      <w:spacing w:lineRule="exact" w:line="200"/>
      <w:ind w:left="561" w:hanging="391"/>
    </w:pPr>
    <w:rPr>
      <w:sz w:val="16"/>
    </w:rPr>
  </w:style>
  <w:style w:type="paragraph" w:styleId="BulletedList1" w:customStyle="1">
    <w:name w:val="&lt;Bulleted List&gt;"/>
    <w:basedOn w:val="BulletedList"/>
    <w:qFormat/>
    <w:pPr>
      <w:spacing w:lineRule="exact" w:line="200"/>
    </w:pPr>
    <w:rPr>
      <w:sz w:val="16"/>
    </w:rPr>
  </w:style>
  <w:style w:type="paragraph" w:styleId="BulletedListfirst1" w:customStyle="1">
    <w:name w:val="&lt;Bulleted List first&gt;"/>
    <w:basedOn w:val="BulletedListfirst"/>
    <w:qFormat/>
    <w:pPr>
      <w:spacing w:lineRule="exact" w:line="200"/>
    </w:pPr>
    <w:rPr>
      <w:sz w:val="16"/>
    </w:rPr>
  </w:style>
  <w:style w:type="paragraph" w:styleId="BulletedListlast1" w:customStyle="1">
    <w:name w:val="&lt;Bulleted List last&gt;"/>
    <w:basedOn w:val="BulletedListlast"/>
    <w:qFormat/>
    <w:pPr>
      <w:spacing w:lineRule="exact" w:line="200"/>
    </w:pPr>
    <w:rPr>
      <w:sz w:val="16"/>
    </w:rPr>
  </w:style>
  <w:style w:type="paragraph" w:styleId="UnnumberedList1" w:customStyle="1">
    <w:name w:val="&lt;Unnumbered List&gt;"/>
    <w:basedOn w:val="UnnumberedList"/>
    <w:qFormat/>
    <w:pPr>
      <w:spacing w:lineRule="exact" w:line="200"/>
      <w:ind w:left="403" w:hanging="403"/>
    </w:pPr>
    <w:rPr>
      <w:sz w:val="16"/>
    </w:rPr>
  </w:style>
  <w:style w:type="paragraph" w:styleId="UnnumberedListfirst1" w:customStyle="1">
    <w:name w:val="&lt;Unnumbered List first&gt;"/>
    <w:basedOn w:val="UnnumberedListfirst"/>
    <w:qFormat/>
    <w:pPr>
      <w:spacing w:lineRule="exact" w:line="200"/>
      <w:ind w:left="403" w:hanging="403"/>
    </w:pPr>
    <w:rPr>
      <w:sz w:val="16"/>
    </w:rPr>
  </w:style>
  <w:style w:type="paragraph" w:styleId="UnnumberedListlast1" w:customStyle="1">
    <w:name w:val="&lt;Unnumbered List last&gt;"/>
    <w:basedOn w:val="UnnumberedListlast"/>
    <w:qFormat/>
    <w:pPr>
      <w:spacing w:lineRule="exact" w:line="200"/>
      <w:ind w:left="403" w:hanging="403"/>
    </w:pPr>
    <w:rPr>
      <w:sz w:val="16"/>
    </w:rPr>
  </w:style>
  <w:style w:type="paragraph" w:styleId="HeaderLeft">
    <w:name w:val="Header Left"/>
    <w:basedOn w:val="Header"/>
    <w:qFormat/>
    <w:pPr/>
    <w:rPr/>
  </w:style>
  <w:style w:type="paragraph" w:styleId="FrameContents">
    <w:name w:val="Frame Contents"/>
    <w:basedOn w:val="Normal"/>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doi.org/10.1016/j.envint.2022.107436" TargetMode="Externa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Bioinformatics_journal_article_sample</Template>
  <TotalTime>416</TotalTime>
  <Application>LibreOffice/6.4.7.2$Linux_X86_64 LibreOffice_project/40$Build-2</Application>
  <Pages>2</Pages>
  <Words>1522</Words>
  <Characters>8966</Characters>
  <CharactersWithSpaces>10460</CharactersWithSpaces>
  <Paragraphs>40</Paragraphs>
  <Company>NISPL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2022-12-19T03:45:00Z</dcterms:created>
  <dc:creator>John Barker</dc:creator>
  <dc:description/>
  <dc:language>en-US</dc:language>
  <cp:lastModifiedBy/>
  <cp:lastPrinted>2007-07-04T21:44:00Z</cp:lastPrinted>
  <dcterms:modified xsi:type="dcterms:W3CDTF">2022-12-19T23:26:07Z</dcterms:modified>
  <cp:revision>15</cp:revision>
  <dc:subject/>
  <dc:title>bio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ient">
    <vt:lpwstr>oup</vt:lpwstr>
  </property>
  <property fmtid="{D5CDD505-2E9C-101B-9397-08002B2CF9AE}" pid="4" name="Company">
    <vt:lpwstr>NISPL</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TWinEqns">
    <vt:bool>1</vt:bool>
  </property>
  <property fmtid="{D5CDD505-2E9C-101B-9397-08002B2CF9AE}" pid="9" name="ScaleCrop">
    <vt:bool>0</vt:bool>
  </property>
  <property fmtid="{D5CDD505-2E9C-101B-9397-08002B2CF9AE}" pid="10" name="ShareDoc">
    <vt:bool>0</vt:bool>
  </property>
  <property fmtid="{D5CDD505-2E9C-101B-9397-08002B2CF9AE}" pid="11" name="_AdHocReviewCycleID">
    <vt:i4>-278729539</vt:i4>
  </property>
  <property fmtid="{D5CDD505-2E9C-101B-9397-08002B2CF9AE}" pid="12" name="_AuthorEmail">
    <vt:lpwstr>Bioinformatics@editorialoffice.co.uk</vt:lpwstr>
  </property>
  <property fmtid="{D5CDD505-2E9C-101B-9397-08002B2CF9AE}" pid="13" name="_AuthorEmailDisplayName">
    <vt:lpwstr>Bioinformatics Editorial Office</vt:lpwstr>
  </property>
  <property fmtid="{D5CDD505-2E9C-101B-9397-08002B2CF9AE}" pid="14" name="_EmailSubject">
    <vt:lpwstr>MS Word Template query</vt:lpwstr>
  </property>
  <property fmtid="{D5CDD505-2E9C-101B-9397-08002B2CF9AE}" pid="15" name="_ReviewingToolsShownOnce">
    <vt:lpwstr/>
  </property>
</Properties>
</file>