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hypotesized biological processes</w:t>
      </w:r>
      <w:r>
        <w:t xml:space="preserve"> </w:t>
      </w:r>
      <w:r>
        <w:t xml:space="preserve">(Leibold and Mikkelson 2002, Presley and Willig 2010, Presley et al. 2010, López-González et al. 2012, Henriques-Silva et al. 2013, Meynard et al. 2013)</w:t>
      </w:r>
      <w:r>
        <w:t xml:space="preserve">. While both approaches have advanced understanding of community structure and its underpinnings, methodological improvements could facilitabe a synthesis of these often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utilizes observed occurrences of species among 'patches' of habitat in the metacommunity (e.g. field sampling sites). This data is typically compiled into a species-by-site incidence matrix and statistical analyses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 [</w:t>
      </w:r>
      <w:r>
        <w:rPr>
          <w:b/>
        </w:rPr>
        <w:t xml:space="preserve">(</w:t>
      </w:r>
      <w:r>
        <w:rPr>
          <w:b/>
          <w:b/>
        </w:rPr>
        <w:t xml:space="preserve">???</w:t>
      </w:r>
      <w:r>
        <w:rPr>
          <w:b/>
        </w:rPr>
        <w:t xml:space="preserve">)</w:t>
      </w:r>
      <w:r>
        <w:t xml:space="preserve">]. For instance, problems with species detection could lead to inaccurate incidence matrices and, therefore, inaccurate assessments of metacommunity structure. Fortunately, decades of advancements in occupancy modeling have led to powerful methods to deal with problems such as species detectability.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also facilitate estimation of covariate effects on detection and occurrence probabilities. Recently, dynamic multi-species occupancy models have been developed for use with longitudinal data sets to better estimate metacommunity composition, such as alpha, beta and gamma diversity metrics, as well as species-, site- and time-specific covariate effects on occurrence probabilities</w:t>
      </w:r>
      <w:r>
        <w:t xml:space="preserve"> </w:t>
      </w:r>
      <w:r>
        <w:t xml:space="preserve">(Dorazio et al. 2010, Burton et al. 2012)</w:t>
      </w:r>
      <w:r>
        <w:t xml:space="preserve">. Dorazio et al. (2010) specifically identify a closer union of their modeling framework with metacommunity theory as a priority in the field. While the integration of occupancy modeling with metacommunity theory is nascent, there is enormous potential for this to improve the study of metacommunity dynamics.</w:t>
      </w:r>
    </w:p>
    <w:p>
      <w:r>
        <w:t xml:space="preserve">In this article, we will highlight some of the difficulties with current EMS methods and emphasize how integrating EMS with occupancy modeling will help to resolve or ameliorate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examples generated with simulated data sets. Our motivation for this article is to highlight the breadth of utilities gained by integrating these two approaches, rather than to explore any specific question or topic in full detail. We have also made our modeling and simulation code publicly available and fully annotated so that these methods can be appropriately and broadly utilized. We believe our approach will facilitate a more complete understanding of metacommunity structure and its underpinning mechanisms.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w:t>
      </w:r>
      <w:r>
        <w:t xml:space="preserve"> </w:t>
      </w:r>
      <w:r>
        <w:t xml:space="preserve">(Leibold and Mikkelson 2002)</w:t>
      </w:r>
      <w:r>
        <w:t xml:space="preserve">. In this section we will only briefly describe these methods, as others have done a more thorough job elsewhere</w:t>
      </w:r>
      <w:r>
        <w:t xml:space="preserve"> </w:t>
      </w:r>
      <w:r>
        <w:t xml:space="preserve">(Leibold and Mikkelson 2002, Presley et al. 2010)</w:t>
      </w:r>
      <w:r>
        <w:t xml:space="preserve">.</w:t>
      </w:r>
    </w:p>
    <w:p>
      <w:r>
        <w:t xml:space="preserve">First, species occurrence data are assembled into a site x species incidence matrix with rows as sites and columns as species. This matrix is then ordinated, typically using reciprocal averaging, to simultaneously group sites with common species assemblages and species with common distributions among sites. This ordinated incidence matrix theoretically represents how species assemblages are structured along a dominant environmental axis (i.e. gradient) across sites. From this matrix statistics are then calculated to summarize the elements of metacommunity structure.</w:t>
      </w:r>
    </w:p>
    <w:p>
      <w:r>
        <w:t xml:space="preserve">The first and most important metric of metacommunity structure is coherence, which represents whether the majority of species in the metacommunity respond to the same enviornmental axis of variation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null distribution of embedded absences generated from simulated matrices. When the metacommunity exhibits fewer embedded absences than expected from random chance (as defined by the chosen method of generating null matrices), the metacommunity is said to exhibit positive coherence. If the metacommunity has more embedded absences than expected, there is evidence for a checkerboard pattern. Finally, if the number of embedded absences is not significantly different from random, the metacommunity is not coherent and exhibits no discernible structure. This is often interpreted as meaning that species in the metacommunity respond to different dominant environmental gradients or that the size of the matrix (in terms of the number of sites or species or observed occurrences within the matrix) is too small to detect patterns.</w:t>
      </w:r>
    </w:p>
    <w:p>
      <w:r>
        <w:t xml:space="preserve">If a metacommunity exhibits positive coherence, two more metrics are calculated to further describe the metacommunity structure, the first being turnover. Turnover represents how species composition changes along the theoretical environmental gradient, estimated using the number of species replacements observed in the ordinated matrix. Again, this observed number is compared to a distribution generated by null matrices. If the number of replacements is fewer than expected, which is indicative of nested subsets. If the number of replacements is greater than expected, the metacommunity exhibits positive turnover, which must be futher analyzed (below).</w:t>
      </w:r>
    </w:p>
    <w:p>
      <w:r>
        <w:t xml:space="preserve">Boundary clumping, estimated with Morista's index, helps to further distinguish structures. If a metacommunity is positively coherent, has positive turnover, and there is positive boundary clumping, then the metacommunity is said to exhibit a Clementsian structure [</w:t>
      </w:r>
      <w:r>
        <w:rPr>
          <w:b/>
        </w:rPr>
        <w:t xml:space="preserve">(</w:t>
      </w:r>
      <w:r>
        <w:rPr>
          <w:b/>
          <w:b/>
        </w:rPr>
        <w:t xml:space="preserve">???</w:t>
      </w:r>
      <w:r>
        <w:rPr>
          <w:b/>
        </w:rPr>
        <w:t xml:space="preserve">)</w:t>
      </w:r>
      <w:r>
        <w:rPr>
          <w:b/>
        </w:rPr>
        <w:t xml:space="preserve">;</w:t>
      </w:r>
      <w:r>
        <w:rPr>
          <w:b/>
        </w:rPr>
        <w:t xml:space="preserve">(</w:t>
      </w:r>
      <w:r>
        <w:rPr>
          <w:b/>
          <w:b/>
        </w:rPr>
        <w:t xml:space="preserve">???</w:t>
      </w:r>
      <w:r>
        <w:rPr>
          <w:b/>
        </w:rPr>
        <w:t xml:space="preserve">)</w:t>
      </w:r>
      <w:r>
        <w:t xml:space="preserve">]. Alternatively, if there is no discernible boundary clumping, the metacommunity is said to exhibit a Gleasonian structure, where species respond idiosyncratically to the environmental gradient[</w:t>
      </w:r>
      <w:r>
        <w:rPr>
          <w:b/>
        </w:rPr>
        <w:t xml:space="preserve">(</w:t>
      </w:r>
      <w:r>
        <w:rPr>
          <w:b/>
          <w:b/>
        </w:rPr>
        <w:t xml:space="preserve">???</w:t>
      </w:r>
      <w:r>
        <w:rPr>
          <w:b/>
        </w:rPr>
        <w:t xml:space="preserve">)</w:t>
      </w:r>
      <w:r>
        <w:t xml:space="preserve">]. Finally, if there is positive coherence, but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studies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 (</w:t>
      </w:r>
      <w:r>
        <w:rPr>
          <w:b/>
        </w:rPr>
        <w:t xml:space="preserve">citations</w:t>
      </w:r>
      <w:r>
        <w:t xml:space="preserve">). Another, related approach is to use, for example, canonical correspondence analysis to relate site compositions to multiple covariates simultaneously (</w:t>
      </w:r>
      <w:r>
        <w:rPr>
          <w:b/>
        </w:rPr>
        <w:t xml:space="preserve">citations</w:t>
      </w:r>
      <w:r>
        <w:t xml:space="preserve">). A more recent approach is to combine one of these previously discussed analyses with a variance partitioning analysis to evaluate the relative contribution of classes of covariates, such as 'local' and 'spatial' or 'abiotic' and 'biotic' (</w:t>
      </w:r>
      <w:r>
        <w:rPr>
          <w:b/>
        </w:rPr>
        <w:t xml:space="preserve">citations</w:t>
      </w:r>
      <w:r>
        <w:t xml:space="preserve">) to species compositions across sites.</w:t>
      </w:r>
    </w:p>
    <w:p>
      <w:r>
        <w:t xml:space="preserve">Although these methods have yielded various insights into the structuring of metacommunities, at each step of this process, there are problems that can arise due to the methods themselves, such as type 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After this, we will highlight various issues with the EMS paradigm that can be ameliorated using occupancy modeling.</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species may go undetected in a survey. Occupancy models use data from multi-observation surveys, which allows us to disentangle detection and occurrence probabilities to better estimate true species occupancy.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typically estimate parameters using Bayesian methods. Here, for simplicity, we will describe the structure of a single timepoint, multi-species occupancy model with mulitple observations at each site over the single time period.</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site-specific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Multiple surveys are conducted at each site and compiled into a species-by-site matrix,</w:t>
      </w:r>
      <w:r>
        <w:t xml:space="preserve"> </w:t>
      </w:r>
      <m:oMath>
        <m:r>
          <m:rPr/>
          <m:t>Y</m:t>
        </m:r>
      </m:oMath>
      <w:r>
        <w:t xml:space="preserv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So,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 Here we assume the same covariates: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were observed, estimating all of these species- and site-specific parameters can be computationally expensive. In order to optimize parameter estimation, metacommunity-level hyperparameters are estimated in a heirarchical Bayesian model. Thus, species- and site-level parameters are drawn from the metacommunity-level distribution of parameter values.</w:t>
      </w:r>
    </w:p>
    <w:bookmarkStart w:id="27" w:name="difficulties-with-the-ems-paradigm"/>
    <w:p>
      <w:pPr>
        <w:pStyle w:val="Heading2"/>
      </w:pPr>
      <w:r>
        <w:t xml:space="preserve">Difficulties with the EMS paradigm</w:t>
      </w:r>
    </w:p>
    <w:bookmarkEnd w:id="27"/>
    <w:p>
      <w:r>
        <w:rPr>
          <w:i/>
        </w:rPr>
        <w:t xml:space="preserve">Detection errors</w:t>
      </w:r>
      <w:r>
        <w:br w:type="textWrapping"/>
      </w:r>
      <w:r>
        <w:t xml:space="preserve">A large issue with occurrence data is that these data inherently suffer from problems with detection, and the EMS paradigm so far has not attempted to account for this problem. Detection error can influence the ordination of the community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incorrectly assigned random structures. Additionally, imperfect detection influences the form of null matrices, as most methods of null matrix generation utilize the raw data on row and/or column sums (</w:t>
      </w:r>
      <w:r>
        <w:rPr>
          <w:b/>
        </w:rPr>
        <w:t xml:space="preserve">citation</w:t>
      </w:r>
      <w:r>
        <w:t xml:space="preserve">). The occupancy modeling framework can circumvent this problem by estimating true occupancy of each species at each site,</w:t>
      </w:r>
      <w:r>
        <w:t xml:space="preserve"> </w:t>
      </w:r>
      <m:oMath>
        <m:sSub>
          <m:e>
            <m:r>
              <m:rPr/>
              <m:t>z</m:t>
            </m:r>
          </m:e>
          <m:sub>
            <m:r>
              <m:rPr/>
              <m:t>i</m:t>
            </m:r>
            <m:r>
              <m:rPr/>
              <m:t>,</m:t>
            </m:r>
            <m:r>
              <m:rPr/>
              <m:t>k</m:t>
            </m:r>
          </m:sub>
        </m:sSub>
      </m:oMath>
      <w:r>
        <w:t xml:space="preserve">.</w:t>
      </w:r>
    </w:p>
    <w:p>
      <w:r>
        <w:t xml:space="preserve">With the Bayesian approach to occupancy modeling, Gibbs sampling is used to create a distribution of posterior estimates for each</w:t>
      </w:r>
      <w:r>
        <w:t xml:space="preserve"> </w:t>
      </w:r>
      <m:oMath>
        <m:sSub>
          <m:e>
            <m:r>
              <m:rPr/>
              <m:t>z</m:t>
            </m:r>
          </m:e>
          <m:sub>
            <m:r>
              <m:rPr/>
              <m:t>i</m:t>
            </m:r>
            <m:r>
              <m:rPr/>
              <m:t>,</m:t>
            </m:r>
            <m:r>
              <m:rPr/>
              <m:t>k</m:t>
            </m:r>
          </m:sub>
        </m:sSub>
      </m:oMath>
      <w:r>
        <w:t xml:space="preserve">. At each sampling iteration, the estimated</w:t>
      </w:r>
      <w:r>
        <w:t xml:space="preserve"> </w:t>
      </w:r>
      <m:oMath>
        <m:sSub>
          <m:e>
            <m:r>
              <m:rPr/>
              <m:t>z</m:t>
            </m:r>
          </m:e>
          <m:sub>
            <m:r>
              <m:rPr/>
              <m:t>i</m:t>
            </m:r>
            <m:r>
              <m:rPr/>
              <m:t>,</m:t>
            </m:r>
            <m:r>
              <m:rPr/>
              <m:t>k</m:t>
            </m:r>
          </m:sub>
        </m:sSub>
      </m:oMath>
      <w:r>
        <w:t xml:space="preserve"> </w:t>
      </w:r>
      <w:r>
        <w:t xml:space="preserve">values can be assembled into an incidence matrix,</w:t>
      </w:r>
      <w:r>
        <w:t xml:space="preserve"> </w:t>
      </w:r>
      <m:oMath>
        <m:sSub>
          <m:e>
            <m:r>
              <m:rPr/>
              <m:t>Z</m:t>
            </m:r>
          </m:e>
          <m:sub>
            <m:r>
              <m:rPr/>
              <m:t>i</m:t>
            </m:r>
            <m:r>
              <m:rPr/>
              <m:t>t</m:t>
            </m:r>
            <m:r>
              <m:rPr/>
              <m:t>e</m:t>
            </m:r>
            <m:r>
              <m:rPr/>
              <m:t>r</m:t>
            </m:r>
          </m:sub>
        </m:sSub>
      </m:oMath>
      <w:r>
        <w:t xml:space="preserve">. Each</w:t>
      </w:r>
      <w:r>
        <w:t xml:space="preserve"> </w:t>
      </w:r>
      <m:oMath>
        <m:sSub>
          <m:e>
            <m:r>
              <m:rPr/>
              <m:t>Z</m:t>
            </m:r>
          </m:e>
          <m:sub>
            <m:r>
              <m:rPr/>
              <m:t>i</m:t>
            </m:r>
            <m:r>
              <m:rPr/>
              <m:t>t</m:t>
            </m:r>
            <m:r>
              <m:rPr/>
              <m:t>e</m:t>
            </m:r>
            <m:r>
              <m:rPr/>
              <m:t>r</m:t>
            </m:r>
          </m:sub>
        </m:sSub>
      </m:oMath>
      <w:r>
        <w:t xml:space="preserve"> </w:t>
      </w:r>
      <w:r>
        <w:t xml:space="preserve">can then be ordinated to provide a distribution of incidence matrices that represent estimates of true occupancy states. In this way, we can generate a posterior distribution of metacommunity structure, rather than a single estimate for a given dataset.</w:t>
      </w:r>
    </w:p>
    <w:p>
      <w:r>
        <w:t xml:space="preserve">For example, we simulated occupancy of 12 species at 75 sites, assuming 4 re-sampling visits per site. For simplicity, we assume that base-line occurrence probabilities and detection probabilities are equal among species. In order to acheive coherence, we assumed that species' overall occupancy probability was influenced by a single continuous covariate, distributed normally among sites. Species-specific covariate effects were assigned with hyperparameters drawn from a normal distribution. Again, for simplicity, we assumed no covariate effects on detection probability. All code and documentation for this and all following simulations can be found at (</w:t>
      </w:r>
      <w:r>
        <w:rPr>
          <w:b/>
        </w:rPr>
        <w:t xml:space="preserve">github link</w:t>
      </w:r>
      <w:r>
        <w:t xml:space="preserve">). We used R (</w:t>
      </w:r>
      <w:r>
        <w:rPr>
          <w:b/>
        </w:rPr>
        <w:t xml:space="preserve">citation</w:t>
      </w:r>
      <w:r>
        <w:t xml:space="preserve">) and JAGS (</w:t>
      </w:r>
      <w:r>
        <w:rPr>
          <w:b/>
        </w:rPr>
        <w:t xml:space="preserve">citation</w:t>
      </w:r>
      <w:r>
        <w:t xml:space="preserve">), via the R package 'rjags' (</w:t>
      </w:r>
      <w:r>
        <w:rPr>
          <w:b/>
        </w:rPr>
        <w:t xml:space="preserve">citation</w:t>
      </w:r>
      <w:r>
        <w:t xml:space="preserve">), for all of our simulations and analyses.</w:t>
      </w:r>
    </w:p>
    <w:p>
      <w:r>
        <w:t xml:space="preserve">After we verified model convergence, we randomly sampled 200</w:t>
      </w:r>
      <w:r>
        <w:t xml:space="preserve"> </w:t>
      </w:r>
      <m:oMath>
        <m:sSub>
          <m:e>
            <m:r>
              <m:rPr/>
              <m:t>Z</m:t>
            </m:r>
          </m:e>
          <m:sub>
            <m:r>
              <m:rPr/>
              <m:t>i</m:t>
            </m:r>
            <m:r>
              <m:rPr/>
              <m:t>t</m:t>
            </m:r>
            <m:r>
              <m:rPr/>
              <m:t>e</m:t>
            </m:r>
            <m:r>
              <m:rPr/>
              <m:t>r</m:t>
            </m:r>
          </m:sub>
        </m:sSub>
      </m:oMath>
      <w:r>
        <w:t xml:space="preserve"> </w:t>
      </w:r>
      <w:r>
        <w:t xml:space="preserve">from the full posterior sample. We chose to subsample the posterior for computational tractibility. We then ordinated each</w:t>
      </w:r>
      <w:r>
        <w:t xml:space="preserve"> </w:t>
      </w:r>
      <m:oMath>
        <m:sSub>
          <m:e>
            <m:r>
              <m:rPr/>
              <m:t>Z</m:t>
            </m:r>
          </m:e>
          <m:sub>
            <m:r>
              <m:rPr/>
              <m:t>i</m:t>
            </m:r>
            <m:r>
              <m:rPr/>
              <m:t>t</m:t>
            </m:r>
            <m:r>
              <m:rPr/>
              <m:t>e</m:t>
            </m:r>
            <m:r>
              <m:rPr/>
              <m:t>r</m:t>
            </m:r>
          </m:sub>
        </m:sSub>
      </m:oMath>
      <w:r>
        <w:t xml:space="preserve"> </w:t>
      </w:r>
      <w:r>
        <w:t xml:space="preserve">and overlayed these ordinated matrices to generate a heat map (Figure 1). This heat map allows us to see the range of likely ordinated matrices, given that some species are likely to go undetected during data collection. Next, for each of the 200 posterior matrices, we calculated the three elements of metacommunity structure using 1000 null matrix simulations for each</w:t>
      </w:r>
      <w:r>
        <w:t xml:space="preserve"> </w:t>
      </w:r>
      <m:oMath>
        <m:sSub>
          <m:e>
            <m:r>
              <m:rPr/>
              <m:t>Z</m:t>
            </m:r>
          </m:e>
          <m:sub>
            <m:r>
              <m:rPr/>
              <m:t>i</m:t>
            </m:r>
            <m:r>
              <m:rPr/>
              <m:t>t</m:t>
            </m:r>
            <m:r>
              <m:rPr/>
              <m:t>e</m:t>
            </m:r>
            <m:r>
              <m:rPr/>
              <m:t>r</m:t>
            </m:r>
          </m:sub>
        </m:sSub>
      </m:oMath>
      <w:r>
        <w:t xml:space="preserve">. In this way, we were able to generate Bayesian posterior estimates for the elements of metacommunity structure (Figure 2). (</w:t>
      </w:r>
      <w:r>
        <w:rPr>
          <w:b/>
        </w:rPr>
        <w:t xml:space="preserve">Generate pie-chart-esque figure that shows how often different structures were assigned to</w:t>
      </w:r>
      <w:r>
        <w:rPr>
          <w:b/>
        </w:rPr>
        <w:t xml:space="preserve"> </w:t>
      </w:r>
      <m:oMath>
        <m:sSub>
          <m:e>
            <m:r>
              <m:rPr/>
              <m:t>Z</m:t>
            </m:r>
          </m:e>
          <m:sub>
            <m:r>
              <m:rPr/>
              <m:t>i</m:t>
            </m:r>
            <m:r>
              <m:rPr/>
              <m:t>t</m:t>
            </m:r>
            <m:r>
              <m:rPr/>
              <m:t>e</m:t>
            </m:r>
            <m:r>
              <m:rPr/>
              <m:t>r</m:t>
            </m:r>
          </m:sub>
        </m:sSub>
      </m:oMath>
      <w:r>
        <w:t xml:space="preserve">)</w:t>
      </w:r>
    </w:p>
    <w:p>
      <w:r>
        <w:t xml:space="preserve">This new approach to estimating elements of metacommunity structure allows us to more fully quantify and describe metacommunity structure, based on estimated true occurrence. This method will also allow us to fully explore the influence of detection on our ability to assign metacommunity structure. For instance, in our simulation, the ordinated matrix created with the raw data exhibits Gleasonian structure (positive coherence, positive turnover, no significant boundary clumping). However,</w:t>
      </w:r>
      <w:r>
        <w:t xml:space="preserve"> </w:t>
      </w:r>
      <w:r>
        <w:rPr>
          <w:i/>
        </w:rPr>
        <w:t xml:space="preserve">...MORE...</w:t>
      </w:r>
    </w:p>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bookmarkStart w:id="28" w:name="complementary-features-of-occupancy-modeling"/>
    <w:p>
      <w:pPr>
        <w:pStyle w:val="Heading2"/>
      </w:pPr>
      <w:r>
        <w:t xml:space="preserve">Complementary features of occupancy modeling</w:t>
      </w:r>
    </w:p>
    <w:bookmarkEnd w:id="28"/>
    <w:p>
      <w:r>
        <w:rPr>
          <w:i/>
        </w:rPr>
        <w:t xml:space="preserve">Structuring mechanisms</w:t>
      </w:r>
      <w:r>
        <w:br w:type="textWrapping"/>
      </w:r>
      <w:r>
        <w:t xml:space="preserve">While introducing the EMS methods in their seminal paper,</w:t>
      </w:r>
      <w:r>
        <w:t xml:space="preserve"> </w:t>
      </w:r>
      <w:r>
        <w:t xml:space="preserve">Leibold and Mikkelson (2002)</w:t>
      </w:r>
      <w:r>
        <w:t xml:space="preserve"> </w:t>
      </w:r>
      <w:r>
        <w:t xml:space="preserve">emphasize that the EMS paradigm can identify patterns, but cannot necessarily elucidate the processes that lead to pattern. However, multi-species occupancy modeling can complement the features of the EMS paradigm and help to better elucidate metacommunity structuring mechanisms. For example, metacommunities that exhibit Gleasonian and Clementsian structure are assumed to be structured differently based on species-specific responses to a dominant environmental covariate(gradient).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w:t>
      </w:r>
      <w:r>
        <w:rPr>
          <w:b/>
        </w:rPr>
        <w:t xml:space="preserve">???</w:t>
      </w:r>
      <w:r>
        <w:t xml:space="preserve">)</w:t>
      </w:r>
      <w:r>
        <w:t xml:space="preserve">. Still, these mechanistic interpretations of structure remain more or less speculative in the EMS paradigm. The occupancy modeling simulation framework that we described above can help us to understand under which conditions different metacommunity structures might arise.</w:t>
      </w:r>
    </w:p>
    <w:p>
      <w:r>
        <w:t xml:space="preserve">We used simulation to explore how the distribution of species-specific covariate effects and the distribution of covariate values observed among sampled sites affect the resulting metacommunity structure. Again we simulated 12 species distrubted across 75 sites, with 4 re-sampling surveys at each site. Base-line occurrence and detection probabilites were fixed across species. We, however, altered the distribution and range (hyperparameters) from which the species-specific covariate effects and site-specific covariate values were drawn (Tables 1 and 2). For each set of hyperparameter values, we simulated 10 incidence matrices, ordinated each one and determined the resulting metacommuinty structure based on 1000 null matrices. Tables 1 and 2 thus show all the metacommunity structures observed over 10 simulations for each set of conditions.</w:t>
      </w:r>
    </w:p>
    <w:p>
      <w:r>
        <w:t xml:space="preserve">Importantly, we found that the range and distribution of site-specific covariate values sampled across the landscape can alter the observed metacommunity structure, independent of the species-specific covariate effects (Table 1).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in some circumstances metacommunity structure might arise from statistical phenomena in addition to or in place of biological processes. Similar to our findings,</w:t>
      </w:r>
      <w:r>
        <w:t xml:space="preserve"> </w:t>
      </w:r>
      <w:r>
        <w:t xml:space="preserve">(</w:t>
      </w:r>
      <w:r>
        <w:rPr>
          <w:b/>
        </w:rPr>
        <w:t xml:space="preserve">???</w:t>
      </w:r>
      <w:r>
        <w:t xml:space="preserve">)</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 (</w:t>
      </w:r>
      <w:r>
        <w:rPr>
          <w:b/>
        </w:rPr>
        <w:t xml:space="preserve">citations e.g. Gotelli</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w:t>
      </w:r>
      <w:r>
        <w:rPr>
          <w:b/>
        </w:rPr>
        <w:t xml:space="preserve">???</w:t>
      </w:r>
      <w:r>
        <w:t xml:space="preserve">)</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w:t>
      </w:r>
      <w:r>
        <w:t xml:space="preserve"> </w:t>
      </w:r>
      <w:r>
        <w:rPr>
          <w:b/>
        </w:rPr>
        <w:t xml:space="preserve">As a simple example, we simulated...</w:t>
      </w:r>
    </w:p>
    <w:p>
      <w:r>
        <w:t xml:space="preserve">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w:t>
      </w:r>
    </w:p>
    <w:p/>
    <w:bookmarkStart w:id="29" w:name="references"/>
    <w:p>
      <w:pPr>
        <w:pStyle w:val="Heading2"/>
      </w:pPr>
      <w:r>
        <w:t xml:space="preserve">References</w:t>
      </w:r>
    </w:p>
    <w:bookmarkEnd w:id="29"/>
    <w:p>
      <w:r>
        <w:t xml:space="preserve">Burton, A. C., M. K. Sam, C. Balangtaa, and J. S.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Cottenie, K. 2005. Integrating environmental and spatial processes in ecological community dynamics. Ecology letters 8:1175–1182.</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and G. M. Mikkelson. 2002. Coherence, species turnover, and boundary clumping: elements of meta-community structure. Oikos 97:237–250.</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J. Nichols, G.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9b55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