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317A" w14:textId="77777777" w:rsidR="00170DB8" w:rsidRDefault="00170DB8" w:rsidP="00170DB8">
      <w:pPr>
        <w:jc w:val="center"/>
        <w:rPr>
          <w:b/>
        </w:rPr>
      </w:pPr>
      <w:r>
        <w:rPr>
          <w:b/>
        </w:rPr>
        <w:t>Water quality benefits</w:t>
      </w:r>
    </w:p>
    <w:p w14:paraId="74A5F0E1" w14:textId="77777777" w:rsidR="00170DB8" w:rsidRPr="00B7268F" w:rsidRDefault="00170DB8" w:rsidP="00170DB8">
      <w:pPr>
        <w:rPr>
          <w:u w:val="single"/>
        </w:rPr>
      </w:pPr>
      <w:r w:rsidRPr="00B7268F">
        <w:rPr>
          <w:u w:val="single"/>
        </w:rPr>
        <w:t>Introduction</w:t>
      </w:r>
    </w:p>
    <w:p w14:paraId="251E2F41" w14:textId="77777777" w:rsidR="007C3144" w:rsidRDefault="00170DB8" w:rsidP="00170DB8">
      <w:r w:rsidRPr="000D735A">
        <w:t xml:space="preserve">Targeted planting </w:t>
      </w:r>
      <w:r w:rsidR="007C3144">
        <w:t xml:space="preserve">of woodland </w:t>
      </w:r>
      <w:r w:rsidRPr="000D735A">
        <w:t xml:space="preserve">on pollutant sources and </w:t>
      </w:r>
      <w:r>
        <w:t xml:space="preserve">delivery </w:t>
      </w:r>
      <w:r w:rsidRPr="000D735A">
        <w:t xml:space="preserve">pathways </w:t>
      </w:r>
      <w:r>
        <w:t xml:space="preserve">have been </w:t>
      </w:r>
      <w:r w:rsidRPr="000D735A">
        <w:t xml:space="preserve">shown </w:t>
      </w:r>
      <w:r>
        <w:t>to reduce</w:t>
      </w:r>
      <w:r w:rsidRPr="000D735A">
        <w:t xml:space="preserve"> diffuse nutrient, pesticide and sediment delivery to watercourses (</w:t>
      </w:r>
      <w:proofErr w:type="spellStart"/>
      <w:r w:rsidRPr="000D735A">
        <w:t>Nesbet</w:t>
      </w:r>
      <w:proofErr w:type="spellEnd"/>
      <w:r w:rsidRPr="000D735A">
        <w:t xml:space="preserve"> et al 2011 in FR 2014). </w:t>
      </w:r>
    </w:p>
    <w:p w14:paraId="07C5D379" w14:textId="3DF8DFD6" w:rsidR="008F2047" w:rsidRDefault="00170DB8" w:rsidP="00170DB8">
      <w:r>
        <w:t xml:space="preserve">The mechanism for </w:t>
      </w:r>
      <w:r w:rsidR="007C3144">
        <w:t xml:space="preserve">pollution </w:t>
      </w:r>
      <w:r>
        <w:t>delivery can vary according to the type of pollutant and its source</w:t>
      </w:r>
      <w:r w:rsidR="007C3144">
        <w:t>,</w:t>
      </w:r>
      <w:r>
        <w:t xml:space="preserve"> and so too can </w:t>
      </w:r>
      <w:r w:rsidR="007C3144">
        <w:t>mechanisms of mitigation</w:t>
      </w:r>
      <w:r>
        <w:t>. Two key mechanisms are central to the delivery of many agricultural (</w:t>
      </w:r>
      <w:proofErr w:type="spellStart"/>
      <w:r>
        <w:t>eg</w:t>
      </w:r>
      <w:proofErr w:type="spellEnd"/>
      <w:r>
        <w:t xml:space="preserve"> organic matter, nitrates, phosphates, pesticides) and other pollutants</w:t>
      </w:r>
      <w:r w:rsidR="008F2047">
        <w:t>:</w:t>
      </w:r>
      <w:r>
        <w:t xml:space="preserve"> </w:t>
      </w:r>
    </w:p>
    <w:p w14:paraId="591BD19C" w14:textId="77777777" w:rsidR="00CF7A89" w:rsidRDefault="00CF7A89" w:rsidP="00CF7A89">
      <w:pPr>
        <w:pStyle w:val="ListParagraph"/>
        <w:numPr>
          <w:ilvl w:val="0"/>
          <w:numId w:val="3"/>
        </w:numPr>
      </w:pPr>
      <w:r>
        <w:t xml:space="preserve">Soil erosion and transport can also deliver large quantities of pollutants within the soil matrix into watercourses. </w:t>
      </w:r>
      <w:r w:rsidRPr="00532E19">
        <w:rPr>
          <w:highlight w:val="yellow"/>
        </w:rPr>
        <w:t>EXAMPLE</w:t>
      </w:r>
      <w:r>
        <w:t xml:space="preserve"> </w:t>
      </w:r>
    </w:p>
    <w:p w14:paraId="1CB6137F" w14:textId="77B66B38" w:rsidR="008F2047" w:rsidRDefault="00057281" w:rsidP="008F2047">
      <w:pPr>
        <w:pStyle w:val="ListParagraph"/>
        <w:numPr>
          <w:ilvl w:val="0"/>
          <w:numId w:val="3"/>
        </w:numPr>
      </w:pPr>
      <w:r>
        <w:t>H</w:t>
      </w:r>
      <w:r w:rsidR="00170DB8">
        <w:t xml:space="preserve">igh surface water runoff can transport many water-soluble(?) pollutants. For example, </w:t>
      </w:r>
      <w:r w:rsidR="00170DB8" w:rsidRPr="00532E19">
        <w:rPr>
          <w:highlight w:val="yellow"/>
        </w:rPr>
        <w:t>EXAMPLE</w:t>
      </w:r>
      <w:r w:rsidR="00170DB8">
        <w:t xml:space="preserve">. </w:t>
      </w:r>
    </w:p>
    <w:p w14:paraId="526E6FEB" w14:textId="153EF801" w:rsidR="008F2047" w:rsidRDefault="00170DB8" w:rsidP="00170DB8">
      <w:r>
        <w:t xml:space="preserve">Sediment loss is cited as a direct reason for failure of river waterbodies to reach a ‘good’ status in &gt;10% of cases in England and as a detrimental factor in many drinking water sensitive zones (ref?). </w:t>
      </w:r>
      <w:r w:rsidR="008F2047">
        <w:t xml:space="preserve">It is also likely to play an important role in many other causes for watercourses failing to achieve a ‘good’ status. </w:t>
      </w:r>
      <w:r w:rsidR="00057281">
        <w:t xml:space="preserve"> </w:t>
      </w:r>
      <w:r w:rsidR="00057281" w:rsidRPr="00532E19">
        <w:rPr>
          <w:highlight w:val="yellow"/>
        </w:rPr>
        <w:t>GET A TABLE FOR CORNWALL</w:t>
      </w:r>
      <w:r w:rsidR="00532E19" w:rsidRPr="00532E19">
        <w:rPr>
          <w:highlight w:val="yellow"/>
        </w:rPr>
        <w:t xml:space="preserve"> CATCHMENTS</w:t>
      </w:r>
    </w:p>
    <w:p w14:paraId="1D16E698" w14:textId="434CF4CA" w:rsidR="00170DB8" w:rsidRDefault="008F2047" w:rsidP="00170DB8">
      <w:r>
        <w:t>Landcover and uses that</w:t>
      </w:r>
      <w:r w:rsidR="00170DB8">
        <w:t xml:space="preserve"> reduce bank erosion and soil loss along watercourses</w:t>
      </w:r>
      <w:r>
        <w:t xml:space="preserve"> or that </w:t>
      </w:r>
      <w:r w:rsidR="00170DB8">
        <w:t xml:space="preserve">slow water flow, can contribute to </w:t>
      </w:r>
      <w:r>
        <w:t>mitigating detrimental effects on water quality</w:t>
      </w:r>
      <w:r w:rsidR="00170DB8">
        <w:t>.</w:t>
      </w:r>
      <w:r w:rsidR="00170DB8" w:rsidRPr="00B7268F">
        <w:t xml:space="preserve"> </w:t>
      </w:r>
      <w:r>
        <w:t xml:space="preserve">Landcover type and use </w:t>
      </w:r>
      <w:r w:rsidR="00915B76">
        <w:t>will also influence</w:t>
      </w:r>
      <w:r>
        <w:t xml:space="preserve"> the quality of</w:t>
      </w:r>
      <w:r w:rsidR="00170DB8" w:rsidRPr="000D735A">
        <w:t xml:space="preserve"> watercourse habitat</w:t>
      </w:r>
      <w:r>
        <w:t>s</w:t>
      </w:r>
      <w:r w:rsidR="00170DB8" w:rsidRPr="000D735A">
        <w:t xml:space="preserve"> and </w:t>
      </w:r>
      <w:r w:rsidR="00170DB8">
        <w:t xml:space="preserve">ecosystem </w:t>
      </w:r>
      <w:r w:rsidR="00170DB8" w:rsidRPr="000D735A">
        <w:t>functioning</w:t>
      </w:r>
      <w:r w:rsidR="00170DB8">
        <w:t xml:space="preserve"> that in turn can</w:t>
      </w:r>
      <w:r>
        <w:t xml:space="preserve"> bring benefits to</w:t>
      </w:r>
      <w:r w:rsidR="00170DB8">
        <w:t xml:space="preserve"> water quality.</w:t>
      </w:r>
    </w:p>
    <w:p w14:paraId="12991CA1" w14:textId="77777777" w:rsidR="00170DB8" w:rsidRPr="00B7268F" w:rsidRDefault="00170DB8" w:rsidP="00170DB8">
      <w:pPr>
        <w:rPr>
          <w:u w:val="single"/>
        </w:rPr>
      </w:pPr>
      <w:r w:rsidRPr="00B7268F">
        <w:rPr>
          <w:u w:val="single"/>
        </w:rPr>
        <w:t xml:space="preserve">Identifying </w:t>
      </w:r>
      <w:r>
        <w:rPr>
          <w:u w:val="single"/>
        </w:rPr>
        <w:t>dependencies on water quality</w:t>
      </w:r>
    </w:p>
    <w:p w14:paraId="16EC03F0" w14:textId="77777777" w:rsidR="00170DB8" w:rsidRDefault="00170DB8" w:rsidP="00170DB8">
      <w:pPr>
        <w:pStyle w:val="ListParagraph"/>
        <w:numPr>
          <w:ilvl w:val="0"/>
          <w:numId w:val="2"/>
        </w:numPr>
      </w:pPr>
      <w:r>
        <w:t xml:space="preserve">Vulnerable Activities </w:t>
      </w:r>
    </w:p>
    <w:p w14:paraId="775FD18C" w14:textId="700E439D" w:rsidR="00170DB8" w:rsidRDefault="00170DB8" w:rsidP="00170DB8">
      <w:r>
        <w:t>In addition to a potential impact on biodiversity and ecosystem function, any reduction in water quality can bring significant economic and social costs.  We identified key industries and activities highly dependent on suitable water quality as:</w:t>
      </w:r>
    </w:p>
    <w:p w14:paraId="31F6CD04" w14:textId="77777777" w:rsidR="00170DB8" w:rsidRDefault="00170DB8" w:rsidP="00170DB8">
      <w:pPr>
        <w:pStyle w:val="ListParagraph"/>
        <w:numPr>
          <w:ilvl w:val="0"/>
          <w:numId w:val="1"/>
        </w:numPr>
      </w:pPr>
      <w:r>
        <w:t>Drinking water abstraction</w:t>
      </w:r>
    </w:p>
    <w:p w14:paraId="6423CE52" w14:textId="76B0FD44" w:rsidR="00170DB8" w:rsidRDefault="00170DB8" w:rsidP="00170DB8">
      <w:pPr>
        <w:pStyle w:val="ListParagraph"/>
        <w:numPr>
          <w:ilvl w:val="0"/>
          <w:numId w:val="1"/>
        </w:numPr>
      </w:pPr>
      <w:r>
        <w:t>Aquaculture</w:t>
      </w:r>
    </w:p>
    <w:p w14:paraId="4CAEFEA6" w14:textId="77777777" w:rsidR="00170DB8" w:rsidRDefault="00170DB8" w:rsidP="00170DB8">
      <w:pPr>
        <w:pStyle w:val="ListParagraph"/>
        <w:numPr>
          <w:ilvl w:val="0"/>
          <w:numId w:val="1"/>
        </w:numPr>
      </w:pPr>
      <w:r>
        <w:t>Tourism via bathing water quality</w:t>
      </w:r>
    </w:p>
    <w:p w14:paraId="6A1DF237" w14:textId="3B11020F" w:rsidR="007C3144" w:rsidRDefault="007C3144" w:rsidP="007C3144">
      <w:r>
        <w:t>The main location of these areas and the catchments draining into them were located using a variety of geographical data sources (see Table *).</w:t>
      </w:r>
    </w:p>
    <w:p w14:paraId="7B2F6816" w14:textId="1847C9C4" w:rsidR="007C3144" w:rsidRDefault="00170DB8" w:rsidP="00170DB8">
      <w:pPr>
        <w:pStyle w:val="ListParagraph"/>
        <w:numPr>
          <w:ilvl w:val="0"/>
          <w:numId w:val="2"/>
        </w:numPr>
      </w:pPr>
      <w:r>
        <w:t>Vulnerable waterbodies</w:t>
      </w:r>
      <w:r w:rsidR="007C3144">
        <w:t xml:space="preserve"> and catchment areas</w:t>
      </w:r>
    </w:p>
    <w:p w14:paraId="15141A74" w14:textId="0335B3AA" w:rsidR="007C3144" w:rsidRDefault="00057281" w:rsidP="007C3144">
      <w:r>
        <w:t>A</w:t>
      </w:r>
      <w:r w:rsidR="007C3144">
        <w:t>dditional designations and information</w:t>
      </w:r>
      <w:r>
        <w:t>,</w:t>
      </w:r>
      <w:r w:rsidR="007C3144">
        <w:t xml:space="preserve"> concerning the quality of watercourses</w:t>
      </w:r>
      <w:r>
        <w:t>,</w:t>
      </w:r>
      <w:r w:rsidR="007C3144">
        <w:t xml:space="preserve"> can be used to identify catchment areas vulnerable to a range of threats.  </w:t>
      </w:r>
    </w:p>
    <w:p w14:paraId="3149E155" w14:textId="10F9F602" w:rsidR="00170DB8" w:rsidRDefault="00170DB8" w:rsidP="00170DB8">
      <w:r>
        <w:t xml:space="preserve">River waterbodies that have been rated as possessing ‘not good’ quality status </w:t>
      </w:r>
      <w:r w:rsidR="008F2047">
        <w:t xml:space="preserve">(Water Framework Directive classification REF) </w:t>
      </w:r>
      <w:r>
        <w:t xml:space="preserve">are </w:t>
      </w:r>
      <w:r w:rsidR="007C3144">
        <w:t>identified</w:t>
      </w:r>
      <w:r>
        <w:t xml:space="preserve"> as priority areas for improvements to water quality. Existing land designations associated with threats to watercourses such as nitrate and phosphate sensitive areas also </w:t>
      </w:r>
      <w:r w:rsidR="008F2047">
        <w:t>indicate</w:t>
      </w:r>
      <w:r>
        <w:t xml:space="preserve"> </w:t>
      </w:r>
      <w:r w:rsidR="008F2047">
        <w:t>priority</w:t>
      </w:r>
      <w:r>
        <w:t xml:space="preserve"> areas </w:t>
      </w:r>
      <w:r w:rsidR="008F2047">
        <w:t>for the mitigation of</w:t>
      </w:r>
      <w:r>
        <w:t xml:space="preserve"> pollution </w:t>
      </w:r>
      <w:r w:rsidR="008F2047">
        <w:t>affecting water quality</w:t>
      </w:r>
      <w:r>
        <w:t xml:space="preserve">. </w:t>
      </w:r>
    </w:p>
    <w:p w14:paraId="4582A481" w14:textId="092B08B8" w:rsidR="008F2047" w:rsidRPr="008F2047" w:rsidRDefault="008F2047" w:rsidP="00170DB8">
      <w:r w:rsidRPr="008F2047">
        <w:t xml:space="preserve">Vulnerable ‘not good’ catchments where the reason for failure is identified as a ‘diffuse pollution’ source </w:t>
      </w:r>
      <w:proofErr w:type="gramStart"/>
      <w:r w:rsidRPr="008F2047">
        <w:t>were</w:t>
      </w:r>
      <w:proofErr w:type="gramEnd"/>
      <w:r w:rsidRPr="008F2047">
        <w:t xml:space="preserve"> </w:t>
      </w:r>
      <w:r w:rsidR="00532E19">
        <w:t>considered</w:t>
      </w:r>
      <w:r w:rsidRPr="008F2047">
        <w:t xml:space="preserve"> areas where mitigation of </w:t>
      </w:r>
      <w:r w:rsidR="00532E19">
        <w:t>pollutants affecting water</w:t>
      </w:r>
      <w:r w:rsidRPr="008F2047">
        <w:t xml:space="preserve"> quality was particularly valuable</w:t>
      </w:r>
      <w:r w:rsidR="00532E19">
        <w:t xml:space="preserve">. This amounted to </w:t>
      </w:r>
      <w:r w:rsidR="00CE7424" w:rsidRPr="00532E19">
        <w:rPr>
          <w:highlight w:val="yellow"/>
        </w:rPr>
        <w:t>74 of the 116 waterbodies</w:t>
      </w:r>
      <w:r w:rsidR="00CE7424">
        <w:t xml:space="preserve"> that did not achieve “Good” overall quality</w:t>
      </w:r>
      <w:r w:rsidR="00532E19">
        <w:t>.</w:t>
      </w:r>
      <w:r w:rsidRPr="008F2047">
        <w:t xml:space="preserve"> </w:t>
      </w:r>
    </w:p>
    <w:p w14:paraId="7A563FEF" w14:textId="3E3A2386" w:rsidR="00170DB8" w:rsidRDefault="00170DB8" w:rsidP="00170DB8">
      <w:r w:rsidRPr="008B16B2">
        <w:rPr>
          <w:b/>
        </w:rPr>
        <w:t>Table *</w:t>
      </w:r>
      <w:r>
        <w:t xml:space="preserve"> </w:t>
      </w:r>
      <w:r w:rsidR="007C3144">
        <w:t>shows</w:t>
      </w:r>
      <w:r>
        <w:t xml:space="preserve"> the data sources used to map </w:t>
      </w:r>
      <w:r w:rsidR="007C3144">
        <w:t xml:space="preserve">vulnerable </w:t>
      </w:r>
      <w:r>
        <w:t xml:space="preserve">activities and locations and/or </w:t>
      </w:r>
      <w:r w:rsidR="007C3144">
        <w:t xml:space="preserve">waterbody and </w:t>
      </w:r>
      <w:r>
        <w:t xml:space="preserve">catchments areas. </w:t>
      </w:r>
    </w:p>
    <w:p w14:paraId="59DFADA8" w14:textId="19EDDF07" w:rsidR="00170DB8" w:rsidRDefault="00170DB8" w:rsidP="00170DB8">
      <w:r>
        <w:t>Separate weightings for each type of vulnerable areas (drinking water abstraction, aquaculture, bathing water, ‘not good’ waterbody) are applied</w:t>
      </w:r>
      <w:r w:rsidR="00CF7A89">
        <w:t xml:space="preserve"> in </w:t>
      </w:r>
      <w:proofErr w:type="spellStart"/>
      <w:r w:rsidR="00CF7A89">
        <w:t>prioritiasation</w:t>
      </w:r>
      <w:proofErr w:type="spellEnd"/>
      <w:r w:rsidR="00CF7A89">
        <w:t xml:space="preserve"> and opportunity mapping</w:t>
      </w:r>
      <w:r>
        <w:t>.</w:t>
      </w:r>
    </w:p>
    <w:p w14:paraId="653FA867" w14:textId="1A9C922D" w:rsidR="00170DB8" w:rsidRPr="00B7268F" w:rsidRDefault="00170DB8" w:rsidP="00170DB8">
      <w:pPr>
        <w:rPr>
          <w:u w:val="single"/>
        </w:rPr>
      </w:pPr>
      <w:r w:rsidRPr="00B7268F">
        <w:rPr>
          <w:u w:val="single"/>
        </w:rPr>
        <w:t xml:space="preserve">Estimating potential mitigation value </w:t>
      </w:r>
    </w:p>
    <w:p w14:paraId="562C6A6F" w14:textId="031E7ADA" w:rsidR="00170DB8" w:rsidRDefault="00170DB8" w:rsidP="00170DB8">
      <w:r>
        <w:t>The method</w:t>
      </w:r>
      <w:r w:rsidR="004A3EF2">
        <w:t>s</w:t>
      </w:r>
      <w:r>
        <w:t xml:space="preserve"> chosen</w:t>
      </w:r>
      <w:r w:rsidR="004A3EF2">
        <w:t xml:space="preserve"> to estimate </w:t>
      </w:r>
      <w:r w:rsidR="006077DC">
        <w:t>water quality service benefits</w:t>
      </w:r>
      <w:r>
        <w:t xml:space="preserve"> focus on </w:t>
      </w:r>
      <w:r w:rsidR="006077DC">
        <w:t xml:space="preserve">the </w:t>
      </w:r>
      <w:r>
        <w:t xml:space="preserve">two key delivery mechanisms </w:t>
      </w:r>
      <w:r w:rsidR="006077DC">
        <w:t xml:space="preserve">of pollution </w:t>
      </w:r>
      <w:r>
        <w:t>outlined above, namely (</w:t>
      </w:r>
      <w:proofErr w:type="spellStart"/>
      <w:r>
        <w:t>i</w:t>
      </w:r>
      <w:proofErr w:type="spellEnd"/>
      <w:r>
        <w:t>) soil erosion and transport and (ii) agricultural surface water runoff.</w:t>
      </w:r>
    </w:p>
    <w:p w14:paraId="00FBF733" w14:textId="5B2EDC67" w:rsidR="00170DB8" w:rsidRPr="006077DC" w:rsidRDefault="006077DC" w:rsidP="00170DB8">
      <w:pPr>
        <w:rPr>
          <w:i/>
        </w:rPr>
      </w:pPr>
      <w:proofErr w:type="spellStart"/>
      <w:r w:rsidRPr="006077DC">
        <w:rPr>
          <w:i/>
        </w:rPr>
        <w:t>i</w:t>
      </w:r>
      <w:proofErr w:type="spellEnd"/>
      <w:r w:rsidRPr="006077DC">
        <w:rPr>
          <w:i/>
        </w:rPr>
        <w:t xml:space="preserve">. </w:t>
      </w:r>
      <w:r w:rsidR="00170DB8" w:rsidRPr="006077DC">
        <w:rPr>
          <w:i/>
        </w:rPr>
        <w:t xml:space="preserve">Soil </w:t>
      </w:r>
      <w:r w:rsidRPr="006077DC">
        <w:rPr>
          <w:i/>
        </w:rPr>
        <w:t>loss</w:t>
      </w:r>
      <w:r w:rsidR="00170DB8" w:rsidRPr="006077DC">
        <w:rPr>
          <w:i/>
        </w:rPr>
        <w:t xml:space="preserve"> (</w:t>
      </w:r>
      <w:proofErr w:type="spellStart"/>
      <w:r w:rsidR="00170DB8" w:rsidRPr="006077DC">
        <w:rPr>
          <w:i/>
        </w:rPr>
        <w:t>RUSLE_</w:t>
      </w:r>
      <w:proofErr w:type="gramStart"/>
      <w:r w:rsidR="00170DB8" w:rsidRPr="006077DC">
        <w:rPr>
          <w:i/>
        </w:rPr>
        <w:t>calcs.R</w:t>
      </w:r>
      <w:proofErr w:type="spellEnd"/>
      <w:proofErr w:type="gramEnd"/>
      <w:r w:rsidR="00170DB8" w:rsidRPr="006077DC">
        <w:rPr>
          <w:i/>
        </w:rPr>
        <w:t>)</w:t>
      </w:r>
    </w:p>
    <w:p w14:paraId="144AAD23" w14:textId="29317003" w:rsidR="006077DC" w:rsidRDefault="006077DC" w:rsidP="00170DB8">
      <w:r>
        <w:t>THEORY?</w:t>
      </w:r>
    </w:p>
    <w:p w14:paraId="3FA45EEB" w14:textId="78D2AF1E" w:rsidR="006077DC" w:rsidRDefault="00170DB8" w:rsidP="00170DB8">
      <w:r>
        <w:t xml:space="preserve">Estimates of </w:t>
      </w:r>
      <w:r w:rsidR="00532E19">
        <w:t xml:space="preserve">factors </w:t>
      </w:r>
      <w:r w:rsidR="00532E19">
        <w:t xml:space="preserve">affecting </w:t>
      </w:r>
      <w:r>
        <w:t>soil erosion across Europe produced using the RUSLE2015 model (</w:t>
      </w:r>
      <w:proofErr w:type="spellStart"/>
      <w:r>
        <w:t>Panagos</w:t>
      </w:r>
      <w:proofErr w:type="spellEnd"/>
      <w:r>
        <w:t xml:space="preserve"> et al 2015  </w:t>
      </w:r>
      <w:hyperlink r:id="rId5" w:tgtFrame="_blank" w:history="1">
        <w:r w:rsidRPr="006F6F96">
          <w:rPr>
            <w:rFonts w:ascii="Helvetica Neue" w:eastAsia="Times New Roman" w:hAnsi="Helvetica Neue" w:cs="Times New Roman"/>
            <w:color w:val="2A6496"/>
            <w:sz w:val="21"/>
            <w:szCs w:val="21"/>
            <w:u w:val="single"/>
          </w:rPr>
          <w:t>The new assessment of soil loss by water erosion in Europe</w:t>
        </w:r>
      </w:hyperlink>
      <w:r>
        <w:t>)</w:t>
      </w:r>
      <w:r w:rsidR="00532E19">
        <w:t xml:space="preserve"> </w:t>
      </w:r>
      <w:r>
        <w:t xml:space="preserve">have been adapted to provide an estimate of </w:t>
      </w:r>
      <w:r w:rsidR="00532E19">
        <w:t xml:space="preserve">soil loss </w:t>
      </w:r>
      <w:r w:rsidR="006077DC">
        <w:t xml:space="preserve">mitigation </w:t>
      </w:r>
      <w:r w:rsidR="00532E19">
        <w:t>due to landcover</w:t>
      </w:r>
      <w:r>
        <w:t xml:space="preserve">. </w:t>
      </w:r>
    </w:p>
    <w:p w14:paraId="2F85B47E" w14:textId="39413399" w:rsidR="006077DC" w:rsidRDefault="00170DB8" w:rsidP="00170DB8">
      <w:pPr>
        <w:rPr>
          <w:b/>
          <w:bCs/>
        </w:rPr>
      </w:pPr>
      <w:r>
        <w:t xml:space="preserve">The factors </w:t>
      </w:r>
      <w:r w:rsidR="00532E19">
        <w:t>(European Soil Database Centre REF)</w:t>
      </w:r>
      <w:r w:rsidR="00532E19">
        <w:t xml:space="preserve"> </w:t>
      </w:r>
      <w:r>
        <w:t xml:space="preserve">used in </w:t>
      </w:r>
      <w:r w:rsidR="00532E19">
        <w:t>the</w:t>
      </w:r>
      <w:r>
        <w:t xml:space="preserve"> estimation </w:t>
      </w:r>
      <w:r w:rsidR="00532E19">
        <w:t>are</w:t>
      </w:r>
      <w:r>
        <w:t>:</w:t>
      </w:r>
      <w:r w:rsidRPr="006F6F96">
        <w:t> </w:t>
      </w:r>
      <w:r w:rsidRPr="006F6F96">
        <w:rPr>
          <w:bCs/>
        </w:rPr>
        <w:t>K-Factor (Soil Erodibility), R-factor (Rainfall erosivity) and the LS-factor (Slope Length and Steepness).</w:t>
      </w:r>
      <w:r>
        <w:rPr>
          <w:b/>
          <w:bCs/>
        </w:rPr>
        <w:t xml:space="preserve"> </w:t>
      </w:r>
      <w:r w:rsidRPr="006F6F96">
        <w:rPr>
          <w:bCs/>
        </w:rPr>
        <w:t xml:space="preserve">These </w:t>
      </w:r>
      <w:r w:rsidR="00532E19">
        <w:rPr>
          <w:bCs/>
        </w:rPr>
        <w:t xml:space="preserve">three </w:t>
      </w:r>
      <w:r w:rsidRPr="006F6F96">
        <w:rPr>
          <w:bCs/>
        </w:rPr>
        <w:t xml:space="preserve">factors </w:t>
      </w:r>
      <w:r w:rsidR="006077DC">
        <w:rPr>
          <w:bCs/>
        </w:rPr>
        <w:t>provide an estimate</w:t>
      </w:r>
      <w:r w:rsidRPr="006F6F96">
        <w:rPr>
          <w:bCs/>
        </w:rPr>
        <w:t xml:space="preserve"> of </w:t>
      </w:r>
      <w:r w:rsidR="006077DC">
        <w:rPr>
          <w:bCs/>
        </w:rPr>
        <w:t xml:space="preserve">potential </w:t>
      </w:r>
      <w:r w:rsidRPr="006F6F96">
        <w:rPr>
          <w:bCs/>
        </w:rPr>
        <w:t>soil loss</w:t>
      </w:r>
      <w:r w:rsidR="006077DC">
        <w:rPr>
          <w:bCs/>
        </w:rPr>
        <w:t xml:space="preserve"> (</w:t>
      </w:r>
      <w:proofErr w:type="spellStart"/>
      <w:r w:rsidR="006077DC">
        <w:rPr>
          <w:bCs/>
        </w:rPr>
        <w:t>RUSLE.base</w:t>
      </w:r>
      <w:proofErr w:type="spellEnd"/>
      <w:r w:rsidR="006077DC">
        <w:rPr>
          <w:bCs/>
        </w:rPr>
        <w:t>),</w:t>
      </w:r>
      <w:r w:rsidRPr="006F6F96">
        <w:rPr>
          <w:bCs/>
        </w:rPr>
        <w:t xml:space="preserve"> </w:t>
      </w:r>
      <w:r w:rsidR="00532E19">
        <w:rPr>
          <w:bCs/>
        </w:rPr>
        <w:t>independent of</w:t>
      </w:r>
      <w:r w:rsidRPr="006F6F96">
        <w:rPr>
          <w:bCs/>
        </w:rPr>
        <w:t xml:space="preserve"> landcover</w:t>
      </w:r>
      <w:r w:rsidR="00532E19">
        <w:rPr>
          <w:bCs/>
        </w:rPr>
        <w:t>.</w:t>
      </w:r>
      <w:r w:rsidRPr="006F6F96">
        <w:rPr>
          <w:bCs/>
        </w:rPr>
        <w:t xml:space="preserve"> </w:t>
      </w:r>
    </w:p>
    <w:p w14:paraId="6D35BC9A" w14:textId="7E4C34F2" w:rsidR="006077DC" w:rsidRDefault="006077DC" w:rsidP="006077DC">
      <w:pPr>
        <w:rPr>
          <w:b/>
          <w:bCs/>
        </w:rPr>
      </w:pPr>
      <w:proofErr w:type="spellStart"/>
      <w:r>
        <w:rPr>
          <w:b/>
          <w:bCs/>
        </w:rPr>
        <w:t>RUSLE.base</w:t>
      </w:r>
      <w:proofErr w:type="spellEnd"/>
      <w:r>
        <w:rPr>
          <w:b/>
          <w:bCs/>
        </w:rPr>
        <w:t xml:space="preserve"> =</w:t>
      </w:r>
      <w:r w:rsidR="00532E19">
        <w:rPr>
          <w:b/>
          <w:bCs/>
        </w:rPr>
        <w:t xml:space="preserve"> EQUATION</w:t>
      </w:r>
    </w:p>
    <w:p w14:paraId="3B65984E" w14:textId="5D665113" w:rsidR="00532E19" w:rsidRDefault="00532E19" w:rsidP="00170DB8">
      <w:pPr>
        <w:rPr>
          <w:bCs/>
        </w:rPr>
      </w:pPr>
      <w:r>
        <w:rPr>
          <w:bCs/>
        </w:rPr>
        <w:t xml:space="preserve">To estimate soil loss under existing (or hypothesized landcover types) requires the addition of factors representing landcover </w:t>
      </w:r>
      <w:r>
        <w:rPr>
          <w:bCs/>
        </w:rPr>
        <w:t xml:space="preserve">type, management </w:t>
      </w:r>
      <w:r w:rsidRPr="006F6F96">
        <w:rPr>
          <w:bCs/>
        </w:rPr>
        <w:t xml:space="preserve">(C-factor) or </w:t>
      </w:r>
      <w:r>
        <w:rPr>
          <w:bCs/>
        </w:rPr>
        <w:t>s</w:t>
      </w:r>
      <w:r w:rsidRPr="006F6F96">
        <w:rPr>
          <w:bCs/>
        </w:rPr>
        <w:t>upport practices (P-factor).</w:t>
      </w:r>
    </w:p>
    <w:p w14:paraId="5D470EF5" w14:textId="11CFB247" w:rsidR="00170DB8" w:rsidRDefault="00532E19" w:rsidP="00170DB8">
      <w:pPr>
        <w:rPr>
          <w:b/>
          <w:bCs/>
        </w:rPr>
      </w:pPr>
      <w:r>
        <w:rPr>
          <w:bCs/>
        </w:rPr>
        <w:t>Instead of using the</w:t>
      </w:r>
      <w:r w:rsidR="00170DB8" w:rsidRPr="006F6F96">
        <w:rPr>
          <w:bCs/>
        </w:rPr>
        <w:t xml:space="preserve"> ESDAC C-factor</w:t>
      </w:r>
      <w:r>
        <w:rPr>
          <w:bCs/>
        </w:rPr>
        <w:t>,</w:t>
      </w:r>
      <w:r w:rsidR="00170DB8" w:rsidRPr="006F6F96">
        <w:rPr>
          <w:bCs/>
        </w:rPr>
        <w:t xml:space="preserve"> </w:t>
      </w:r>
      <w:r>
        <w:rPr>
          <w:bCs/>
        </w:rPr>
        <w:t xml:space="preserve">which was </w:t>
      </w:r>
      <w:r w:rsidR="00170DB8" w:rsidRPr="006F6F96">
        <w:rPr>
          <w:bCs/>
        </w:rPr>
        <w:t>derived from Corine landcover data</w:t>
      </w:r>
      <w:r>
        <w:rPr>
          <w:bCs/>
        </w:rPr>
        <w:t>,</w:t>
      </w:r>
      <w:r w:rsidR="00170DB8" w:rsidRPr="006F6F96">
        <w:rPr>
          <w:bCs/>
        </w:rPr>
        <w:t xml:space="preserve"> tailored landcover </w:t>
      </w:r>
      <w:r>
        <w:rPr>
          <w:bCs/>
        </w:rPr>
        <w:t>values were used based on CEH landcover classification</w:t>
      </w:r>
      <w:r w:rsidR="00170DB8" w:rsidRPr="006F6F96">
        <w:rPr>
          <w:bCs/>
        </w:rPr>
        <w:t xml:space="preserve"> </w:t>
      </w:r>
      <w:r>
        <w:rPr>
          <w:bCs/>
        </w:rPr>
        <w:t xml:space="preserve">(REF). The </w:t>
      </w:r>
      <w:r w:rsidR="00170DB8">
        <w:rPr>
          <w:bCs/>
        </w:rPr>
        <w:t xml:space="preserve">difference in the C value for improved grassland and arable land </w:t>
      </w:r>
      <w:r>
        <w:rPr>
          <w:bCs/>
        </w:rPr>
        <w:t xml:space="preserve">was explicitly reduced </w:t>
      </w:r>
      <w:r w:rsidR="00170DB8">
        <w:rPr>
          <w:bCs/>
        </w:rPr>
        <w:t>to capture the potential of these uses to vary between years</w:t>
      </w:r>
      <w:r w:rsidR="00170DB8" w:rsidRPr="006F6F96">
        <w:rPr>
          <w:bCs/>
        </w:rPr>
        <w:t xml:space="preserve"> (see table * for the values assigned to land classes).</w:t>
      </w:r>
      <w:r w:rsidR="00170DB8">
        <w:rPr>
          <w:bCs/>
        </w:rPr>
        <w:t xml:space="preserve"> </w:t>
      </w:r>
      <w:r w:rsidR="00170DB8" w:rsidRPr="006F6F96">
        <w:rPr>
          <w:bCs/>
        </w:rPr>
        <w:t xml:space="preserve">Instead of assessing support practices (typically </w:t>
      </w:r>
      <w:r>
        <w:rPr>
          <w:bCs/>
        </w:rPr>
        <w:t>tillage and cover crop</w:t>
      </w:r>
      <w:r w:rsidR="00170DB8" w:rsidRPr="006F6F96">
        <w:rPr>
          <w:bCs/>
        </w:rPr>
        <w:t xml:space="preserve"> practices)</w:t>
      </w:r>
      <w:r>
        <w:rPr>
          <w:bCs/>
        </w:rPr>
        <w:t>,</w:t>
      </w:r>
      <w:r w:rsidR="00170DB8" w:rsidRPr="006F6F96">
        <w:rPr>
          <w:bCs/>
        </w:rPr>
        <w:t xml:space="preserve"> for which there is little available information and which are like</w:t>
      </w:r>
      <w:r w:rsidR="00170DB8">
        <w:rPr>
          <w:bCs/>
        </w:rPr>
        <w:t>l</w:t>
      </w:r>
      <w:r w:rsidR="00170DB8" w:rsidRPr="006F6F96">
        <w:rPr>
          <w:bCs/>
        </w:rPr>
        <w:t xml:space="preserve">y to vary considerably over time, we have added a P-factor based on the total hedgerow length </w:t>
      </w:r>
      <w:r w:rsidR="00170DB8">
        <w:rPr>
          <w:bCs/>
        </w:rPr>
        <w:t xml:space="preserve">(ERCCIS data ref) </w:t>
      </w:r>
      <w:r w:rsidR="00170DB8" w:rsidRPr="006F6F96">
        <w:rPr>
          <w:bCs/>
        </w:rPr>
        <w:t>within each cell.</w:t>
      </w:r>
      <w:r w:rsidR="00170DB8">
        <w:rPr>
          <w:b/>
          <w:bCs/>
        </w:rPr>
        <w:t xml:space="preserve"> </w:t>
      </w:r>
    </w:p>
    <w:p w14:paraId="160B90C1" w14:textId="77777777" w:rsidR="006077DC" w:rsidRDefault="006077DC" w:rsidP="006077DC">
      <w:pPr>
        <w:rPr>
          <w:bCs/>
        </w:rPr>
      </w:pPr>
      <w:r w:rsidRPr="009F5B05">
        <w:rPr>
          <w:bCs/>
        </w:rPr>
        <w:t>The custom C and P layers were used to derive a modified RUSLE estimation of current soil loss due to water erosion</w:t>
      </w:r>
      <w:r>
        <w:rPr>
          <w:bCs/>
        </w:rPr>
        <w:t xml:space="preserve"> under current landcover</w:t>
      </w:r>
      <w:r w:rsidRPr="009F5B05">
        <w:rPr>
          <w:bCs/>
        </w:rPr>
        <w:t xml:space="preserve">. </w:t>
      </w:r>
    </w:p>
    <w:p w14:paraId="744C3645" w14:textId="0E17609B" w:rsidR="006077DC" w:rsidRDefault="006077DC" w:rsidP="006077DC">
      <w:pPr>
        <w:rPr>
          <w:b/>
          <w:bCs/>
        </w:rPr>
      </w:pPr>
      <w:r>
        <w:rPr>
          <w:b/>
          <w:bCs/>
        </w:rPr>
        <w:t xml:space="preserve">RUSLE.lc = </w:t>
      </w:r>
      <w:r w:rsidR="00532E19">
        <w:rPr>
          <w:b/>
          <w:bCs/>
        </w:rPr>
        <w:t>EQUATION</w:t>
      </w:r>
    </w:p>
    <w:p w14:paraId="3E985604" w14:textId="70FCC314" w:rsidR="006077DC" w:rsidRDefault="006077DC" w:rsidP="006077DC">
      <w:pPr>
        <w:rPr>
          <w:bCs/>
        </w:rPr>
      </w:pPr>
      <w:r>
        <w:rPr>
          <w:bCs/>
        </w:rPr>
        <w:t>The soil loss mitigation value was calculated as the normalised difference between these</w:t>
      </w:r>
      <w:r w:rsidRPr="009F5B05">
        <w:rPr>
          <w:bCs/>
        </w:rPr>
        <w:t xml:space="preserve"> </w:t>
      </w:r>
      <w:r>
        <w:rPr>
          <w:bCs/>
        </w:rPr>
        <w:t xml:space="preserve">two </w:t>
      </w:r>
      <w:r w:rsidRPr="009F5B05">
        <w:rPr>
          <w:bCs/>
        </w:rPr>
        <w:t>values.</w:t>
      </w:r>
      <w:r w:rsidR="00750C3B">
        <w:rPr>
          <w:bCs/>
        </w:rPr>
        <w:t xml:space="preserve"> Derived from pr</w:t>
      </w:r>
      <w:r w:rsidR="00A63AF8">
        <w:rPr>
          <w:bCs/>
        </w:rPr>
        <w:t>e</w:t>
      </w:r>
      <w:r w:rsidR="00750C3B">
        <w:rPr>
          <w:bCs/>
        </w:rPr>
        <w:t xml:space="preserve">vious studies as reviewed by </w:t>
      </w:r>
      <w:proofErr w:type="spellStart"/>
      <w:r w:rsidR="00750C3B">
        <w:rPr>
          <w:bCs/>
        </w:rPr>
        <w:t>Panaglos</w:t>
      </w:r>
      <w:proofErr w:type="spellEnd"/>
      <w:r w:rsidR="00750C3B">
        <w:rPr>
          <w:bCs/>
        </w:rPr>
        <w:t xml:space="preserve"> et al (2015) </w:t>
      </w:r>
    </w:p>
    <w:p w14:paraId="23384C55" w14:textId="77777777" w:rsidR="000A0E99" w:rsidRDefault="000A0E99" w:rsidP="006077DC">
      <w:pPr>
        <w:rPr>
          <w:bCs/>
        </w:rPr>
      </w:pPr>
    </w:p>
    <w:tbl>
      <w:tblPr>
        <w:tblStyle w:val="TableGrid"/>
        <w:tblW w:w="0" w:type="auto"/>
        <w:tblInd w:w="1833" w:type="dxa"/>
        <w:tblLook w:val="04A0" w:firstRow="1" w:lastRow="0" w:firstColumn="1" w:lastColumn="0" w:noHBand="0" w:noVBand="1"/>
      </w:tblPr>
      <w:tblGrid>
        <w:gridCol w:w="2196"/>
        <w:gridCol w:w="2577"/>
      </w:tblGrid>
      <w:tr w:rsidR="00C87537" w:rsidRPr="008C2155" w14:paraId="7A02D241" w14:textId="77777777" w:rsidTr="00202C22">
        <w:tc>
          <w:tcPr>
            <w:tcW w:w="2196" w:type="dxa"/>
          </w:tcPr>
          <w:p w14:paraId="2D8FDE70" w14:textId="77777777" w:rsidR="00C87537" w:rsidRPr="008C2155" w:rsidRDefault="00C87537" w:rsidP="00202C22">
            <w:pPr>
              <w:spacing w:after="0"/>
              <w:rPr>
                <w:b/>
                <w:sz w:val="20"/>
                <w:szCs w:val="20"/>
              </w:rPr>
            </w:pPr>
            <w:r w:rsidRPr="008C2155">
              <w:rPr>
                <w:b/>
                <w:sz w:val="20"/>
                <w:szCs w:val="20"/>
              </w:rPr>
              <w:t>Landcover</w:t>
            </w:r>
          </w:p>
        </w:tc>
        <w:tc>
          <w:tcPr>
            <w:tcW w:w="2577" w:type="dxa"/>
          </w:tcPr>
          <w:p w14:paraId="035549F4" w14:textId="7ABFE353" w:rsidR="00C87537" w:rsidRPr="008C2155" w:rsidRDefault="00C87537" w:rsidP="00202C22">
            <w:pPr>
              <w:spacing w:after="0"/>
              <w:rPr>
                <w:b/>
                <w:sz w:val="20"/>
                <w:szCs w:val="20"/>
              </w:rPr>
            </w:pPr>
            <w:r>
              <w:rPr>
                <w:b/>
                <w:sz w:val="20"/>
                <w:szCs w:val="20"/>
              </w:rPr>
              <w:t>RUSLE C-factor</w:t>
            </w:r>
            <w:r>
              <w:rPr>
                <w:b/>
                <w:sz w:val="20"/>
                <w:szCs w:val="20"/>
              </w:rPr>
              <w:t xml:space="preserve"> </w:t>
            </w:r>
          </w:p>
        </w:tc>
      </w:tr>
      <w:tr w:rsidR="00C87537" w:rsidRPr="008C2155" w14:paraId="26E82A18" w14:textId="77777777" w:rsidTr="00202C22">
        <w:tc>
          <w:tcPr>
            <w:tcW w:w="2196" w:type="dxa"/>
          </w:tcPr>
          <w:p w14:paraId="594905CB" w14:textId="77777777" w:rsidR="00C87537" w:rsidRPr="008C2155" w:rsidRDefault="00C87537" w:rsidP="00202C22">
            <w:pPr>
              <w:spacing w:after="0"/>
              <w:rPr>
                <w:sz w:val="20"/>
                <w:szCs w:val="20"/>
              </w:rPr>
            </w:pPr>
            <w:r w:rsidRPr="008C2155">
              <w:rPr>
                <w:sz w:val="20"/>
                <w:szCs w:val="20"/>
              </w:rPr>
              <w:t>Coniferous woodland</w:t>
            </w:r>
          </w:p>
        </w:tc>
        <w:tc>
          <w:tcPr>
            <w:tcW w:w="2577" w:type="dxa"/>
          </w:tcPr>
          <w:p w14:paraId="6170292A" w14:textId="1FFC488E" w:rsidR="00C87537" w:rsidRPr="008C2155" w:rsidRDefault="00C87537" w:rsidP="00202C22">
            <w:pPr>
              <w:spacing w:after="0"/>
              <w:rPr>
                <w:sz w:val="20"/>
                <w:szCs w:val="20"/>
              </w:rPr>
            </w:pPr>
            <w:r>
              <w:rPr>
                <w:sz w:val="20"/>
                <w:szCs w:val="20"/>
              </w:rPr>
              <w:t>0.</w:t>
            </w:r>
            <w:r>
              <w:rPr>
                <w:sz w:val="20"/>
                <w:szCs w:val="20"/>
              </w:rPr>
              <w:t>00</w:t>
            </w:r>
            <w:r w:rsidR="00750C3B">
              <w:rPr>
                <w:sz w:val="20"/>
                <w:szCs w:val="20"/>
              </w:rPr>
              <w:t>1</w:t>
            </w:r>
          </w:p>
        </w:tc>
      </w:tr>
      <w:tr w:rsidR="00C87537" w:rsidRPr="008C2155" w14:paraId="5F7DBCAB" w14:textId="77777777" w:rsidTr="00202C22">
        <w:tc>
          <w:tcPr>
            <w:tcW w:w="2196" w:type="dxa"/>
          </w:tcPr>
          <w:p w14:paraId="33A39B88" w14:textId="77777777" w:rsidR="00C87537" w:rsidRPr="008C2155" w:rsidRDefault="00C87537" w:rsidP="00202C22">
            <w:pPr>
              <w:spacing w:after="0"/>
              <w:rPr>
                <w:sz w:val="20"/>
                <w:szCs w:val="20"/>
              </w:rPr>
            </w:pPr>
            <w:r w:rsidRPr="008C2155">
              <w:rPr>
                <w:sz w:val="20"/>
                <w:szCs w:val="20"/>
              </w:rPr>
              <w:t>Broadleaf woodland</w:t>
            </w:r>
          </w:p>
        </w:tc>
        <w:tc>
          <w:tcPr>
            <w:tcW w:w="2577" w:type="dxa"/>
          </w:tcPr>
          <w:p w14:paraId="26928ED1" w14:textId="4AA812BD" w:rsidR="00C87537" w:rsidRPr="008C2155" w:rsidRDefault="00C87537" w:rsidP="00202C22">
            <w:pPr>
              <w:spacing w:after="0"/>
              <w:rPr>
                <w:sz w:val="20"/>
                <w:szCs w:val="20"/>
              </w:rPr>
            </w:pPr>
            <w:r>
              <w:rPr>
                <w:sz w:val="20"/>
                <w:szCs w:val="20"/>
              </w:rPr>
              <w:t>0.</w:t>
            </w:r>
            <w:r>
              <w:rPr>
                <w:sz w:val="20"/>
                <w:szCs w:val="20"/>
              </w:rPr>
              <w:t>00</w:t>
            </w:r>
            <w:r w:rsidR="00750C3B">
              <w:rPr>
                <w:sz w:val="20"/>
                <w:szCs w:val="20"/>
              </w:rPr>
              <w:t>1</w:t>
            </w:r>
          </w:p>
        </w:tc>
      </w:tr>
      <w:tr w:rsidR="00C87537" w:rsidRPr="008C2155" w14:paraId="7749D6B6" w14:textId="77777777" w:rsidTr="00202C22">
        <w:tc>
          <w:tcPr>
            <w:tcW w:w="2196" w:type="dxa"/>
          </w:tcPr>
          <w:p w14:paraId="75BBD6AB" w14:textId="77777777" w:rsidR="00C87537" w:rsidRPr="008C2155" w:rsidRDefault="00C87537" w:rsidP="00202C22">
            <w:pPr>
              <w:spacing w:after="0"/>
              <w:rPr>
                <w:sz w:val="20"/>
                <w:szCs w:val="20"/>
              </w:rPr>
            </w:pPr>
            <w:r w:rsidRPr="008C2155">
              <w:rPr>
                <w:sz w:val="20"/>
                <w:szCs w:val="20"/>
              </w:rPr>
              <w:t>Semi-natural grassland</w:t>
            </w:r>
          </w:p>
        </w:tc>
        <w:tc>
          <w:tcPr>
            <w:tcW w:w="2577" w:type="dxa"/>
          </w:tcPr>
          <w:p w14:paraId="42274333" w14:textId="6B2B2BC5" w:rsidR="00C87537" w:rsidRPr="008C2155" w:rsidRDefault="00C87537" w:rsidP="00202C22">
            <w:pPr>
              <w:spacing w:after="0"/>
              <w:rPr>
                <w:sz w:val="20"/>
                <w:szCs w:val="20"/>
              </w:rPr>
            </w:pPr>
            <w:r>
              <w:rPr>
                <w:sz w:val="20"/>
                <w:szCs w:val="20"/>
              </w:rPr>
              <w:t>0.0</w:t>
            </w:r>
            <w:r>
              <w:rPr>
                <w:sz w:val="20"/>
                <w:szCs w:val="20"/>
              </w:rPr>
              <w:t xml:space="preserve">4 </w:t>
            </w:r>
          </w:p>
        </w:tc>
      </w:tr>
      <w:tr w:rsidR="00C87537" w:rsidRPr="008C2155" w14:paraId="59277A16" w14:textId="77777777" w:rsidTr="00202C22">
        <w:tc>
          <w:tcPr>
            <w:tcW w:w="2196" w:type="dxa"/>
          </w:tcPr>
          <w:p w14:paraId="66BF067E" w14:textId="77777777" w:rsidR="00C87537" w:rsidRPr="008C2155" w:rsidRDefault="00C87537" w:rsidP="00202C22">
            <w:pPr>
              <w:spacing w:after="0"/>
              <w:rPr>
                <w:sz w:val="20"/>
                <w:szCs w:val="20"/>
              </w:rPr>
            </w:pPr>
            <w:r w:rsidRPr="008C2155">
              <w:rPr>
                <w:sz w:val="20"/>
                <w:szCs w:val="20"/>
              </w:rPr>
              <w:t>Wetland</w:t>
            </w:r>
          </w:p>
        </w:tc>
        <w:tc>
          <w:tcPr>
            <w:tcW w:w="2577" w:type="dxa"/>
          </w:tcPr>
          <w:p w14:paraId="4968EBB6" w14:textId="41234C65" w:rsidR="00C87537" w:rsidRPr="008C2155" w:rsidRDefault="00C87537" w:rsidP="00202C22">
            <w:pPr>
              <w:spacing w:after="0"/>
              <w:rPr>
                <w:sz w:val="20"/>
                <w:szCs w:val="20"/>
              </w:rPr>
            </w:pPr>
            <w:r>
              <w:rPr>
                <w:sz w:val="20"/>
                <w:szCs w:val="20"/>
              </w:rPr>
              <w:t>0.0</w:t>
            </w:r>
            <w:r>
              <w:rPr>
                <w:sz w:val="20"/>
                <w:szCs w:val="20"/>
              </w:rPr>
              <w:t>1</w:t>
            </w:r>
            <w:r>
              <w:rPr>
                <w:sz w:val="20"/>
                <w:szCs w:val="20"/>
              </w:rPr>
              <w:t xml:space="preserve"> </w:t>
            </w:r>
          </w:p>
        </w:tc>
      </w:tr>
      <w:tr w:rsidR="00C87537" w:rsidRPr="008C2155" w14:paraId="38B0C135" w14:textId="77777777" w:rsidTr="00202C22">
        <w:tc>
          <w:tcPr>
            <w:tcW w:w="2196" w:type="dxa"/>
          </w:tcPr>
          <w:p w14:paraId="5A837715" w14:textId="77777777" w:rsidR="00C87537" w:rsidRPr="008C2155" w:rsidRDefault="00C87537" w:rsidP="00202C22">
            <w:pPr>
              <w:spacing w:after="0"/>
              <w:rPr>
                <w:sz w:val="20"/>
                <w:szCs w:val="20"/>
              </w:rPr>
            </w:pPr>
            <w:r w:rsidRPr="008C2155">
              <w:rPr>
                <w:sz w:val="20"/>
                <w:szCs w:val="20"/>
              </w:rPr>
              <w:t>Heath / Moor</w:t>
            </w:r>
          </w:p>
        </w:tc>
        <w:tc>
          <w:tcPr>
            <w:tcW w:w="2577" w:type="dxa"/>
          </w:tcPr>
          <w:p w14:paraId="007C3959" w14:textId="5422B3C6" w:rsidR="00C87537" w:rsidRPr="008C2155" w:rsidRDefault="00C87537" w:rsidP="00202C22">
            <w:pPr>
              <w:spacing w:after="0"/>
              <w:rPr>
                <w:sz w:val="20"/>
                <w:szCs w:val="20"/>
              </w:rPr>
            </w:pPr>
            <w:r>
              <w:rPr>
                <w:sz w:val="20"/>
                <w:szCs w:val="20"/>
              </w:rPr>
              <w:t xml:space="preserve">0.05 </w:t>
            </w:r>
          </w:p>
        </w:tc>
      </w:tr>
      <w:tr w:rsidR="00C87537" w:rsidRPr="008C2155" w14:paraId="6A91807E" w14:textId="77777777" w:rsidTr="00202C22">
        <w:tc>
          <w:tcPr>
            <w:tcW w:w="2196" w:type="dxa"/>
          </w:tcPr>
          <w:p w14:paraId="6FF0D8BB" w14:textId="77777777" w:rsidR="00C87537" w:rsidRPr="008C2155" w:rsidRDefault="00C87537" w:rsidP="00202C22">
            <w:pPr>
              <w:spacing w:after="0"/>
              <w:rPr>
                <w:sz w:val="20"/>
                <w:szCs w:val="20"/>
              </w:rPr>
            </w:pPr>
            <w:r w:rsidRPr="008C2155">
              <w:rPr>
                <w:sz w:val="20"/>
                <w:szCs w:val="20"/>
              </w:rPr>
              <w:t>Inland Rock</w:t>
            </w:r>
          </w:p>
        </w:tc>
        <w:tc>
          <w:tcPr>
            <w:tcW w:w="2577" w:type="dxa"/>
          </w:tcPr>
          <w:p w14:paraId="05B7785F" w14:textId="35357709" w:rsidR="00C87537" w:rsidRPr="008C2155" w:rsidRDefault="00C87537" w:rsidP="00202C22">
            <w:pPr>
              <w:spacing w:after="0"/>
              <w:rPr>
                <w:sz w:val="20"/>
                <w:szCs w:val="20"/>
              </w:rPr>
            </w:pPr>
            <w:r>
              <w:rPr>
                <w:sz w:val="20"/>
                <w:szCs w:val="20"/>
              </w:rPr>
              <w:t>0</w:t>
            </w:r>
            <w:r>
              <w:rPr>
                <w:sz w:val="20"/>
                <w:szCs w:val="20"/>
              </w:rPr>
              <w:t>.0</w:t>
            </w:r>
          </w:p>
        </w:tc>
      </w:tr>
      <w:tr w:rsidR="00C87537" w:rsidRPr="008C2155" w14:paraId="44FA3757" w14:textId="77777777" w:rsidTr="00202C22">
        <w:tc>
          <w:tcPr>
            <w:tcW w:w="2196" w:type="dxa"/>
          </w:tcPr>
          <w:p w14:paraId="6AFB5383" w14:textId="77777777" w:rsidR="00C87537" w:rsidRPr="008C2155" w:rsidRDefault="00C87537" w:rsidP="00202C22">
            <w:pPr>
              <w:spacing w:after="0"/>
              <w:rPr>
                <w:sz w:val="20"/>
                <w:szCs w:val="20"/>
              </w:rPr>
            </w:pPr>
            <w:r w:rsidRPr="008C2155">
              <w:rPr>
                <w:sz w:val="20"/>
                <w:szCs w:val="20"/>
              </w:rPr>
              <w:t>Maritime cliff</w:t>
            </w:r>
          </w:p>
        </w:tc>
        <w:tc>
          <w:tcPr>
            <w:tcW w:w="2577" w:type="dxa"/>
          </w:tcPr>
          <w:p w14:paraId="46BFBE74" w14:textId="1B07EA68" w:rsidR="00C87537" w:rsidRPr="008C2155" w:rsidRDefault="00C87537" w:rsidP="00202C22">
            <w:pPr>
              <w:spacing w:after="0"/>
              <w:rPr>
                <w:sz w:val="20"/>
                <w:szCs w:val="20"/>
              </w:rPr>
            </w:pPr>
            <w:r>
              <w:rPr>
                <w:sz w:val="20"/>
                <w:szCs w:val="20"/>
              </w:rPr>
              <w:t>0.0</w:t>
            </w:r>
            <w:r w:rsidR="00750C3B">
              <w:rPr>
                <w:sz w:val="20"/>
                <w:szCs w:val="20"/>
              </w:rPr>
              <w:t>8</w:t>
            </w:r>
            <w:r>
              <w:rPr>
                <w:sz w:val="20"/>
                <w:szCs w:val="20"/>
              </w:rPr>
              <w:t xml:space="preserve"> </w:t>
            </w:r>
          </w:p>
        </w:tc>
      </w:tr>
      <w:tr w:rsidR="00C87537" w:rsidRPr="008C2155" w14:paraId="042920B7" w14:textId="77777777" w:rsidTr="00202C22">
        <w:tc>
          <w:tcPr>
            <w:tcW w:w="2196" w:type="dxa"/>
          </w:tcPr>
          <w:p w14:paraId="4E29DE38" w14:textId="77777777" w:rsidR="00C87537" w:rsidRPr="008C2155" w:rsidRDefault="00C87537" w:rsidP="00202C22">
            <w:pPr>
              <w:spacing w:after="0"/>
              <w:rPr>
                <w:sz w:val="20"/>
                <w:szCs w:val="20"/>
              </w:rPr>
            </w:pPr>
            <w:r w:rsidRPr="008C2155">
              <w:rPr>
                <w:sz w:val="20"/>
                <w:szCs w:val="20"/>
              </w:rPr>
              <w:t>Littoral Rock</w:t>
            </w:r>
          </w:p>
        </w:tc>
        <w:tc>
          <w:tcPr>
            <w:tcW w:w="2577" w:type="dxa"/>
          </w:tcPr>
          <w:p w14:paraId="373EED7A" w14:textId="523177B0" w:rsidR="00C87537" w:rsidRPr="008C2155" w:rsidRDefault="00C87537" w:rsidP="00202C22">
            <w:pPr>
              <w:spacing w:after="0"/>
              <w:rPr>
                <w:sz w:val="20"/>
                <w:szCs w:val="20"/>
              </w:rPr>
            </w:pPr>
            <w:r>
              <w:rPr>
                <w:sz w:val="20"/>
                <w:szCs w:val="20"/>
              </w:rPr>
              <w:t>0.0</w:t>
            </w:r>
          </w:p>
        </w:tc>
      </w:tr>
      <w:tr w:rsidR="00C87537" w:rsidRPr="008C2155" w14:paraId="43C3D3D3" w14:textId="77777777" w:rsidTr="00202C22">
        <w:tc>
          <w:tcPr>
            <w:tcW w:w="2196" w:type="dxa"/>
          </w:tcPr>
          <w:p w14:paraId="38D8B338" w14:textId="77777777" w:rsidR="00C87537" w:rsidRPr="008C2155" w:rsidRDefault="00C87537" w:rsidP="00202C22">
            <w:pPr>
              <w:spacing w:after="0"/>
              <w:rPr>
                <w:sz w:val="20"/>
                <w:szCs w:val="20"/>
              </w:rPr>
            </w:pPr>
            <w:proofErr w:type="spellStart"/>
            <w:r w:rsidRPr="008C2155">
              <w:rPr>
                <w:sz w:val="20"/>
                <w:szCs w:val="20"/>
              </w:rPr>
              <w:t>Supralittoral</w:t>
            </w:r>
            <w:proofErr w:type="spellEnd"/>
            <w:r w:rsidRPr="008C2155">
              <w:rPr>
                <w:sz w:val="20"/>
                <w:szCs w:val="20"/>
              </w:rPr>
              <w:t xml:space="preserve"> sediment</w:t>
            </w:r>
          </w:p>
        </w:tc>
        <w:tc>
          <w:tcPr>
            <w:tcW w:w="2577" w:type="dxa"/>
          </w:tcPr>
          <w:p w14:paraId="6C6041A9" w14:textId="4EC96E1B" w:rsidR="00C87537" w:rsidRPr="008C2155" w:rsidRDefault="00C87537" w:rsidP="00202C22">
            <w:pPr>
              <w:spacing w:after="0"/>
              <w:rPr>
                <w:sz w:val="20"/>
                <w:szCs w:val="20"/>
              </w:rPr>
            </w:pPr>
            <w:r>
              <w:rPr>
                <w:sz w:val="20"/>
                <w:szCs w:val="20"/>
              </w:rPr>
              <w:t>0.0</w:t>
            </w:r>
          </w:p>
        </w:tc>
      </w:tr>
      <w:tr w:rsidR="00C87537" w:rsidRPr="008C2155" w14:paraId="32E1929E" w14:textId="77777777" w:rsidTr="00202C22">
        <w:tc>
          <w:tcPr>
            <w:tcW w:w="2196" w:type="dxa"/>
          </w:tcPr>
          <w:p w14:paraId="4AA220FD" w14:textId="77777777" w:rsidR="00C87537" w:rsidRPr="008C2155" w:rsidRDefault="00C87537" w:rsidP="00202C22">
            <w:pPr>
              <w:spacing w:after="0"/>
              <w:rPr>
                <w:sz w:val="20"/>
                <w:szCs w:val="20"/>
              </w:rPr>
            </w:pPr>
            <w:r w:rsidRPr="008C2155">
              <w:rPr>
                <w:sz w:val="20"/>
                <w:szCs w:val="20"/>
              </w:rPr>
              <w:t>Littoral sediment</w:t>
            </w:r>
          </w:p>
        </w:tc>
        <w:tc>
          <w:tcPr>
            <w:tcW w:w="2577" w:type="dxa"/>
          </w:tcPr>
          <w:p w14:paraId="48D873DC" w14:textId="2091F37A" w:rsidR="00C87537" w:rsidRPr="008C2155" w:rsidRDefault="00C87537" w:rsidP="00202C22">
            <w:pPr>
              <w:spacing w:after="0"/>
              <w:rPr>
                <w:sz w:val="20"/>
                <w:szCs w:val="20"/>
              </w:rPr>
            </w:pPr>
            <w:r>
              <w:rPr>
                <w:sz w:val="20"/>
                <w:szCs w:val="20"/>
              </w:rPr>
              <w:t>0.0</w:t>
            </w:r>
          </w:p>
        </w:tc>
      </w:tr>
      <w:tr w:rsidR="00C87537" w:rsidRPr="008C2155" w14:paraId="1234DEC9" w14:textId="77777777" w:rsidTr="00202C22">
        <w:tc>
          <w:tcPr>
            <w:tcW w:w="2196" w:type="dxa"/>
          </w:tcPr>
          <w:p w14:paraId="12C28D1F" w14:textId="77777777" w:rsidR="00C87537" w:rsidRPr="008C2155" w:rsidRDefault="00C87537" w:rsidP="00202C22">
            <w:pPr>
              <w:spacing w:after="0"/>
              <w:rPr>
                <w:sz w:val="20"/>
                <w:szCs w:val="20"/>
              </w:rPr>
            </w:pPr>
            <w:r w:rsidRPr="008C2155">
              <w:rPr>
                <w:sz w:val="20"/>
                <w:szCs w:val="20"/>
              </w:rPr>
              <w:t>Water</w:t>
            </w:r>
          </w:p>
        </w:tc>
        <w:tc>
          <w:tcPr>
            <w:tcW w:w="2577" w:type="dxa"/>
          </w:tcPr>
          <w:p w14:paraId="4CAC89F2" w14:textId="1A3657DB" w:rsidR="00C87537" w:rsidRPr="008C2155" w:rsidRDefault="00C87537" w:rsidP="00202C22">
            <w:pPr>
              <w:spacing w:after="0"/>
              <w:rPr>
                <w:sz w:val="20"/>
                <w:szCs w:val="20"/>
              </w:rPr>
            </w:pPr>
            <w:r>
              <w:rPr>
                <w:sz w:val="20"/>
                <w:szCs w:val="20"/>
              </w:rPr>
              <w:t>0.0</w:t>
            </w:r>
          </w:p>
        </w:tc>
      </w:tr>
      <w:tr w:rsidR="00C87537" w:rsidRPr="008C2155" w14:paraId="44A2D6A0" w14:textId="77777777" w:rsidTr="00202C22">
        <w:tc>
          <w:tcPr>
            <w:tcW w:w="2196" w:type="dxa"/>
          </w:tcPr>
          <w:p w14:paraId="11537EA4" w14:textId="77777777" w:rsidR="00C87537" w:rsidRPr="008C2155" w:rsidRDefault="00C87537" w:rsidP="00202C22">
            <w:pPr>
              <w:spacing w:after="0"/>
              <w:rPr>
                <w:sz w:val="20"/>
                <w:szCs w:val="20"/>
              </w:rPr>
            </w:pPr>
            <w:r w:rsidRPr="008C2155">
              <w:rPr>
                <w:sz w:val="20"/>
                <w:szCs w:val="20"/>
              </w:rPr>
              <w:t>Arable</w:t>
            </w:r>
          </w:p>
        </w:tc>
        <w:tc>
          <w:tcPr>
            <w:tcW w:w="2577" w:type="dxa"/>
          </w:tcPr>
          <w:p w14:paraId="4B2E2734" w14:textId="19B84BEF" w:rsidR="00C87537" w:rsidRPr="008C2155" w:rsidRDefault="00C87537" w:rsidP="00202C22">
            <w:pPr>
              <w:spacing w:after="0"/>
              <w:rPr>
                <w:sz w:val="20"/>
                <w:szCs w:val="20"/>
              </w:rPr>
            </w:pPr>
            <w:r>
              <w:rPr>
                <w:sz w:val="20"/>
                <w:szCs w:val="20"/>
              </w:rPr>
              <w:t>0.2</w:t>
            </w:r>
          </w:p>
        </w:tc>
      </w:tr>
      <w:tr w:rsidR="00C87537" w:rsidRPr="008C2155" w14:paraId="0A3334E9" w14:textId="77777777" w:rsidTr="00202C22">
        <w:tc>
          <w:tcPr>
            <w:tcW w:w="2196" w:type="dxa"/>
          </w:tcPr>
          <w:p w14:paraId="36107EB5" w14:textId="77777777" w:rsidR="00C87537" w:rsidRPr="008C2155" w:rsidRDefault="00C87537" w:rsidP="00202C22">
            <w:pPr>
              <w:spacing w:after="0"/>
              <w:rPr>
                <w:sz w:val="20"/>
                <w:szCs w:val="20"/>
              </w:rPr>
            </w:pPr>
            <w:r w:rsidRPr="008C2155">
              <w:rPr>
                <w:sz w:val="20"/>
                <w:szCs w:val="20"/>
              </w:rPr>
              <w:t>Improved grassland</w:t>
            </w:r>
          </w:p>
        </w:tc>
        <w:tc>
          <w:tcPr>
            <w:tcW w:w="2577" w:type="dxa"/>
          </w:tcPr>
          <w:p w14:paraId="31D9C3A4" w14:textId="07BFAD6D" w:rsidR="00C87537" w:rsidRPr="008C2155" w:rsidRDefault="00C87537" w:rsidP="00202C22">
            <w:pPr>
              <w:spacing w:after="0"/>
              <w:rPr>
                <w:sz w:val="20"/>
                <w:szCs w:val="20"/>
              </w:rPr>
            </w:pPr>
            <w:r>
              <w:rPr>
                <w:sz w:val="20"/>
                <w:szCs w:val="20"/>
              </w:rPr>
              <w:t>0.</w:t>
            </w:r>
            <w:r>
              <w:rPr>
                <w:sz w:val="20"/>
                <w:szCs w:val="20"/>
              </w:rPr>
              <w:t>1</w:t>
            </w:r>
            <w:r>
              <w:rPr>
                <w:sz w:val="20"/>
                <w:szCs w:val="20"/>
              </w:rPr>
              <w:t xml:space="preserve"> </w:t>
            </w:r>
          </w:p>
        </w:tc>
      </w:tr>
      <w:tr w:rsidR="00C87537" w:rsidRPr="008C2155" w14:paraId="541D4FB7" w14:textId="77777777" w:rsidTr="00202C22">
        <w:tc>
          <w:tcPr>
            <w:tcW w:w="2196" w:type="dxa"/>
          </w:tcPr>
          <w:p w14:paraId="69818950" w14:textId="77777777" w:rsidR="00C87537" w:rsidRPr="008C2155" w:rsidRDefault="00C87537" w:rsidP="00202C22">
            <w:pPr>
              <w:spacing w:after="0"/>
              <w:rPr>
                <w:sz w:val="20"/>
                <w:szCs w:val="20"/>
              </w:rPr>
            </w:pPr>
            <w:r w:rsidRPr="008C2155">
              <w:rPr>
                <w:sz w:val="20"/>
                <w:szCs w:val="20"/>
              </w:rPr>
              <w:t>Urban</w:t>
            </w:r>
          </w:p>
        </w:tc>
        <w:tc>
          <w:tcPr>
            <w:tcW w:w="2577" w:type="dxa"/>
          </w:tcPr>
          <w:p w14:paraId="297DA485" w14:textId="258D0C93" w:rsidR="00C87537" w:rsidRPr="008C2155" w:rsidRDefault="00C87537" w:rsidP="00202C22">
            <w:pPr>
              <w:spacing w:after="0"/>
              <w:rPr>
                <w:sz w:val="20"/>
                <w:szCs w:val="20"/>
              </w:rPr>
            </w:pPr>
            <w:r>
              <w:rPr>
                <w:sz w:val="20"/>
                <w:szCs w:val="20"/>
              </w:rPr>
              <w:t xml:space="preserve">0.0 </w:t>
            </w:r>
          </w:p>
        </w:tc>
      </w:tr>
    </w:tbl>
    <w:p w14:paraId="2C3732D0" w14:textId="77777777" w:rsidR="000A0E99" w:rsidRDefault="000A0E99" w:rsidP="006077DC">
      <w:pPr>
        <w:rPr>
          <w:b/>
          <w:bCs/>
        </w:rPr>
      </w:pPr>
    </w:p>
    <w:p w14:paraId="5D61EEF7" w14:textId="4F7AD1B9" w:rsidR="006D3BB1" w:rsidRDefault="00C87537" w:rsidP="006077DC">
      <w:pPr>
        <w:rPr>
          <w:bCs/>
        </w:rPr>
      </w:pPr>
      <w:r w:rsidRPr="00C87537">
        <w:rPr>
          <w:b/>
          <w:bCs/>
        </w:rPr>
        <w:t xml:space="preserve">Table </w:t>
      </w:r>
      <w:r>
        <w:rPr>
          <w:bCs/>
        </w:rPr>
        <w:t>*:</w:t>
      </w:r>
      <w:r w:rsidR="000A0E99">
        <w:rPr>
          <w:bCs/>
        </w:rPr>
        <w:t xml:space="preserve"> landcover </w:t>
      </w:r>
      <w:proofErr w:type="gramStart"/>
      <w:r>
        <w:rPr>
          <w:bCs/>
        </w:rPr>
        <w:t xml:space="preserve">C </w:t>
      </w:r>
      <w:r w:rsidR="006D3BB1">
        <w:rPr>
          <w:bCs/>
        </w:rPr>
        <w:t xml:space="preserve"> factor</w:t>
      </w:r>
      <w:proofErr w:type="gramEnd"/>
      <w:r w:rsidR="006D3BB1">
        <w:rPr>
          <w:bCs/>
        </w:rPr>
        <w:t xml:space="preserve"> </w:t>
      </w:r>
      <w:r>
        <w:rPr>
          <w:bCs/>
        </w:rPr>
        <w:t>used in RUSLE calculations</w:t>
      </w:r>
    </w:p>
    <w:p w14:paraId="6115AB85" w14:textId="77777777" w:rsidR="000A0E99" w:rsidRDefault="000A0E99" w:rsidP="006077DC">
      <w:pPr>
        <w:rPr>
          <w:bCs/>
        </w:rPr>
      </w:pPr>
    </w:p>
    <w:tbl>
      <w:tblPr>
        <w:tblStyle w:val="TableGrid"/>
        <w:tblW w:w="0" w:type="auto"/>
        <w:tblInd w:w="1833" w:type="dxa"/>
        <w:tblLook w:val="04A0" w:firstRow="1" w:lastRow="0" w:firstColumn="1" w:lastColumn="0" w:noHBand="0" w:noVBand="1"/>
      </w:tblPr>
      <w:tblGrid>
        <w:gridCol w:w="2196"/>
        <w:gridCol w:w="2577"/>
        <w:gridCol w:w="2577"/>
      </w:tblGrid>
      <w:tr w:rsidR="000A0E99" w:rsidRPr="008C2155" w14:paraId="5A8C680C" w14:textId="77777777" w:rsidTr="0082760B">
        <w:tc>
          <w:tcPr>
            <w:tcW w:w="2196" w:type="dxa"/>
          </w:tcPr>
          <w:p w14:paraId="4B7800A3" w14:textId="273A2CE5" w:rsidR="000A0E99" w:rsidRPr="008C2155" w:rsidRDefault="000A0E99" w:rsidP="00202C22">
            <w:pPr>
              <w:spacing w:after="0"/>
              <w:rPr>
                <w:b/>
                <w:sz w:val="20"/>
                <w:szCs w:val="20"/>
              </w:rPr>
            </w:pPr>
            <w:r>
              <w:rPr>
                <w:b/>
                <w:sz w:val="20"/>
                <w:szCs w:val="20"/>
              </w:rPr>
              <w:t xml:space="preserve">From </w:t>
            </w:r>
          </w:p>
        </w:tc>
        <w:tc>
          <w:tcPr>
            <w:tcW w:w="2577" w:type="dxa"/>
          </w:tcPr>
          <w:p w14:paraId="3F486B6A" w14:textId="3E399E5E" w:rsidR="000A0E99" w:rsidRDefault="000A0E99" w:rsidP="00202C22">
            <w:pPr>
              <w:spacing w:after="0"/>
              <w:rPr>
                <w:b/>
                <w:sz w:val="20"/>
                <w:szCs w:val="20"/>
              </w:rPr>
            </w:pPr>
            <w:r>
              <w:rPr>
                <w:b/>
                <w:sz w:val="20"/>
                <w:szCs w:val="20"/>
              </w:rPr>
              <w:t>To</w:t>
            </w:r>
          </w:p>
        </w:tc>
        <w:tc>
          <w:tcPr>
            <w:tcW w:w="2577" w:type="dxa"/>
          </w:tcPr>
          <w:p w14:paraId="55BD4EFF" w14:textId="72C8CAB0" w:rsidR="000A0E99" w:rsidRPr="008C2155" w:rsidRDefault="000A0E99" w:rsidP="00202C22">
            <w:pPr>
              <w:spacing w:after="0"/>
              <w:rPr>
                <w:b/>
                <w:sz w:val="20"/>
                <w:szCs w:val="20"/>
              </w:rPr>
            </w:pPr>
            <w:r>
              <w:rPr>
                <w:b/>
                <w:sz w:val="20"/>
                <w:szCs w:val="20"/>
              </w:rPr>
              <w:t xml:space="preserve">RUSLE </w:t>
            </w:r>
            <w:r>
              <w:rPr>
                <w:b/>
                <w:sz w:val="20"/>
                <w:szCs w:val="20"/>
              </w:rPr>
              <w:t>P</w:t>
            </w:r>
            <w:r>
              <w:rPr>
                <w:b/>
                <w:sz w:val="20"/>
                <w:szCs w:val="20"/>
              </w:rPr>
              <w:t xml:space="preserve">-factor </w:t>
            </w:r>
          </w:p>
        </w:tc>
      </w:tr>
      <w:tr w:rsidR="000A0E99" w:rsidRPr="008C2155" w14:paraId="3ECB203E" w14:textId="77777777" w:rsidTr="0082760B">
        <w:tc>
          <w:tcPr>
            <w:tcW w:w="2196" w:type="dxa"/>
          </w:tcPr>
          <w:p w14:paraId="57808546" w14:textId="0B1D9939" w:rsidR="000A0E99" w:rsidRPr="008C2155" w:rsidRDefault="000A0E99" w:rsidP="00202C22">
            <w:pPr>
              <w:spacing w:after="0"/>
              <w:rPr>
                <w:sz w:val="20"/>
                <w:szCs w:val="20"/>
              </w:rPr>
            </w:pPr>
            <w:r>
              <w:rPr>
                <w:sz w:val="20"/>
                <w:szCs w:val="20"/>
              </w:rPr>
              <w:t>0</w:t>
            </w:r>
          </w:p>
        </w:tc>
        <w:tc>
          <w:tcPr>
            <w:tcW w:w="2577" w:type="dxa"/>
          </w:tcPr>
          <w:p w14:paraId="42F72172" w14:textId="57845D77" w:rsidR="000A0E99" w:rsidRDefault="000A0E99" w:rsidP="00202C22">
            <w:pPr>
              <w:spacing w:after="0"/>
              <w:rPr>
                <w:sz w:val="20"/>
                <w:szCs w:val="20"/>
              </w:rPr>
            </w:pPr>
            <w:r>
              <w:rPr>
                <w:sz w:val="20"/>
                <w:szCs w:val="20"/>
              </w:rPr>
              <w:t>25</w:t>
            </w:r>
          </w:p>
        </w:tc>
        <w:tc>
          <w:tcPr>
            <w:tcW w:w="2577" w:type="dxa"/>
          </w:tcPr>
          <w:p w14:paraId="7885C45D" w14:textId="44891D16" w:rsidR="000A0E99" w:rsidRPr="008C2155" w:rsidRDefault="000A0E99" w:rsidP="00202C22">
            <w:pPr>
              <w:spacing w:after="0"/>
              <w:rPr>
                <w:sz w:val="20"/>
                <w:szCs w:val="20"/>
              </w:rPr>
            </w:pPr>
            <w:r>
              <w:rPr>
                <w:sz w:val="20"/>
                <w:szCs w:val="20"/>
              </w:rPr>
              <w:t>1</w:t>
            </w:r>
          </w:p>
        </w:tc>
      </w:tr>
      <w:tr w:rsidR="000A0E99" w:rsidRPr="008C2155" w14:paraId="1328574C" w14:textId="77777777" w:rsidTr="0082760B">
        <w:tc>
          <w:tcPr>
            <w:tcW w:w="2196" w:type="dxa"/>
          </w:tcPr>
          <w:p w14:paraId="11A0B920" w14:textId="3133F280" w:rsidR="000A0E99" w:rsidRPr="008C2155" w:rsidRDefault="000A0E99" w:rsidP="00202C22">
            <w:pPr>
              <w:spacing w:after="0"/>
              <w:rPr>
                <w:sz w:val="20"/>
                <w:szCs w:val="20"/>
              </w:rPr>
            </w:pPr>
            <w:r>
              <w:rPr>
                <w:sz w:val="20"/>
                <w:szCs w:val="20"/>
              </w:rPr>
              <w:t>25</w:t>
            </w:r>
          </w:p>
        </w:tc>
        <w:tc>
          <w:tcPr>
            <w:tcW w:w="2577" w:type="dxa"/>
          </w:tcPr>
          <w:p w14:paraId="243F4FD7" w14:textId="50B96FEE" w:rsidR="000A0E99" w:rsidRDefault="000A0E99" w:rsidP="00202C22">
            <w:pPr>
              <w:spacing w:after="0"/>
              <w:rPr>
                <w:sz w:val="20"/>
                <w:szCs w:val="20"/>
              </w:rPr>
            </w:pPr>
            <w:r>
              <w:rPr>
                <w:sz w:val="20"/>
                <w:szCs w:val="20"/>
              </w:rPr>
              <w:t>150</w:t>
            </w:r>
          </w:p>
        </w:tc>
        <w:tc>
          <w:tcPr>
            <w:tcW w:w="2577" w:type="dxa"/>
          </w:tcPr>
          <w:p w14:paraId="5DEAC8DB" w14:textId="4C77C2D1" w:rsidR="000A0E99" w:rsidRPr="008C2155" w:rsidRDefault="000A0E99" w:rsidP="00202C22">
            <w:pPr>
              <w:spacing w:after="0"/>
              <w:rPr>
                <w:sz w:val="20"/>
                <w:szCs w:val="20"/>
              </w:rPr>
            </w:pPr>
            <w:r>
              <w:rPr>
                <w:sz w:val="20"/>
                <w:szCs w:val="20"/>
              </w:rPr>
              <w:t>0.</w:t>
            </w:r>
            <w:r>
              <w:rPr>
                <w:sz w:val="20"/>
                <w:szCs w:val="20"/>
              </w:rPr>
              <w:t>95</w:t>
            </w:r>
          </w:p>
        </w:tc>
      </w:tr>
      <w:tr w:rsidR="000A0E99" w:rsidRPr="008C2155" w14:paraId="67B0D722" w14:textId="77777777" w:rsidTr="0082760B">
        <w:tc>
          <w:tcPr>
            <w:tcW w:w="2196" w:type="dxa"/>
          </w:tcPr>
          <w:p w14:paraId="0DA9BB01" w14:textId="7894051E" w:rsidR="000A0E99" w:rsidRPr="008C2155" w:rsidRDefault="000A0E99" w:rsidP="00202C22">
            <w:pPr>
              <w:spacing w:after="0"/>
              <w:rPr>
                <w:sz w:val="20"/>
                <w:szCs w:val="20"/>
              </w:rPr>
            </w:pPr>
            <w:r>
              <w:rPr>
                <w:sz w:val="20"/>
                <w:szCs w:val="20"/>
              </w:rPr>
              <w:t>150</w:t>
            </w:r>
          </w:p>
        </w:tc>
        <w:tc>
          <w:tcPr>
            <w:tcW w:w="2577" w:type="dxa"/>
          </w:tcPr>
          <w:p w14:paraId="52D8E032" w14:textId="35094852" w:rsidR="000A0E99" w:rsidRDefault="000A0E99" w:rsidP="00202C22">
            <w:pPr>
              <w:spacing w:after="0"/>
              <w:rPr>
                <w:sz w:val="20"/>
                <w:szCs w:val="20"/>
              </w:rPr>
            </w:pPr>
            <w:r>
              <w:rPr>
                <w:sz w:val="20"/>
                <w:szCs w:val="20"/>
              </w:rPr>
              <w:t>300</w:t>
            </w:r>
          </w:p>
        </w:tc>
        <w:tc>
          <w:tcPr>
            <w:tcW w:w="2577" w:type="dxa"/>
          </w:tcPr>
          <w:p w14:paraId="4377D846" w14:textId="11F09D84" w:rsidR="000A0E99" w:rsidRPr="008C2155" w:rsidRDefault="000A0E99" w:rsidP="00202C22">
            <w:pPr>
              <w:spacing w:after="0"/>
              <w:rPr>
                <w:sz w:val="20"/>
                <w:szCs w:val="20"/>
              </w:rPr>
            </w:pPr>
            <w:r>
              <w:rPr>
                <w:sz w:val="20"/>
                <w:szCs w:val="20"/>
              </w:rPr>
              <w:t>0.</w:t>
            </w:r>
            <w:r>
              <w:rPr>
                <w:sz w:val="20"/>
                <w:szCs w:val="20"/>
              </w:rPr>
              <w:t>9</w:t>
            </w:r>
            <w:r>
              <w:rPr>
                <w:sz w:val="20"/>
                <w:szCs w:val="20"/>
              </w:rPr>
              <w:t xml:space="preserve"> </w:t>
            </w:r>
          </w:p>
        </w:tc>
      </w:tr>
      <w:tr w:rsidR="000A0E99" w:rsidRPr="008C2155" w14:paraId="6ABB153C" w14:textId="77777777" w:rsidTr="0082760B">
        <w:tc>
          <w:tcPr>
            <w:tcW w:w="2196" w:type="dxa"/>
          </w:tcPr>
          <w:p w14:paraId="063A2E2A" w14:textId="374238BE" w:rsidR="000A0E99" w:rsidRPr="008C2155" w:rsidRDefault="000A0E99" w:rsidP="00202C22">
            <w:pPr>
              <w:spacing w:after="0"/>
              <w:rPr>
                <w:sz w:val="20"/>
                <w:szCs w:val="20"/>
              </w:rPr>
            </w:pPr>
            <w:r>
              <w:rPr>
                <w:sz w:val="20"/>
                <w:szCs w:val="20"/>
              </w:rPr>
              <w:t>300</w:t>
            </w:r>
          </w:p>
        </w:tc>
        <w:tc>
          <w:tcPr>
            <w:tcW w:w="2577" w:type="dxa"/>
          </w:tcPr>
          <w:p w14:paraId="61120D18" w14:textId="18663BB1" w:rsidR="000A0E99" w:rsidRDefault="000A0E99" w:rsidP="00202C22">
            <w:pPr>
              <w:spacing w:after="0"/>
              <w:rPr>
                <w:sz w:val="20"/>
                <w:szCs w:val="20"/>
              </w:rPr>
            </w:pPr>
            <w:r>
              <w:rPr>
                <w:sz w:val="20"/>
                <w:szCs w:val="20"/>
              </w:rPr>
              <w:t>600</w:t>
            </w:r>
          </w:p>
        </w:tc>
        <w:tc>
          <w:tcPr>
            <w:tcW w:w="2577" w:type="dxa"/>
          </w:tcPr>
          <w:p w14:paraId="0109A993" w14:textId="01E4EBC0" w:rsidR="000A0E99" w:rsidRPr="008C2155" w:rsidRDefault="000A0E99" w:rsidP="00202C22">
            <w:pPr>
              <w:spacing w:after="0"/>
              <w:rPr>
                <w:sz w:val="20"/>
                <w:szCs w:val="20"/>
              </w:rPr>
            </w:pPr>
            <w:r>
              <w:rPr>
                <w:sz w:val="20"/>
                <w:szCs w:val="20"/>
              </w:rPr>
              <w:t>0.</w:t>
            </w:r>
            <w:r>
              <w:rPr>
                <w:sz w:val="20"/>
                <w:szCs w:val="20"/>
              </w:rPr>
              <w:t>75</w:t>
            </w:r>
            <w:r>
              <w:rPr>
                <w:sz w:val="20"/>
                <w:szCs w:val="20"/>
              </w:rPr>
              <w:t xml:space="preserve"> </w:t>
            </w:r>
          </w:p>
        </w:tc>
      </w:tr>
      <w:tr w:rsidR="000A0E99" w:rsidRPr="008C2155" w14:paraId="1C92F26B" w14:textId="77777777" w:rsidTr="0082760B">
        <w:tc>
          <w:tcPr>
            <w:tcW w:w="2196" w:type="dxa"/>
          </w:tcPr>
          <w:p w14:paraId="262A9EC7" w14:textId="4E99CEF6" w:rsidR="000A0E99" w:rsidRPr="008C2155" w:rsidRDefault="000A0E99" w:rsidP="00202C22">
            <w:pPr>
              <w:spacing w:after="0"/>
              <w:rPr>
                <w:sz w:val="20"/>
                <w:szCs w:val="20"/>
              </w:rPr>
            </w:pPr>
            <w:r>
              <w:rPr>
                <w:sz w:val="20"/>
                <w:szCs w:val="20"/>
              </w:rPr>
              <w:t>300+</w:t>
            </w:r>
          </w:p>
        </w:tc>
        <w:tc>
          <w:tcPr>
            <w:tcW w:w="2577" w:type="dxa"/>
          </w:tcPr>
          <w:p w14:paraId="059965BB" w14:textId="7F4536D5" w:rsidR="000A0E99" w:rsidRDefault="000A0E99" w:rsidP="00202C22">
            <w:pPr>
              <w:spacing w:after="0"/>
              <w:rPr>
                <w:sz w:val="20"/>
                <w:szCs w:val="20"/>
              </w:rPr>
            </w:pPr>
            <w:r>
              <w:rPr>
                <w:sz w:val="20"/>
                <w:szCs w:val="20"/>
              </w:rPr>
              <w:t>(max = 2742)</w:t>
            </w:r>
          </w:p>
        </w:tc>
        <w:tc>
          <w:tcPr>
            <w:tcW w:w="2577" w:type="dxa"/>
          </w:tcPr>
          <w:p w14:paraId="4C1A0086" w14:textId="4634E231" w:rsidR="000A0E99" w:rsidRPr="008C2155" w:rsidRDefault="000A0E99" w:rsidP="00202C22">
            <w:pPr>
              <w:spacing w:after="0"/>
              <w:rPr>
                <w:sz w:val="20"/>
                <w:szCs w:val="20"/>
              </w:rPr>
            </w:pPr>
            <w:r>
              <w:rPr>
                <w:sz w:val="20"/>
                <w:szCs w:val="20"/>
              </w:rPr>
              <w:t xml:space="preserve">0.5 </w:t>
            </w:r>
          </w:p>
        </w:tc>
      </w:tr>
    </w:tbl>
    <w:p w14:paraId="409D844E" w14:textId="75E97F4C" w:rsidR="000A0E99" w:rsidRDefault="000A0E99" w:rsidP="006077DC">
      <w:pPr>
        <w:rPr>
          <w:bCs/>
        </w:rPr>
      </w:pPr>
    </w:p>
    <w:p w14:paraId="19C57415" w14:textId="24F926D2" w:rsidR="000A0E99" w:rsidRDefault="000A0E99" w:rsidP="006077DC">
      <w:pPr>
        <w:rPr>
          <w:bCs/>
        </w:rPr>
      </w:pPr>
      <w:r w:rsidRPr="000A0E99">
        <w:rPr>
          <w:b/>
          <w:bCs/>
        </w:rPr>
        <w:t>Table *</w:t>
      </w:r>
      <w:r>
        <w:rPr>
          <w:b/>
          <w:bCs/>
        </w:rPr>
        <w:t>:</w:t>
      </w:r>
      <w:r>
        <w:rPr>
          <w:bCs/>
        </w:rPr>
        <w:t xml:space="preserve"> P-factor based on sum of hedgerows length (in metres) within 100m</w:t>
      </w:r>
      <w:r w:rsidR="00773E59">
        <w:rPr>
          <w:bCs/>
        </w:rPr>
        <w:t>2</w:t>
      </w:r>
      <w:r>
        <w:rPr>
          <w:bCs/>
        </w:rPr>
        <w:t xml:space="preserve"> cell</w:t>
      </w:r>
    </w:p>
    <w:p w14:paraId="3B6B3142" w14:textId="77777777" w:rsidR="000A0E99" w:rsidRDefault="000A0E99" w:rsidP="00170DB8">
      <w:pPr>
        <w:rPr>
          <w:bCs/>
          <w:i/>
        </w:rPr>
      </w:pPr>
    </w:p>
    <w:p w14:paraId="7B8EEB06" w14:textId="515816B0" w:rsidR="00170DB8" w:rsidRPr="00414D3F" w:rsidRDefault="00170DB8" w:rsidP="00170DB8">
      <w:pPr>
        <w:rPr>
          <w:i/>
        </w:rPr>
      </w:pPr>
      <w:r w:rsidRPr="00414D3F">
        <w:rPr>
          <w:b/>
          <w:i/>
        </w:rPr>
        <w:t>Surface water runoff and transportation</w:t>
      </w:r>
      <w:r w:rsidRPr="00414D3F">
        <w:rPr>
          <w:i/>
        </w:rPr>
        <w:t xml:space="preserve"> – mass flux modelling</w:t>
      </w:r>
    </w:p>
    <w:p w14:paraId="2D7A88A5" w14:textId="456FFE55" w:rsidR="00CA5259" w:rsidRDefault="00170DB8" w:rsidP="00170DB8">
      <w:pPr>
        <w:rPr>
          <w:bCs/>
        </w:rPr>
      </w:pPr>
      <w:r w:rsidRPr="006F6F96">
        <w:rPr>
          <w:bCs/>
        </w:rPr>
        <w:t xml:space="preserve">The </w:t>
      </w:r>
      <w:r>
        <w:rPr>
          <w:bCs/>
        </w:rPr>
        <w:t>RUSLE</w:t>
      </w:r>
      <w:r w:rsidR="006077DC">
        <w:rPr>
          <w:bCs/>
        </w:rPr>
        <w:t>-derived</w:t>
      </w:r>
      <w:r>
        <w:rPr>
          <w:bCs/>
        </w:rPr>
        <w:t xml:space="preserve"> </w:t>
      </w:r>
      <w:r w:rsidR="006077DC">
        <w:rPr>
          <w:bCs/>
        </w:rPr>
        <w:t xml:space="preserve">soil loss mitigation value </w:t>
      </w:r>
      <w:r w:rsidRPr="006F6F96">
        <w:rPr>
          <w:bCs/>
        </w:rPr>
        <w:t xml:space="preserve">provides an estimation of </w:t>
      </w:r>
      <w:r w:rsidR="006077DC">
        <w:rPr>
          <w:bCs/>
        </w:rPr>
        <w:t>the service provided by existing landcover to mitigate potential</w:t>
      </w:r>
      <w:r w:rsidRPr="006F6F96">
        <w:rPr>
          <w:bCs/>
        </w:rPr>
        <w:t xml:space="preserve"> soil loss</w:t>
      </w:r>
      <w:r>
        <w:rPr>
          <w:bCs/>
        </w:rPr>
        <w:t xml:space="preserve">. It provides a static map of potential soil </w:t>
      </w:r>
      <w:r w:rsidR="00CA5259">
        <w:rPr>
          <w:bCs/>
        </w:rPr>
        <w:t>loss</w:t>
      </w:r>
      <w:r>
        <w:rPr>
          <w:bCs/>
        </w:rPr>
        <w:t xml:space="preserve"> but does not offer any modelling of soil transportation to the river/water network </w:t>
      </w:r>
      <w:r w:rsidR="00915B76">
        <w:rPr>
          <w:bCs/>
        </w:rPr>
        <w:t>or</w:t>
      </w:r>
      <w:r>
        <w:rPr>
          <w:bCs/>
        </w:rPr>
        <w:t xml:space="preserve"> the potential of landcover to </w:t>
      </w:r>
      <w:r w:rsidR="006077DC">
        <w:rPr>
          <w:bCs/>
        </w:rPr>
        <w:t>intercept or otherwise influence</w:t>
      </w:r>
      <w:r>
        <w:rPr>
          <w:bCs/>
        </w:rPr>
        <w:t xml:space="preserve"> this transportation.  </w:t>
      </w:r>
      <w:r w:rsidR="006077DC">
        <w:rPr>
          <w:bCs/>
        </w:rPr>
        <w:t>Furthermore, it takes no account of pollution associated with surface water runoff</w:t>
      </w:r>
      <w:r w:rsidR="00915B76">
        <w:rPr>
          <w:bCs/>
        </w:rPr>
        <w:t>, independent of soil erosion</w:t>
      </w:r>
      <w:r w:rsidR="006077DC">
        <w:rPr>
          <w:bCs/>
        </w:rPr>
        <w:t xml:space="preserve">. </w:t>
      </w:r>
      <w:r w:rsidR="00CA5259">
        <w:rPr>
          <w:bCs/>
        </w:rPr>
        <w:t>The water quality mitigation benefits of landcover can not only function by reducing soil erosion but also by reducing the likelihood of soil or water-based pollutants reaching the water network.</w:t>
      </w:r>
    </w:p>
    <w:p w14:paraId="309D110A" w14:textId="437D4E5F" w:rsidR="00CA5259" w:rsidRDefault="00CA5259" w:rsidP="00170DB8">
      <w:pPr>
        <w:rPr>
          <w:bCs/>
        </w:rPr>
      </w:pPr>
      <w:r>
        <w:rPr>
          <w:bCs/>
        </w:rPr>
        <w:t>An alternative approach</w:t>
      </w:r>
      <w:r w:rsidR="00170DB8">
        <w:rPr>
          <w:bCs/>
        </w:rPr>
        <w:t xml:space="preserve"> </w:t>
      </w:r>
      <w:r>
        <w:rPr>
          <w:bCs/>
        </w:rPr>
        <w:t>is offered by</w:t>
      </w:r>
      <w:r w:rsidR="00170DB8">
        <w:rPr>
          <w:bCs/>
        </w:rPr>
        <w:t xml:space="preserve"> </w:t>
      </w:r>
      <w:r>
        <w:rPr>
          <w:bCs/>
        </w:rPr>
        <w:t xml:space="preserve">applying a simple </w:t>
      </w:r>
      <w:r w:rsidR="00170DB8">
        <w:rPr>
          <w:bCs/>
        </w:rPr>
        <w:t xml:space="preserve">dynamic model that captures the transportation flux of </w:t>
      </w:r>
      <w:r w:rsidR="00716A72">
        <w:rPr>
          <w:bCs/>
        </w:rPr>
        <w:t xml:space="preserve">sediment / </w:t>
      </w:r>
      <w:r w:rsidR="00170DB8">
        <w:rPr>
          <w:bCs/>
        </w:rPr>
        <w:t xml:space="preserve">pollutants </w:t>
      </w:r>
      <w:r w:rsidR="00716A72">
        <w:rPr>
          <w:bCs/>
        </w:rPr>
        <w:t>transported by overland flow</w:t>
      </w:r>
      <w:r w:rsidR="00170DB8">
        <w:rPr>
          <w:bCs/>
        </w:rPr>
        <w:t xml:space="preserve"> to the watercourse network</w:t>
      </w:r>
      <w:r>
        <w:rPr>
          <w:bCs/>
        </w:rPr>
        <w:t xml:space="preserve"> </w:t>
      </w:r>
      <w:proofErr w:type="spellStart"/>
      <w:r>
        <w:rPr>
          <w:bCs/>
          <w:i/>
        </w:rPr>
        <w:t>ie</w:t>
      </w:r>
      <w:proofErr w:type="spellEnd"/>
      <w:r>
        <w:rPr>
          <w:bCs/>
          <w:i/>
        </w:rPr>
        <w:t xml:space="preserve"> </w:t>
      </w:r>
      <w:r>
        <w:rPr>
          <w:bCs/>
        </w:rPr>
        <w:t>a simple mass-flux model</w:t>
      </w:r>
      <w:r w:rsidR="00170DB8">
        <w:rPr>
          <w:bCs/>
        </w:rPr>
        <w:t xml:space="preserve">. </w:t>
      </w:r>
      <w:r>
        <w:rPr>
          <w:bCs/>
        </w:rPr>
        <w:t>Such a model will include a loading parameter</w:t>
      </w:r>
      <w:r>
        <w:rPr>
          <w:bCs/>
        </w:rPr>
        <w:t>, but also</w:t>
      </w:r>
      <w:r>
        <w:rPr>
          <w:bCs/>
        </w:rPr>
        <w:t xml:space="preserve"> a transportati</w:t>
      </w:r>
      <w:r>
        <w:rPr>
          <w:bCs/>
        </w:rPr>
        <w:t>on</w:t>
      </w:r>
      <w:r>
        <w:rPr>
          <w:bCs/>
        </w:rPr>
        <w:t xml:space="preserve"> or interception </w:t>
      </w:r>
      <w:r>
        <w:rPr>
          <w:bCs/>
        </w:rPr>
        <w:t>factor</w:t>
      </w:r>
      <w:r>
        <w:rPr>
          <w:bCs/>
        </w:rPr>
        <w:t xml:space="preserve"> that </w:t>
      </w:r>
      <w:r>
        <w:rPr>
          <w:bCs/>
        </w:rPr>
        <w:t xml:space="preserve">reflects the probability or amount of the </w:t>
      </w:r>
      <w:r>
        <w:rPr>
          <w:bCs/>
        </w:rPr>
        <w:t>pollutant</w:t>
      </w:r>
      <w:r>
        <w:rPr>
          <w:bCs/>
        </w:rPr>
        <w:t xml:space="preserve"> transported by the flow to the river network</w:t>
      </w:r>
      <w:r>
        <w:rPr>
          <w:bCs/>
        </w:rPr>
        <w:t>.</w:t>
      </w:r>
      <w:r>
        <w:rPr>
          <w:bCs/>
        </w:rPr>
        <w:t xml:space="preserve"> </w:t>
      </w:r>
    </w:p>
    <w:p w14:paraId="4ED9A753" w14:textId="2F221736" w:rsidR="005E709B" w:rsidRDefault="00CA5259" w:rsidP="005E709B">
      <w:pPr>
        <w:spacing w:after="0" w:line="240" w:lineRule="auto"/>
        <w:rPr>
          <w:bCs/>
        </w:rPr>
      </w:pPr>
      <w:r>
        <w:rPr>
          <w:bCs/>
        </w:rPr>
        <w:t xml:space="preserve">We have adopted the </w:t>
      </w:r>
      <w:r w:rsidR="005E709B">
        <w:rPr>
          <w:bCs/>
        </w:rPr>
        <w:t>approach</w:t>
      </w:r>
      <w:r>
        <w:rPr>
          <w:bCs/>
        </w:rPr>
        <w:t xml:space="preserve"> of </w:t>
      </w:r>
      <w:proofErr w:type="spellStart"/>
      <w:r>
        <w:rPr>
          <w:bCs/>
        </w:rPr>
        <w:t>Scimap</w:t>
      </w:r>
      <w:proofErr w:type="spellEnd"/>
      <w:r>
        <w:rPr>
          <w:bCs/>
        </w:rPr>
        <w:t xml:space="preserve"> (ref) </w:t>
      </w:r>
      <w:r>
        <w:rPr>
          <w:bCs/>
        </w:rPr>
        <w:t>in using</w:t>
      </w:r>
      <w:r>
        <w:rPr>
          <w:bCs/>
        </w:rPr>
        <w:t xml:space="preserve"> topographical wetness index </w:t>
      </w:r>
      <w:r w:rsidR="005E709B">
        <w:rPr>
          <w:bCs/>
        </w:rPr>
        <w:t xml:space="preserve">(Bevan &amp; </w:t>
      </w:r>
      <w:r w:rsidR="005E709B" w:rsidRPr="005E709B">
        <w:rPr>
          <w:rFonts w:ascii="Arial" w:eastAsia="Times New Roman" w:hAnsi="Arial" w:cs="Times New Roman"/>
          <w:color w:val="222222"/>
          <w:sz w:val="19"/>
          <w:szCs w:val="19"/>
          <w:shd w:val="clear" w:color="auto" w:fill="FFFFFF"/>
        </w:rPr>
        <w:t>Kirkby</w:t>
      </w:r>
      <w:r w:rsidR="005E709B">
        <w:rPr>
          <w:rFonts w:ascii="Arial" w:eastAsia="Times New Roman" w:hAnsi="Arial" w:cs="Times New Roman"/>
          <w:color w:val="222222"/>
          <w:sz w:val="19"/>
          <w:szCs w:val="19"/>
          <w:shd w:val="clear" w:color="auto" w:fill="FFFFFF"/>
        </w:rPr>
        <w:t xml:space="preserve"> </w:t>
      </w:r>
      <w:r w:rsidR="005E709B" w:rsidRPr="005E709B">
        <w:rPr>
          <w:rFonts w:ascii="Arial" w:eastAsia="Times New Roman" w:hAnsi="Arial" w:cs="Times New Roman"/>
          <w:color w:val="222222"/>
          <w:sz w:val="19"/>
          <w:szCs w:val="19"/>
          <w:shd w:val="clear" w:color="auto" w:fill="FFFFFF"/>
        </w:rPr>
        <w:t>1979</w:t>
      </w:r>
      <w:r w:rsidR="005E709B">
        <w:rPr>
          <w:rFonts w:ascii="Arial" w:eastAsia="Times New Roman" w:hAnsi="Arial" w:cs="Times New Roman"/>
          <w:color w:val="222222"/>
          <w:sz w:val="19"/>
          <w:szCs w:val="19"/>
          <w:shd w:val="clear" w:color="auto" w:fill="FFFFFF"/>
        </w:rPr>
        <w:t>)</w:t>
      </w:r>
      <w:r w:rsidR="005E709B">
        <w:rPr>
          <w:bCs/>
        </w:rPr>
        <w:t xml:space="preserve"> </w:t>
      </w:r>
      <w:r>
        <w:rPr>
          <w:bCs/>
        </w:rPr>
        <w:t xml:space="preserve">as an indicator of overall flow-connectivity and </w:t>
      </w:r>
      <w:r w:rsidR="005E709B">
        <w:rPr>
          <w:bCs/>
        </w:rPr>
        <w:t xml:space="preserve">in </w:t>
      </w:r>
      <w:r>
        <w:rPr>
          <w:bCs/>
        </w:rPr>
        <w:t>assu</w:t>
      </w:r>
      <w:r w:rsidR="005E709B">
        <w:rPr>
          <w:bCs/>
        </w:rPr>
        <w:t>ming</w:t>
      </w:r>
      <w:r>
        <w:rPr>
          <w:bCs/>
        </w:rPr>
        <w:t xml:space="preserve"> any temporal variability in connectivity will reflect spatial variability in TWI. The likelihood of surface water borne pollutants reaching the watercourse network (assumed to have constant year-round flow) is therefore determined by the lowest TWI along its flow path.  </w:t>
      </w:r>
    </w:p>
    <w:p w14:paraId="41747EF1" w14:textId="77777777" w:rsidR="0062743D" w:rsidRDefault="0062743D" w:rsidP="0062743D">
      <w:pPr>
        <w:rPr>
          <w:bCs/>
        </w:rPr>
      </w:pPr>
      <w:r>
        <w:rPr>
          <w:bCs/>
        </w:rPr>
        <w:t xml:space="preserve">An unfortunate implication of using TWI as the sole indicator of connectivity can be that any factor increasing soil wetness, such as vegetation cover, should increase connectivity and thereby risk of pollution from upstream areas. </w:t>
      </w:r>
      <w:proofErr w:type="gramStart"/>
      <w:r>
        <w:rPr>
          <w:bCs/>
        </w:rPr>
        <w:t>In reality, vegetation</w:t>
      </w:r>
      <w:proofErr w:type="gramEnd"/>
      <w:r>
        <w:rPr>
          <w:bCs/>
        </w:rPr>
        <w:t xml:space="preserve"> cover is as likely to reduce pollution risk, by reducing flow velocity and improving soil infiltration, particularly during heavy rainfall events when soil wetness if unlikely to be the limiting factor determining pollution connectivity. EXAMPLE – FIELD POLLUTION TRIALS</w:t>
      </w:r>
    </w:p>
    <w:p w14:paraId="2D36AC3C" w14:textId="77777777" w:rsidR="0062743D" w:rsidRDefault="0062743D" w:rsidP="0062743D">
      <w:pPr>
        <w:rPr>
          <w:bCs/>
        </w:rPr>
      </w:pPr>
      <w:r>
        <w:rPr>
          <w:bCs/>
        </w:rPr>
        <w:t xml:space="preserve">We therefore adopt a connectivity value, representing the </w:t>
      </w:r>
      <w:proofErr w:type="spellStart"/>
      <w:r>
        <w:rPr>
          <w:bCs/>
        </w:rPr>
        <w:t>probablility</w:t>
      </w:r>
      <w:proofErr w:type="spellEnd"/>
      <w:r>
        <w:rPr>
          <w:bCs/>
        </w:rPr>
        <w:t xml:space="preserve"> of water-carried pollutants being transported along an overland flow pathway, calculated from TWI and flow velocity, the latter calculated using a modified Manning’s equation which incorporates a landcover effect of velocity:</w:t>
      </w:r>
    </w:p>
    <w:p w14:paraId="257A349E" w14:textId="77777777" w:rsidR="0062743D" w:rsidRDefault="0062743D" w:rsidP="0062743D">
      <w:pPr>
        <w:jc w:val="center"/>
        <w:rPr>
          <w:bCs/>
        </w:rPr>
      </w:pPr>
      <w:r>
        <w:rPr>
          <w:bCs/>
        </w:rPr>
        <w:t xml:space="preserve">Connectivity = </w:t>
      </w:r>
      <w:proofErr w:type="spellStart"/>
      <w:r>
        <w:rPr>
          <w:bCs/>
        </w:rPr>
        <w:t>twi</w:t>
      </w:r>
      <w:proofErr w:type="spellEnd"/>
      <w:r>
        <w:rPr>
          <w:bCs/>
        </w:rPr>
        <w:t xml:space="preserve"> * </w:t>
      </w:r>
      <w:proofErr w:type="spellStart"/>
      <w:r>
        <w:rPr>
          <w:bCs/>
        </w:rPr>
        <w:t>flowvelocity</w:t>
      </w:r>
      <w:proofErr w:type="spellEnd"/>
    </w:p>
    <w:p w14:paraId="5C415B6D" w14:textId="77777777" w:rsidR="0062743D" w:rsidRDefault="0062743D" w:rsidP="0062743D">
      <w:pPr>
        <w:rPr>
          <w:bCs/>
        </w:rPr>
      </w:pPr>
      <w:r>
        <w:rPr>
          <w:bCs/>
        </w:rPr>
        <w:t xml:space="preserve">An estimate of mitigation from runoff interception will be attained by the difference in connectivity calculated where flow velocity is calculated with and without consideration of landcover (constant </w:t>
      </w:r>
      <w:proofErr w:type="spellStart"/>
      <w:r>
        <w:rPr>
          <w:bCs/>
        </w:rPr>
        <w:t>mannings</w:t>
      </w:r>
      <w:proofErr w:type="spellEnd"/>
      <w:r>
        <w:rPr>
          <w:bCs/>
        </w:rPr>
        <w:t xml:space="preserve"> value of 0.02). High mitigation values will correspond to areas where these is a high mass flow accumulation </w:t>
      </w:r>
      <w:r w:rsidRPr="0062743D">
        <w:rPr>
          <w:bCs/>
          <w:i/>
          <w:u w:val="single"/>
        </w:rPr>
        <w:t>and</w:t>
      </w:r>
      <w:r>
        <w:rPr>
          <w:bCs/>
        </w:rPr>
        <w:t xml:space="preserve"> where land cover reduces connectivity.</w:t>
      </w:r>
    </w:p>
    <w:p w14:paraId="2A81380E" w14:textId="3F724EF4" w:rsidR="00AB4917" w:rsidRDefault="00AB4917" w:rsidP="005E709B">
      <w:pPr>
        <w:spacing w:after="0" w:line="240" w:lineRule="auto"/>
        <w:rPr>
          <w:bCs/>
        </w:rPr>
      </w:pPr>
    </w:p>
    <w:p w14:paraId="1F4BC1E8" w14:textId="385A9DE6" w:rsidR="0062743D" w:rsidRDefault="0062743D" w:rsidP="005E709B">
      <w:pPr>
        <w:spacing w:after="0" w:line="240" w:lineRule="auto"/>
        <w:rPr>
          <w:bCs/>
        </w:rPr>
      </w:pPr>
    </w:p>
    <w:p w14:paraId="07685860" w14:textId="77777777" w:rsidR="0062743D" w:rsidRDefault="0062743D" w:rsidP="005E709B">
      <w:pPr>
        <w:spacing w:after="0" w:line="240" w:lineRule="auto"/>
        <w:rPr>
          <w:bCs/>
        </w:rPr>
      </w:pPr>
      <w:bookmarkStart w:id="0" w:name="_GoBack"/>
      <w:bookmarkEnd w:id="0"/>
    </w:p>
    <w:p w14:paraId="55A8953E" w14:textId="77777777" w:rsidR="0062743D" w:rsidRDefault="0062743D" w:rsidP="0062743D">
      <w:pPr>
        <w:rPr>
          <w:bCs/>
        </w:rPr>
      </w:pPr>
      <w:r>
        <w:rPr>
          <w:bCs/>
        </w:rPr>
        <w:t>The direction and flow of pollutants carried by surface water is modelled using standard flow direction and accumulation models derived from a digital elevation model. Several studies suggest (</w:t>
      </w:r>
      <w:proofErr w:type="spellStart"/>
      <w:r>
        <w:rPr>
          <w:bCs/>
        </w:rPr>
        <w:t>eg</w:t>
      </w:r>
      <w:proofErr w:type="spellEnd"/>
      <w:r>
        <w:rPr>
          <w:bCs/>
        </w:rPr>
        <w:t xml:space="preserve"> </w:t>
      </w:r>
      <w:proofErr w:type="spellStart"/>
      <w:r>
        <w:rPr>
          <w:bCs/>
        </w:rPr>
        <w:t>Kopecky</w:t>
      </w:r>
      <w:proofErr w:type="spellEnd"/>
      <w:r>
        <w:rPr>
          <w:bCs/>
        </w:rPr>
        <w:t xml:space="preserve"> et al 2010), that particularly for soil wetness applications, the superiority of adopting a multi-directional rather than single direction flow indicator.</w:t>
      </w:r>
    </w:p>
    <w:p w14:paraId="340171A7" w14:textId="6D2B2040" w:rsidR="005E709B" w:rsidRDefault="005E709B" w:rsidP="005E709B">
      <w:pPr>
        <w:spacing w:after="0" w:line="240" w:lineRule="auto"/>
        <w:rPr>
          <w:bCs/>
        </w:rPr>
      </w:pPr>
      <w:r>
        <w:rPr>
          <w:bCs/>
        </w:rPr>
        <w:t>The effect of vegetation parameters on soil wetness (</w:t>
      </w:r>
      <w:proofErr w:type="spellStart"/>
      <w:r>
        <w:rPr>
          <w:bCs/>
        </w:rPr>
        <w:t>Timimi</w:t>
      </w:r>
      <w:proofErr w:type="spellEnd"/>
      <w:r>
        <w:rPr>
          <w:bCs/>
        </w:rPr>
        <w:t xml:space="preserve"> et al 2010)</w:t>
      </w:r>
    </w:p>
    <w:p w14:paraId="05BD889B" w14:textId="4228D85E" w:rsidR="00CA5259" w:rsidRDefault="005E709B" w:rsidP="005E709B">
      <w:pPr>
        <w:spacing w:after="0" w:line="240" w:lineRule="auto"/>
        <w:rPr>
          <w:bCs/>
        </w:rPr>
      </w:pPr>
      <w:r>
        <w:rPr>
          <w:bCs/>
        </w:rPr>
        <w:t xml:space="preserve">The potential of landcover to intercept and reduce pollution carried by overland flow is captured by applying a modifier to the TWI values </w:t>
      </w:r>
    </w:p>
    <w:p w14:paraId="45273BC4" w14:textId="77777777" w:rsidR="005E709B" w:rsidRDefault="005E709B" w:rsidP="005E709B">
      <w:pPr>
        <w:spacing w:after="0" w:line="240" w:lineRule="auto"/>
        <w:rPr>
          <w:bCs/>
        </w:rPr>
      </w:pPr>
    </w:p>
    <w:p w14:paraId="652CFDF5" w14:textId="38B7AEB9" w:rsidR="00411C94" w:rsidRDefault="00411C94" w:rsidP="00170DB8">
      <w:pPr>
        <w:rPr>
          <w:bCs/>
        </w:rPr>
      </w:pPr>
      <w:r>
        <w:rPr>
          <w:bCs/>
        </w:rPr>
        <w:t>Calculate TWI on basis of multiple flow direction algorithms</w:t>
      </w:r>
    </w:p>
    <w:p w14:paraId="2AE64905" w14:textId="77777777" w:rsidR="0062743D" w:rsidRDefault="0062743D" w:rsidP="00170DB8">
      <w:pPr>
        <w:rPr>
          <w:bCs/>
        </w:rPr>
      </w:pPr>
    </w:p>
    <w:p w14:paraId="6F00D533" w14:textId="54F1AE56" w:rsidR="009D01DF" w:rsidRDefault="009D01DF" w:rsidP="00170DB8">
      <w:pPr>
        <w:rPr>
          <w:bCs/>
        </w:rPr>
      </w:pPr>
      <w:proofErr w:type="spellStart"/>
      <w:r>
        <w:rPr>
          <w:bCs/>
        </w:rPr>
        <w:t>Hydrodem</w:t>
      </w:r>
      <w:proofErr w:type="spellEnd"/>
      <w:r>
        <w:rPr>
          <w:bCs/>
        </w:rPr>
        <w:t xml:space="preserve"> processing</w:t>
      </w:r>
    </w:p>
    <w:p w14:paraId="45CDF22F" w14:textId="162D9D86" w:rsidR="00467036" w:rsidRDefault="009D01DF" w:rsidP="00170DB8">
      <w:pPr>
        <w:rPr>
          <w:bCs/>
        </w:rPr>
      </w:pPr>
      <w:r>
        <w:rPr>
          <w:bCs/>
        </w:rPr>
        <w:t xml:space="preserve">Pit fill </w:t>
      </w:r>
    </w:p>
    <w:p w14:paraId="68EAE3AF" w14:textId="1594AC94" w:rsidR="009D01DF" w:rsidRDefault="009D01DF" w:rsidP="00170DB8">
      <w:pPr>
        <w:rPr>
          <w:bCs/>
        </w:rPr>
      </w:pPr>
      <w:proofErr w:type="spellStart"/>
      <w:r>
        <w:rPr>
          <w:bCs/>
        </w:rPr>
        <w:t>Dinfinity</w:t>
      </w:r>
      <w:proofErr w:type="spellEnd"/>
      <w:r>
        <w:rPr>
          <w:bCs/>
        </w:rPr>
        <w:t xml:space="preserve"> method</w:t>
      </w:r>
    </w:p>
    <w:p w14:paraId="20C04C5A" w14:textId="77777777" w:rsidR="00170DB8" w:rsidRDefault="00170DB8" w:rsidP="00170DB8">
      <w:pPr>
        <w:rPr>
          <w:bCs/>
        </w:rPr>
      </w:pPr>
      <w:r>
        <w:rPr>
          <w:bCs/>
        </w:rPr>
        <w:t xml:space="preserve">(replaces simple riparian zone if run on </w:t>
      </w:r>
      <w:proofErr w:type="spellStart"/>
      <w:r>
        <w:rPr>
          <w:bCs/>
        </w:rPr>
        <w:t>flowacc</w:t>
      </w:r>
      <w:proofErr w:type="spellEnd"/>
      <w:r>
        <w:rPr>
          <w:bCs/>
        </w:rPr>
        <w:t>?)</w:t>
      </w:r>
    </w:p>
    <w:p w14:paraId="284B0FE9" w14:textId="53C2FFA8" w:rsidR="00716A72" w:rsidRDefault="00170DB8" w:rsidP="00170DB8">
      <w:pPr>
        <w:rPr>
          <w:bCs/>
        </w:rPr>
      </w:pPr>
      <w:r>
        <w:rPr>
          <w:bCs/>
        </w:rPr>
        <w:t>Q add SPR to TWI???</w:t>
      </w:r>
    </w:p>
    <w:p w14:paraId="7AD6BE9F" w14:textId="1B5BDDDD" w:rsidR="005E709B" w:rsidRDefault="005E709B" w:rsidP="00170DB8">
      <w:pPr>
        <w:rPr>
          <w:bCs/>
        </w:rPr>
      </w:pPr>
    </w:p>
    <w:p w14:paraId="2E5B23C1" w14:textId="79776CFD" w:rsidR="005E709B" w:rsidRDefault="005E709B" w:rsidP="00170DB8">
      <w:pPr>
        <w:rPr>
          <w:bCs/>
        </w:rPr>
      </w:pPr>
    </w:p>
    <w:p w14:paraId="759D29DB" w14:textId="295BB1D1" w:rsidR="005E709B" w:rsidRDefault="005E709B" w:rsidP="00170DB8">
      <w:pPr>
        <w:rPr>
          <w:bCs/>
        </w:rPr>
      </w:pPr>
    </w:p>
    <w:p w14:paraId="3DC1711F" w14:textId="77777777" w:rsidR="005E709B" w:rsidRPr="00EF3E2E" w:rsidRDefault="005E709B" w:rsidP="00170DB8">
      <w:pPr>
        <w:rPr>
          <w:bCs/>
        </w:rPr>
      </w:pPr>
    </w:p>
    <w:p w14:paraId="3C8EC5F9" w14:textId="77777777" w:rsidR="00170DB8" w:rsidRPr="00414D3F" w:rsidRDefault="00170DB8" w:rsidP="00170DB8">
      <w:pPr>
        <w:rPr>
          <w:b/>
        </w:rPr>
      </w:pPr>
      <w:r w:rsidRPr="00414D3F">
        <w:rPr>
          <w:b/>
        </w:rPr>
        <w:t>Mine works pollution sources</w:t>
      </w:r>
    </w:p>
    <w:p w14:paraId="4C4DAEA2" w14:textId="77777777" w:rsidR="00170DB8" w:rsidRDefault="00170DB8" w:rsidP="00170DB8">
      <w:r>
        <w:t xml:space="preserve">Of the xx river catchments across Cornwall assessed under the Water Framework ??, ?? were classified as of ‘not good’ quality and mining </w:t>
      </w:r>
      <w:proofErr w:type="gramStart"/>
      <w:r>
        <w:t>was</w:t>
      </w:r>
      <w:proofErr w:type="gramEnd"/>
      <w:r>
        <w:t xml:space="preserve"> identified as a reasons in ?? cases.</w:t>
      </w:r>
    </w:p>
    <w:p w14:paraId="5B315A23" w14:textId="77777777" w:rsidR="00170DB8" w:rsidRDefault="00170DB8" w:rsidP="00170DB8">
      <w:r>
        <w:t>Methodological limitations and alternatives</w:t>
      </w:r>
    </w:p>
    <w:p w14:paraId="0F5BD007" w14:textId="77777777" w:rsidR="00170DB8" w:rsidRPr="000D735A" w:rsidRDefault="00170DB8" w:rsidP="00170DB8"/>
    <w:p w14:paraId="504851D1" w14:textId="77777777" w:rsidR="00170DB8" w:rsidRDefault="00170DB8" w:rsidP="00170DB8">
      <w:pPr>
        <w:rPr>
          <w:b/>
        </w:rPr>
      </w:pPr>
      <w:r>
        <w:rPr>
          <w:b/>
        </w:rPr>
        <w:t>Notes on alternatives</w:t>
      </w:r>
    </w:p>
    <w:p w14:paraId="4E15E509" w14:textId="1948F314" w:rsidR="00467036" w:rsidRDefault="00467036" w:rsidP="00170DB8">
      <w:r>
        <w:t xml:space="preserve">Role of deposition – </w:t>
      </w:r>
      <w:r w:rsidR="005E709B">
        <w:t>advocates</w:t>
      </w:r>
      <w:r>
        <w:t xml:space="preserve"> of RUSLE suggest low deposition outside of watercourses</w:t>
      </w:r>
    </w:p>
    <w:p w14:paraId="01779E63" w14:textId="1B66B40C" w:rsidR="00170DB8" w:rsidRDefault="00716A72" w:rsidP="00170DB8">
      <w:r>
        <w:t>The relative importance of the different mechanisms involved in the transportation of</w:t>
      </w:r>
      <w:r w:rsidR="00170DB8">
        <w:t xml:space="preserve"> pollutants will </w:t>
      </w:r>
      <w:r>
        <w:t>vary between different types of pollutants. FOR EXAMPLE</w:t>
      </w:r>
    </w:p>
    <w:p w14:paraId="6503FF2C" w14:textId="58482025" w:rsidR="00170DB8" w:rsidRPr="00B349BC" w:rsidRDefault="00170DB8" w:rsidP="00170DB8">
      <w:r>
        <w:t xml:space="preserve">Good land management / farming practices </w:t>
      </w:r>
      <w:r w:rsidR="00716A72">
        <w:t xml:space="preserve">are </w:t>
      </w:r>
      <w:r>
        <w:t>not captured</w:t>
      </w:r>
      <w:r w:rsidR="00716A72">
        <w:t xml:space="preserve"> in this methodology </w:t>
      </w:r>
    </w:p>
    <w:p w14:paraId="65613890" w14:textId="05BD8851" w:rsidR="00170DB8" w:rsidRDefault="00170DB8" w:rsidP="00170DB8">
      <w:r w:rsidRPr="00016C83">
        <w:t>Hedgerows</w:t>
      </w:r>
    </w:p>
    <w:p w14:paraId="088D487A" w14:textId="77777777" w:rsidR="005E709B" w:rsidRDefault="005E709B" w:rsidP="005E709B">
      <w:pPr>
        <w:rPr>
          <w:bCs/>
        </w:rPr>
      </w:pPr>
      <w:r w:rsidRPr="00C26699">
        <w:rPr>
          <w:highlight w:val="yellow"/>
        </w:rPr>
        <w:t>Sediment</w:t>
      </w:r>
      <w:r>
        <w:rPr>
          <w:highlight w:val="yellow"/>
        </w:rPr>
        <w:t xml:space="preserve"> loss</w:t>
      </w:r>
      <w:r w:rsidRPr="00C26699">
        <w:rPr>
          <w:highlight w:val="yellow"/>
        </w:rPr>
        <w:t xml:space="preserve"> </w:t>
      </w:r>
      <w:r>
        <w:rPr>
          <w:highlight w:val="yellow"/>
        </w:rPr>
        <w:t xml:space="preserve">has been shown to be </w:t>
      </w:r>
      <w:r w:rsidRPr="00C26699">
        <w:rPr>
          <w:highlight w:val="yellow"/>
        </w:rPr>
        <w:t>strongly related to overland flow levels (Henshaw 2005)</w:t>
      </w:r>
    </w:p>
    <w:p w14:paraId="532333F6" w14:textId="77777777" w:rsidR="005E709B" w:rsidRPr="00016C83" w:rsidRDefault="005E709B" w:rsidP="00170DB8"/>
    <w:p w14:paraId="00CCC2F4" w14:textId="2E76B75A" w:rsidR="00CC37AD" w:rsidRDefault="00CC37AD"/>
    <w:p w14:paraId="1B64B72A" w14:textId="4A862854" w:rsidR="00CF7A89" w:rsidRPr="00CF7A89" w:rsidRDefault="00CF7A89">
      <w:pPr>
        <w:rPr>
          <w:b/>
        </w:rPr>
      </w:pPr>
      <w:r w:rsidRPr="00CF7A89">
        <w:rPr>
          <w:b/>
        </w:rPr>
        <w:t>R code</w:t>
      </w:r>
    </w:p>
    <w:p w14:paraId="17C5EE3E" w14:textId="49F906F1" w:rsidR="00CF7A89" w:rsidRDefault="00CF7A89">
      <w:r>
        <w:t>Vulnerable Activity Data</w:t>
      </w:r>
    </w:p>
    <w:p w14:paraId="73929E73" w14:textId="348FA2E8" w:rsidR="00CF7A89" w:rsidRDefault="00CF7A89">
      <w:r>
        <w:t>Extract EA waterbody data functions</w:t>
      </w:r>
    </w:p>
    <w:p w14:paraId="1C057108" w14:textId="05696637" w:rsidR="00CF7A89" w:rsidRDefault="00CF7A89" w:rsidP="00CF7A89">
      <w:pPr>
        <w:pStyle w:val="ListParagraph"/>
        <w:numPr>
          <w:ilvl w:val="0"/>
          <w:numId w:val="5"/>
        </w:numPr>
      </w:pPr>
      <w:r>
        <w:t xml:space="preserve">Get </w:t>
      </w:r>
    </w:p>
    <w:p w14:paraId="37830DD8" w14:textId="1C349359" w:rsidR="00CF7A89" w:rsidRDefault="00CF7A89" w:rsidP="00CF7A89">
      <w:pPr>
        <w:ind w:left="60"/>
      </w:pPr>
      <w:r>
        <w:t>RUSLE calculations</w:t>
      </w:r>
      <w:r w:rsidR="00C87537">
        <w:t xml:space="preserve"> = </w:t>
      </w:r>
      <w:proofErr w:type="spellStart"/>
      <w:r w:rsidR="00C87537">
        <w:t>RUSLE_</w:t>
      </w:r>
      <w:proofErr w:type="gramStart"/>
      <w:r w:rsidR="00C87537">
        <w:t>calcs</w:t>
      </w:r>
      <w:r w:rsidR="00ED0A04">
        <w:t>.R</w:t>
      </w:r>
      <w:proofErr w:type="spellEnd"/>
      <w:proofErr w:type="gramEnd"/>
    </w:p>
    <w:p w14:paraId="47A98E80" w14:textId="7BC31A06" w:rsidR="00CF7A89" w:rsidRDefault="00CF7A89" w:rsidP="00CF7A89">
      <w:pPr>
        <w:ind w:left="60"/>
      </w:pPr>
      <w:r>
        <w:t>SCIMAP type approach</w:t>
      </w:r>
      <w:r w:rsidR="00ED0A04">
        <w:t xml:space="preserve"> – </w:t>
      </w:r>
      <w:proofErr w:type="spellStart"/>
      <w:r w:rsidR="00ED0A04">
        <w:t>scimap_</w:t>
      </w:r>
      <w:proofErr w:type="gramStart"/>
      <w:r w:rsidR="00ED0A04">
        <w:t>functions.R</w:t>
      </w:r>
      <w:proofErr w:type="spellEnd"/>
      <w:proofErr w:type="gramEnd"/>
    </w:p>
    <w:p w14:paraId="330B9515" w14:textId="2E6AC28C" w:rsidR="00CF7A89" w:rsidRDefault="00CF7A89" w:rsidP="00CF7A89">
      <w:pPr>
        <w:ind w:left="60"/>
      </w:pPr>
    </w:p>
    <w:p w14:paraId="50B63AD7" w14:textId="6C303618" w:rsidR="005E709B" w:rsidRPr="00411C94" w:rsidRDefault="005E709B" w:rsidP="00CF7A89">
      <w:pPr>
        <w:ind w:left="60"/>
        <w:rPr>
          <w:b/>
        </w:rPr>
      </w:pPr>
      <w:r w:rsidRPr="00411C94">
        <w:rPr>
          <w:b/>
        </w:rPr>
        <w:t xml:space="preserve">References </w:t>
      </w:r>
    </w:p>
    <w:p w14:paraId="30AB9D21" w14:textId="77777777" w:rsidR="005E709B" w:rsidRPr="005E709B" w:rsidRDefault="005E709B" w:rsidP="005E709B">
      <w:pPr>
        <w:spacing w:after="0" w:line="240" w:lineRule="auto"/>
        <w:rPr>
          <w:rFonts w:ascii="Times New Roman" w:eastAsia="Times New Roman" w:hAnsi="Times New Roman" w:cs="Times New Roman"/>
          <w:sz w:val="24"/>
          <w:szCs w:val="24"/>
        </w:rPr>
      </w:pPr>
      <w:hyperlink r:id="rId6" w:history="1">
        <w:proofErr w:type="spellStart"/>
        <w:r w:rsidRPr="005E709B">
          <w:rPr>
            <w:rFonts w:ascii="Arial" w:eastAsia="Times New Roman" w:hAnsi="Arial" w:cs="Times New Roman"/>
            <w:color w:val="0B0080"/>
            <w:sz w:val="19"/>
            <w:szCs w:val="19"/>
            <w:u w:val="single"/>
          </w:rPr>
          <w:t>Beven</w:t>
        </w:r>
        <w:proofErr w:type="spellEnd"/>
        <w:r w:rsidRPr="005E709B">
          <w:rPr>
            <w:rFonts w:ascii="Arial" w:eastAsia="Times New Roman" w:hAnsi="Arial" w:cs="Times New Roman"/>
            <w:color w:val="0B0080"/>
            <w:sz w:val="19"/>
            <w:szCs w:val="19"/>
            <w:u w:val="single"/>
          </w:rPr>
          <w:t>, K.J.</w:t>
        </w:r>
      </w:hyperlink>
      <w:r w:rsidRPr="005E709B">
        <w:rPr>
          <w:rFonts w:ascii="Arial" w:eastAsia="Times New Roman" w:hAnsi="Arial" w:cs="Times New Roman"/>
          <w:color w:val="222222"/>
          <w:sz w:val="19"/>
          <w:szCs w:val="19"/>
          <w:shd w:val="clear" w:color="auto" w:fill="FFFFFF"/>
        </w:rPr>
        <w:t>; Kirkby, M. J. (1979). "A physically based, variable contributing area model of basin hydrology". </w:t>
      </w:r>
      <w:proofErr w:type="spellStart"/>
      <w:r w:rsidRPr="005E709B">
        <w:rPr>
          <w:rFonts w:ascii="Arial" w:eastAsia="Times New Roman" w:hAnsi="Arial" w:cs="Times New Roman"/>
          <w:i/>
          <w:iCs/>
          <w:color w:val="222222"/>
          <w:sz w:val="19"/>
          <w:szCs w:val="19"/>
        </w:rPr>
        <w:t>Hydrolological</w:t>
      </w:r>
      <w:proofErr w:type="spellEnd"/>
      <w:r w:rsidRPr="005E709B">
        <w:rPr>
          <w:rFonts w:ascii="Arial" w:eastAsia="Times New Roman" w:hAnsi="Arial" w:cs="Times New Roman"/>
          <w:i/>
          <w:iCs/>
          <w:color w:val="222222"/>
          <w:sz w:val="19"/>
          <w:szCs w:val="19"/>
        </w:rPr>
        <w:t xml:space="preserve"> Science Bulletin</w:t>
      </w:r>
      <w:r w:rsidRPr="005E709B">
        <w:rPr>
          <w:rFonts w:ascii="Arial" w:eastAsia="Times New Roman" w:hAnsi="Arial" w:cs="Times New Roman"/>
          <w:color w:val="222222"/>
          <w:sz w:val="19"/>
          <w:szCs w:val="19"/>
          <w:shd w:val="clear" w:color="auto" w:fill="FFFFFF"/>
        </w:rPr>
        <w:t>. </w:t>
      </w:r>
      <w:r w:rsidRPr="005E709B">
        <w:rPr>
          <w:rFonts w:ascii="Arial" w:eastAsia="Times New Roman" w:hAnsi="Arial" w:cs="Times New Roman"/>
          <w:b/>
          <w:bCs/>
          <w:color w:val="222222"/>
          <w:sz w:val="19"/>
          <w:szCs w:val="19"/>
        </w:rPr>
        <w:t>24</w:t>
      </w:r>
      <w:r w:rsidRPr="005E709B">
        <w:rPr>
          <w:rFonts w:ascii="Arial" w:eastAsia="Times New Roman" w:hAnsi="Arial" w:cs="Times New Roman"/>
          <w:color w:val="222222"/>
          <w:sz w:val="19"/>
          <w:szCs w:val="19"/>
          <w:shd w:val="clear" w:color="auto" w:fill="FFFFFF"/>
        </w:rPr>
        <w:t> (1): 43–69. </w:t>
      </w:r>
      <w:hyperlink r:id="rId7" w:tooltip="Digital object identifier" w:history="1">
        <w:r w:rsidRPr="005E709B">
          <w:rPr>
            <w:rFonts w:ascii="Arial" w:eastAsia="Times New Roman" w:hAnsi="Arial" w:cs="Times New Roman"/>
            <w:color w:val="0B0080"/>
            <w:sz w:val="19"/>
            <w:szCs w:val="19"/>
            <w:u w:val="single"/>
          </w:rPr>
          <w:t>doi</w:t>
        </w:r>
      </w:hyperlink>
      <w:r w:rsidRPr="005E709B">
        <w:rPr>
          <w:rFonts w:ascii="Arial" w:eastAsia="Times New Roman" w:hAnsi="Arial" w:cs="Times New Roman"/>
          <w:color w:val="222222"/>
          <w:sz w:val="19"/>
          <w:szCs w:val="19"/>
          <w:shd w:val="clear" w:color="auto" w:fill="FFFFFF"/>
        </w:rPr>
        <w:t>:</w:t>
      </w:r>
      <w:hyperlink r:id="rId8" w:history="1">
        <w:r w:rsidRPr="005E709B">
          <w:rPr>
            <w:rFonts w:ascii="Arial" w:eastAsia="Times New Roman" w:hAnsi="Arial" w:cs="Times New Roman"/>
            <w:color w:val="663366"/>
            <w:sz w:val="19"/>
            <w:szCs w:val="19"/>
            <w:u w:val="single"/>
          </w:rPr>
          <w:t>10.1080/02626667909491834</w:t>
        </w:r>
      </w:hyperlink>
      <w:r w:rsidRPr="005E709B">
        <w:rPr>
          <w:rFonts w:ascii="Arial" w:eastAsia="Times New Roman" w:hAnsi="Arial" w:cs="Times New Roman"/>
          <w:color w:val="222222"/>
          <w:sz w:val="19"/>
          <w:szCs w:val="19"/>
          <w:shd w:val="clear" w:color="auto" w:fill="FFFFFF"/>
        </w:rPr>
        <w:t>.</w:t>
      </w:r>
    </w:p>
    <w:p w14:paraId="109831AE" w14:textId="7642C4F2" w:rsidR="005E709B" w:rsidRDefault="005E709B" w:rsidP="00CF7A89">
      <w:pPr>
        <w:ind w:left="60"/>
      </w:pPr>
      <w:proofErr w:type="spellStart"/>
      <w:r w:rsidRPr="000D735A">
        <w:t>Nesbet</w:t>
      </w:r>
      <w:proofErr w:type="spellEnd"/>
      <w:r w:rsidRPr="000D735A">
        <w:t xml:space="preserve"> et al 2011 in FR 2014</w:t>
      </w:r>
    </w:p>
    <w:p w14:paraId="7A8A71E5" w14:textId="440EA2B8" w:rsidR="005E709B" w:rsidRDefault="005E709B" w:rsidP="00CF7A89">
      <w:pPr>
        <w:ind w:left="60"/>
      </w:pPr>
      <w:proofErr w:type="spellStart"/>
      <w:r>
        <w:t>Scimap</w:t>
      </w:r>
      <w:proofErr w:type="spellEnd"/>
      <w:r>
        <w:t xml:space="preserve"> ref</w:t>
      </w:r>
    </w:p>
    <w:p w14:paraId="7D1CE517" w14:textId="79B6BD0E" w:rsidR="005E709B" w:rsidRDefault="005E709B" w:rsidP="005E709B">
      <w:pPr>
        <w:pStyle w:val="NormalWeb"/>
        <w:rPr>
          <w:rFonts w:ascii="AdvGulliv" w:hAnsi="AdvGulliv"/>
          <w:color w:val="000066"/>
          <w:sz w:val="12"/>
          <w:szCs w:val="12"/>
        </w:rPr>
      </w:pPr>
      <w:r>
        <w:rPr>
          <w:rFonts w:ascii="AdvGulliv" w:hAnsi="AdvGulliv"/>
          <w:sz w:val="12"/>
          <w:szCs w:val="12"/>
        </w:rPr>
        <w:t xml:space="preserve">Vegetation parameters and TWI - </w:t>
      </w:r>
      <w:proofErr w:type="spellStart"/>
      <w:r>
        <w:rPr>
          <w:rFonts w:ascii="AdvGulliv" w:hAnsi="AdvGulliv"/>
          <w:sz w:val="12"/>
          <w:szCs w:val="12"/>
        </w:rPr>
        <w:t>Temimi</w:t>
      </w:r>
      <w:proofErr w:type="spellEnd"/>
      <w:r>
        <w:rPr>
          <w:rFonts w:ascii="AdvGulliv" w:hAnsi="AdvGulliv"/>
          <w:sz w:val="12"/>
          <w:szCs w:val="12"/>
        </w:rPr>
        <w:t xml:space="preserve"> et al 2010 </w:t>
      </w:r>
      <w:proofErr w:type="gramStart"/>
      <w:r>
        <w:rPr>
          <w:rFonts w:ascii="AdvGulliv" w:hAnsi="AdvGulliv"/>
          <w:sz w:val="12"/>
          <w:szCs w:val="12"/>
        </w:rPr>
        <w:t>doi:</w:t>
      </w:r>
      <w:r>
        <w:rPr>
          <w:rFonts w:ascii="AdvGulliv" w:hAnsi="AdvGulliv"/>
          <w:color w:val="000066"/>
          <w:sz w:val="12"/>
          <w:szCs w:val="12"/>
        </w:rPr>
        <w:t>10.1016/j.jhydrol</w:t>
      </w:r>
      <w:proofErr w:type="gramEnd"/>
      <w:r>
        <w:rPr>
          <w:rFonts w:ascii="AdvGulliv" w:hAnsi="AdvGulliv"/>
          <w:color w:val="000066"/>
          <w:sz w:val="12"/>
          <w:szCs w:val="12"/>
        </w:rPr>
        <w:t xml:space="preserve">.2010.04.021 </w:t>
      </w:r>
    </w:p>
    <w:p w14:paraId="727FB7B8" w14:textId="2FB1D5FB" w:rsidR="00411C94" w:rsidRDefault="00411C94" w:rsidP="005E709B">
      <w:pPr>
        <w:pStyle w:val="NormalWeb"/>
      </w:pPr>
      <w:r>
        <w:t xml:space="preserve">Flow direction algorithms, </w:t>
      </w:r>
      <w:proofErr w:type="spellStart"/>
      <w:r>
        <w:t>twi</w:t>
      </w:r>
      <w:proofErr w:type="spellEnd"/>
      <w:r>
        <w:t xml:space="preserve"> and vegetation </w:t>
      </w:r>
      <w:r w:rsidRPr="00411C94">
        <w:t>https://www.jstor.org/stable/40927821?seq=1#metadata_info_tab_contents</w:t>
      </w:r>
    </w:p>
    <w:p w14:paraId="00854D35" w14:textId="77777777" w:rsidR="005E709B" w:rsidRDefault="005E709B" w:rsidP="00CF7A89">
      <w:pPr>
        <w:ind w:left="60"/>
      </w:pPr>
    </w:p>
    <w:sectPr w:rsidR="005E709B" w:rsidSect="00E334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00000003" w:usb1="00000000" w:usb2="00000000" w:usb3="00000000" w:csb0="00000001" w:csb1="00000000"/>
  </w:font>
  <w:font w:name="AdvGulliv">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624F3"/>
    <w:multiLevelType w:val="hybridMultilevel"/>
    <w:tmpl w:val="79E6E854"/>
    <w:lvl w:ilvl="0" w:tplc="D1BA6C1A">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70A5E10"/>
    <w:multiLevelType w:val="hybridMultilevel"/>
    <w:tmpl w:val="A92E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F38EF"/>
    <w:multiLevelType w:val="hybridMultilevel"/>
    <w:tmpl w:val="3AEA9B1A"/>
    <w:lvl w:ilvl="0" w:tplc="9D1CE596">
      <w:start w:val="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3A51C9D"/>
    <w:multiLevelType w:val="hybridMultilevel"/>
    <w:tmpl w:val="B1A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87BC2"/>
    <w:multiLevelType w:val="hybridMultilevel"/>
    <w:tmpl w:val="1B8AD45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B8"/>
    <w:rsid w:val="00057281"/>
    <w:rsid w:val="000A0E99"/>
    <w:rsid w:val="00170DB8"/>
    <w:rsid w:val="002D4626"/>
    <w:rsid w:val="0033483F"/>
    <w:rsid w:val="003A0CC3"/>
    <w:rsid w:val="00411C94"/>
    <w:rsid w:val="00467036"/>
    <w:rsid w:val="004A3EF2"/>
    <w:rsid w:val="00532E19"/>
    <w:rsid w:val="005714AF"/>
    <w:rsid w:val="005E709B"/>
    <w:rsid w:val="006077DC"/>
    <w:rsid w:val="0062743D"/>
    <w:rsid w:val="006D3BB1"/>
    <w:rsid w:val="00716A72"/>
    <w:rsid w:val="00750C3B"/>
    <w:rsid w:val="00773E59"/>
    <w:rsid w:val="007C3144"/>
    <w:rsid w:val="00861224"/>
    <w:rsid w:val="008B16B2"/>
    <w:rsid w:val="008F2047"/>
    <w:rsid w:val="00915B76"/>
    <w:rsid w:val="00916568"/>
    <w:rsid w:val="009D01DF"/>
    <w:rsid w:val="00A63AF8"/>
    <w:rsid w:val="00A862B5"/>
    <w:rsid w:val="00AB4917"/>
    <w:rsid w:val="00C87537"/>
    <w:rsid w:val="00CA5259"/>
    <w:rsid w:val="00CC37AD"/>
    <w:rsid w:val="00CE7424"/>
    <w:rsid w:val="00CF787C"/>
    <w:rsid w:val="00CF7A89"/>
    <w:rsid w:val="00DF0AC1"/>
    <w:rsid w:val="00E3349A"/>
    <w:rsid w:val="00E95146"/>
    <w:rsid w:val="00ED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27EFA"/>
  <w15:chartTrackingRefBased/>
  <w15:docId w15:val="{C9D23559-7C77-7C44-AC69-57EEA495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0D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B8"/>
    <w:pPr>
      <w:ind w:left="720"/>
      <w:contextualSpacing/>
    </w:pPr>
  </w:style>
  <w:style w:type="table" w:styleId="TableGrid">
    <w:name w:val="Table Grid"/>
    <w:basedOn w:val="TableNormal"/>
    <w:uiPriority w:val="39"/>
    <w:rsid w:val="00C8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709B"/>
    <w:rPr>
      <w:color w:val="0000FF"/>
      <w:u w:val="single"/>
    </w:rPr>
  </w:style>
  <w:style w:type="character" w:customStyle="1" w:styleId="apple-converted-space">
    <w:name w:val="apple-converted-space"/>
    <w:basedOn w:val="DefaultParagraphFont"/>
    <w:rsid w:val="005E709B"/>
  </w:style>
  <w:style w:type="paragraph" w:styleId="NormalWeb">
    <w:name w:val="Normal (Web)"/>
    <w:basedOn w:val="Normal"/>
    <w:uiPriority w:val="99"/>
    <w:semiHidden/>
    <w:unhideWhenUsed/>
    <w:rsid w:val="005E7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56170">
      <w:bodyDiv w:val="1"/>
      <w:marLeft w:val="0"/>
      <w:marRight w:val="0"/>
      <w:marTop w:val="0"/>
      <w:marBottom w:val="0"/>
      <w:divBdr>
        <w:top w:val="none" w:sz="0" w:space="0" w:color="auto"/>
        <w:left w:val="none" w:sz="0" w:space="0" w:color="auto"/>
        <w:bottom w:val="none" w:sz="0" w:space="0" w:color="auto"/>
        <w:right w:val="none" w:sz="0" w:space="0" w:color="auto"/>
      </w:divBdr>
      <w:divsChild>
        <w:div w:id="2108194029">
          <w:marLeft w:val="0"/>
          <w:marRight w:val="0"/>
          <w:marTop w:val="0"/>
          <w:marBottom w:val="0"/>
          <w:divBdr>
            <w:top w:val="none" w:sz="0" w:space="0" w:color="auto"/>
            <w:left w:val="none" w:sz="0" w:space="0" w:color="auto"/>
            <w:bottom w:val="none" w:sz="0" w:space="0" w:color="auto"/>
            <w:right w:val="none" w:sz="0" w:space="0" w:color="auto"/>
          </w:divBdr>
          <w:divsChild>
            <w:div w:id="158932123">
              <w:marLeft w:val="0"/>
              <w:marRight w:val="0"/>
              <w:marTop w:val="0"/>
              <w:marBottom w:val="0"/>
              <w:divBdr>
                <w:top w:val="none" w:sz="0" w:space="0" w:color="auto"/>
                <w:left w:val="none" w:sz="0" w:space="0" w:color="auto"/>
                <w:bottom w:val="none" w:sz="0" w:space="0" w:color="auto"/>
                <w:right w:val="none" w:sz="0" w:space="0" w:color="auto"/>
              </w:divBdr>
              <w:divsChild>
                <w:div w:id="678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4208">
      <w:bodyDiv w:val="1"/>
      <w:marLeft w:val="0"/>
      <w:marRight w:val="0"/>
      <w:marTop w:val="0"/>
      <w:marBottom w:val="0"/>
      <w:divBdr>
        <w:top w:val="none" w:sz="0" w:space="0" w:color="auto"/>
        <w:left w:val="none" w:sz="0" w:space="0" w:color="auto"/>
        <w:bottom w:val="none" w:sz="0" w:space="0" w:color="auto"/>
        <w:right w:val="none" w:sz="0" w:space="0" w:color="auto"/>
      </w:divBdr>
    </w:div>
    <w:div w:id="18786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F02626667909491834" TargetMode="External"/><Relationship Id="rId3" Type="http://schemas.openxmlformats.org/officeDocument/2006/relationships/settings" Target="settings.xml"/><Relationship Id="rId7" Type="http://schemas.openxmlformats.org/officeDocument/2006/relationships/hyperlink" Target="https://en.wikipedia.org/wiki/Digital_object_ident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eith_Beven" TargetMode="External"/><Relationship Id="rId5" Type="http://schemas.openxmlformats.org/officeDocument/2006/relationships/hyperlink" Target="http://www.sciencedirect.com/science/article/pii/S146290111530065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Mosedale, Jonathan</dc:creator>
  <cp:keywords/>
  <dc:description/>
  <cp:lastModifiedBy>Mosedale, Jonathan</cp:lastModifiedBy>
  <cp:revision>10</cp:revision>
  <dcterms:created xsi:type="dcterms:W3CDTF">2018-12-19T16:58:00Z</dcterms:created>
  <dcterms:modified xsi:type="dcterms:W3CDTF">2019-01-03T13:18:00Z</dcterms:modified>
</cp:coreProperties>
</file>