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17"/>
        </w:rPr>
        <w:t>Generated from PA_toolkit/METHOD_AND_SCORING.md by Management/export_release.py. Do not edit this file: edit the Markdown source and re-run finalise.py.</w:t>
      </w:r>
    </w:p>
    <w:p>
      <w:pPr>
        <w:pStyle w:val="Heading1"/>
      </w:pPr>
      <w:r>
        <w:rPr/>
        <w:t>Method &amp; scoring specification</w:t>
      </w:r>
    </w:p>
    <w:p>
      <w:r>
        <w:rPr/>
        <w:t xml:space="preserve">This is the fixed methodology behind every "Met Office research → UK policy relevance" assessment produced with this kit. Keep it constant across research fields so reports are comparable. The per-report content lives in a YAML config; this document defines </w:t>
      </w:r>
      <w:r>
        <w:rPr>
          <w:i/>
        </w:rPr>
        <w:t>how</w:t>
      </w:r>
      <w:r>
        <w:rPr/>
        <w:t xml:space="preserve"> that content is derived and scored.</w:t>
      </w:r>
    </w:p>
    <w:p>
      <w:pPr>
        <w:pStyle w:val="Heading2"/>
      </w:pPr>
      <w:r>
        <w:rPr/>
        <w:t>1. Inputs</w:t>
      </w:r>
    </w:p>
    <w:p>
      <w:pPr>
        <w:pStyle w:val="ListBullet"/>
      </w:pPr>
      <w:r>
        <w:rPr>
          <w:b/>
        </w:rPr>
        <w:t>Bibliography</w:t>
      </w:r>
      <w:r>
        <w:rPr/>
        <w:t xml:space="preserve"> for the MO research field (e.g. a researcher's publication list, HTML/CSV/Markdown).</w:t>
      </w:r>
    </w:p>
    <w:p>
      <w:pPr>
        <w:pStyle w:val="ListBullet"/>
      </w:pPr>
      <w:r>
        <w:rPr>
          <w:b/>
        </w:rPr>
        <w:t>Governance workbook</w:t>
      </w:r>
      <w:r>
        <w:rPr/>
        <w:t xml:space="preserve"> </w:t>
      </w:r>
      <w:r>
        <w:rPr>
          <w:rFonts w:ascii="Consolas" w:hAnsi="Consolas"/>
        </w:rPr>
        <w:t>uk_climate_nature_governance.xlsx</w:t>
      </w:r>
      <w:r>
        <w:rPr/>
        <w:t xml:space="preserve">, sheet </w:t>
      </w:r>
      <w:r>
        <w:rPr>
          <w:b/>
        </w:rPr>
        <w:t>Policies &amp; Activities</w:t>
      </w:r>
      <w:r>
        <w:rPr/>
        <w:t xml:space="preserve"> (POL records, with a </w:t>
      </w:r>
      <w:r>
        <w:rPr>
          <w:rFonts w:ascii="Consolas" w:hAnsi="Consolas"/>
        </w:rPr>
        <w:t>Link</w:t>
      </w:r>
      <w:r>
        <w:rPr/>
        <w:t xml:space="preserve"> column used for hyperlinks). Canonical filename; POL IDs stable across versions.</w:t>
      </w:r>
    </w:p>
    <w:p>
      <w:pPr>
        <w:pStyle w:val="ListBullet"/>
      </w:pPr>
      <w:r>
        <w:rPr>
          <w:b/>
        </w:rPr>
        <w:t>Indicators workbook</w:t>
      </w:r>
      <w:r>
        <w:rPr/>
        <w:t xml:space="preserve"> </w:t>
      </w:r>
      <w:r>
        <w:rPr>
          <w:rFonts w:ascii="Consolas" w:hAnsi="Consolas"/>
        </w:rPr>
        <w:t>indicators_climate_nature.xlsx</w:t>
      </w:r>
      <w:r>
        <w:rPr/>
        <w:t xml:space="preserve"> (framework sheets) — optional, used only for the Policy indicators section.</w:t>
      </w:r>
    </w:p>
    <w:p>
      <w:pPr>
        <w:pStyle w:val="ListBullet"/>
      </w:pPr>
      <w:r>
        <w:rPr>
          <w:b/>
        </w:rPr>
        <w:t>Flagship MO tool/dataset</w:t>
      </w:r>
      <w:r>
        <w:rPr/>
        <w:t xml:space="preserve"> for the field (e.g. the Climate-Pest Risk web tool), inspected directly.</w:t>
      </w:r>
    </w:p>
    <w:p>
      <w:pPr>
        <w:pStyle w:val="ListBullet"/>
      </w:pPr>
      <w:r>
        <w:rPr>
          <w:b/>
        </w:rPr>
        <w:t>Additional reliable sources</w:t>
      </w:r>
      <w:r>
        <w:rPr/>
        <w:t>: gov.uk, legislation.gov.uk, Defra/agency portals, Met Office pages/blogs, peer-reviewed papers. Verify before writing; record what was used.</w:t>
      </w:r>
    </w:p>
    <w:p>
      <w:pPr>
        <w:pStyle w:val="Heading2"/>
      </w:pPr>
      <w:r>
        <w:rPr/>
        <w:t>2. Procedure</w:t>
      </w:r>
    </w:p>
    <w:p>
      <w:pPr>
        <w:tabs>
          <w:tab w:pos="454" w:val="left"/>
        </w:tabs>
        <w:spacing w:after="60"/>
        <w:ind w:left="454" w:hanging="454"/>
      </w:pPr>
      <w:r>
        <w:rPr/>
        <w:t>1.</w:t>
        <w:tab/>
      </w:r>
      <w:r>
        <w:rPr>
          <w:b/>
        </w:rPr>
        <w:t>Scope the MO research</w:t>
      </w:r>
      <w:r>
        <w:rPr/>
        <w:t xml:space="preserve"> from the bibliography: filter to the field and adjacent work. Characterise the flagship tool/output by direct inspection (what it measures, at what resolution, what coverage/limits).</w:t>
      </w:r>
    </w:p>
    <w:p>
      <w:pPr>
        <w:tabs>
          <w:tab w:pos="454" w:val="left"/>
        </w:tabs>
        <w:spacing w:after="60"/>
        <w:ind w:left="454" w:hanging="454"/>
      </w:pPr>
      <w:r>
        <w:rPr/>
        <w:t>2.</w:t>
        <w:tab/>
      </w:r>
      <w:r>
        <w:rPr>
          <w:b/>
        </w:rPr>
        <w:t>Establish the research→policy channel(s)</w:t>
      </w:r>
      <w:r>
        <w:rPr/>
        <w:t>: confirm any documented, operational use of MO outputs (named partnerships, tools feeding a register/contingency process, etc.) from primary sources, dated.</w:t>
      </w:r>
    </w:p>
    <w:p>
      <w:pPr>
        <w:tabs>
          <w:tab w:pos="454" w:val="left"/>
        </w:tabs>
        <w:spacing w:after="60"/>
        <w:ind w:left="454" w:hanging="454"/>
      </w:pPr>
      <w:r>
        <w:rPr/>
        <w:t>3.</w:t>
        <w:tab/>
      </w:r>
      <w:r>
        <w:rPr>
          <w:b/>
        </w:rPr>
        <w:t>Assemble policy candidates</w:t>
      </w:r>
      <w:r>
        <w:rPr/>
        <w:t xml:space="preserve"> from the Policies &amp; Activities sheet: filter first on the relevant sector tags, then screen </w:t>
      </w:r>
      <w:r>
        <w:rPr>
          <w:i/>
        </w:rPr>
        <w:t>all</w:t>
      </w:r>
      <w:r>
        <w:rPr/>
        <w:t xml:space="preserve"> records for a plausible dependency on the research. Add operational activities that are real but absent from the workbook, marked with a dagger (†).</w:t>
      </w:r>
    </w:p>
    <w:p>
      <w:pPr>
        <w:tabs>
          <w:tab w:pos="454" w:val="left"/>
        </w:tabs>
        <w:spacing w:after="60"/>
        <w:ind w:left="454" w:hanging="454"/>
      </w:pPr>
      <w:r>
        <w:rPr/>
        <w:t>4.</w:t>
        <w:tab/>
      </w:r>
      <w:r>
        <w:rPr>
          <w:b/>
        </w:rPr>
        <w:t>Score</w:t>
      </w:r>
      <w:r>
        <w:rPr/>
        <w:t xml:space="preserve"> each candidate on the two axes in §3.</w:t>
      </w:r>
    </w:p>
    <w:p>
      <w:pPr>
        <w:tabs>
          <w:tab w:pos="454" w:val="left"/>
        </w:tabs>
        <w:spacing w:after="60"/>
        <w:ind w:left="454" w:hanging="454"/>
      </w:pPr>
      <w:r>
        <w:rPr/>
        <w:t>5.</w:t>
        <w:tab/>
      </w:r>
      <w:r>
        <w:rPr>
          <w:b/>
        </w:rPr>
        <w:t>Indicator scan</w:t>
      </w:r>
      <w:r>
        <w:rPr/>
        <w:t xml:space="preserve"> (whenever an indicators workbook is supplied — applied </w:t>
      </w:r>
      <w:r>
        <w:rPr>
          <w:i/>
        </w:rPr>
        <w:t>and</w:t>
      </w:r>
      <w:r>
        <w:rPr/>
        <w:t xml:space="preserve"> gap mode): keyword-filter the indicators workbook for the field, then keep only indicators whose </w:t>
      </w:r>
      <w:r>
        <w:rPr>
          <w:i/>
        </w:rPr>
        <w:t>measured quantity</w:t>
      </w:r>
      <w:r>
        <w:rPr/>
        <w:t xml:space="preserve"> the capability could directly inform (exclude indicators whose measured quantity takes no climate input, e.g. a GIS area). </w:t>
      </w:r>
      <w:r>
        <w:rPr>
          <w:b/>
        </w:rPr>
        <w:t>Then run a focused web scan</w:t>
      </w:r>
      <w:r>
        <w:rPr/>
        <w:t xml:space="preserve"> for authoritative indicators </w:t>
      </w:r>
      <w:r>
        <w:rPr>
          <w:i/>
        </w:rPr>
        <w:t>absent</w:t>
      </w:r>
      <w:r>
        <w:rPr/>
        <w:t xml:space="preserve"> from the workbook (framework indicators published since the workbook version, or operational/agency monitoring statistics not catalogued in any framework). Discipline: authoritative sources only (gov.uk, agencies, recognised frameworks); it must genuinely not be in the workbook (check by name and framework); it must pass the same measured-quantity test; mark it </w:t>
      </w:r>
      <w:r>
        <w:rPr>
          <w:rFonts w:ascii="Consolas" w:hAnsi="Consolas"/>
        </w:rPr>
        <w:t>†</w:t>
      </w:r>
      <w:r>
        <w:rPr/>
        <w:t xml:space="preserve"> with its source; note any overlap with an existing indicator. Expect a small yield — the workbook already catalogues most published framework indicators. Propose, never silently add.</w:t>
      </w:r>
    </w:p>
    <w:p>
      <w:pPr>
        <w:tabs>
          <w:tab w:pos="454" w:val="left"/>
        </w:tabs>
        <w:spacing w:after="60"/>
        <w:ind w:left="454" w:hanging="454"/>
      </w:pPr>
      <w:r>
        <w:rPr/>
        <w:t>6.</w:t>
        <w:tab/>
      </w:r>
      <w:r>
        <w:rPr>
          <w:b/>
        </w:rPr>
        <w:t>Write</w:t>
      </w:r>
      <w:r>
        <w:rPr/>
        <w:t xml:space="preserve"> the report from the YAML config; verify every factual claim and URL against source.</w:t>
      </w:r>
    </w:p>
    <w:p>
      <w:pPr>
        <w:tabs>
          <w:tab w:pos="454" w:val="left"/>
        </w:tabs>
        <w:spacing w:after="60"/>
        <w:ind w:left="454" w:hanging="454"/>
      </w:pPr>
      <w:r>
        <w:rPr/>
        <w:t>7.</w:t>
        <w:tab/>
      </w:r>
      <w:r>
        <w:rPr>
          <w:b/>
        </w:rPr>
        <w:t>Record the † additions — do not merely offer them.</w:t>
      </w:r>
      <w:r>
        <w:rPr/>
        <w:t xml:space="preserve"> At the end of the run, append one row to </w:t>
      </w:r>
      <w:r>
        <w:rPr>
          <w:rFonts w:ascii="Consolas" w:hAnsi="Consolas"/>
        </w:rPr>
        <w:t>Data/pending_additions.md</w:t>
      </w:r>
      <w:r>
        <w:rPr/>
        <w:t xml:space="preserve"> for every activity and every indicator you marked </w:t>
      </w:r>
      <w:r>
        <w:rPr>
          <w:rFonts w:ascii="Consolas" w:hAnsi="Consolas"/>
        </w:rPr>
        <w:t>†</w:t>
      </w:r>
      <w:r>
        <w:rPr/>
        <w:t xml:space="preserve">. Append them; do not ask whether to. This changes no workbook and needs no approval — the file is a candidate queue, and every row still passes the screen and triage in </w:t>
      </w:r>
      <w:r>
        <w:rPr>
          <w:rFonts w:ascii="Consolas" w:hAnsi="Consolas"/>
        </w:rPr>
        <w:t>Management/protocols/POLICY_SCAN_PROTOCOL.md</w:t>
      </w:r>
      <w:r>
        <w:rPr/>
        <w:t xml:space="preserve"> before any record is written.</w:t>
      </w:r>
    </w:p>
    <w:p>
      <w:pPr>
        <w:spacing w:before="0"/>
        <w:ind w:left="454"/>
      </w:pPr>
      <w:r>
        <w:rPr/>
        <w:t>Why this is a step and not an option: daggered items are a targeted, well-researched scan of one field, and are better evidence than a quarterly sweep produces. Previously they were offered once in a chat reply and captured only if that individual chose to act, which made the completeness of a shared knowledge base depend on the disposition of whoever happened to run the assessment. It is not an individual user's call.</w:t>
      </w:r>
    </w:p>
    <w:p>
      <w:pPr>
        <w:spacing w:before="0"/>
        <w:ind w:left="454"/>
      </w:pPr>
      <w:r>
        <w:rPr/>
        <w:t xml:space="preserve">If the file is not reachable — a ported copy of </w:t>
      </w:r>
      <w:r>
        <w:rPr>
          <w:rFonts w:ascii="Consolas" w:hAnsi="Consolas"/>
        </w:rPr>
        <w:t>PA_toolkit/</w:t>
      </w:r>
      <w:r>
        <w:rPr/>
        <w:t xml:space="preserve"> alone, say — emit the rows as a fenced, copy-paste-ready block explicitly labelled for pasting into </w:t>
      </w:r>
      <w:r>
        <w:rPr>
          <w:rFonts w:ascii="Consolas" w:hAnsi="Consolas"/>
        </w:rPr>
        <w:t>Data/pending_additions.md</w:t>
      </w:r>
      <w:r>
        <w:rPr/>
        <w:t>. Silence is not an acceptable outcome. Also summarise the daggered items in the chat reply, as before, so the user knows what was found.</w:t>
      </w:r>
    </w:p>
    <w:p>
      <w:pPr>
        <w:pStyle w:val="Heading2"/>
      </w:pPr>
      <w:r>
        <w:rPr/>
        <w:t>3. Scoring — two independent axes</w:t>
      </w:r>
    </w:p>
    <w:p>
      <w:r>
        <w:rPr/>
        <w:t xml:space="preserve">Keep these two axes </w:t>
      </w:r>
      <w:r>
        <w:rPr>
          <w:b/>
        </w:rPr>
        <w:t>separate</w:t>
      </w:r>
      <w:r>
        <w:rPr/>
        <w:t>. They answer different questions; collapsing them (as a single "confidence" or "relevance" score) makes a high-value-but-unrealised link look weak.</w:t>
      </w:r>
    </w:p>
    <w:p>
      <w:r>
        <w:rPr>
          <w:b/>
        </w:rPr>
        <w:t>Relevance (materiality of MO science to the policy)</w:t>
      </w:r>
      <w:r>
        <w:rPr/>
        <w:t xml:space="preserve"> — shown by row colour:</w:t>
      </w:r>
    </w:p>
    <w:p>
      <w:pPr>
        <w:pStyle w:val="ListBullet"/>
      </w:pPr>
      <w:r>
        <w:rPr>
          <w:b/>
        </w:rPr>
        <w:t>3 High</w:t>
      </w:r>
      <w:r>
        <w:rPr/>
        <w:t xml:space="preserve"> — a direct, often named, evidence input.</w:t>
      </w:r>
    </w:p>
    <w:p>
      <w:pPr>
        <w:pStyle w:val="ListBullet"/>
      </w:pPr>
      <w:r>
        <w:rPr>
          <w:b/>
        </w:rPr>
        <w:t>2 Medium</w:t>
      </w:r>
      <w:r>
        <w:rPr/>
        <w:t xml:space="preserve"> — informs a defined risk or evidence component.</w:t>
      </w:r>
    </w:p>
    <w:p>
      <w:pPr>
        <w:pStyle w:val="ListBullet"/>
      </w:pPr>
      <w:r>
        <w:rPr>
          <w:b/>
        </w:rPr>
        <w:t>1 Low</w:t>
      </w:r>
      <w:r>
        <w:rPr/>
        <w:t xml:space="preserve"> — indirect dependency.</w:t>
      </w:r>
    </w:p>
    <w:p>
      <w:r>
        <w:rPr>
          <w:b/>
        </w:rPr>
        <w:t>Status (realisation)</w:t>
      </w:r>
      <w:r>
        <w:rPr/>
        <w:t xml:space="preserve"> — shown by the chip:</w:t>
      </w:r>
    </w:p>
    <w:p>
      <w:pPr>
        <w:pStyle w:val="ListBullet"/>
      </w:pPr>
      <w:r>
        <w:rPr>
          <w:b/>
        </w:rPr>
        <w:t>Current</w:t>
      </w:r>
      <w:r>
        <w:rPr/>
        <w:t xml:space="preserve"> — MO science already informs the activity, and this is documented.</w:t>
      </w:r>
    </w:p>
    <w:p>
      <w:pPr>
        <w:pStyle w:val="ListBullet"/>
      </w:pPr>
      <w:r>
        <w:rPr>
          <w:b/>
        </w:rPr>
        <w:t>Opportunity</w:t>
      </w:r>
      <w:r>
        <w:rPr/>
        <w:t xml:space="preserve"> — a credible but not-yet-realised use.</w:t>
      </w:r>
    </w:p>
    <w:p>
      <w:r>
        <w:rPr/>
        <w:t xml:space="preserve">So an activity can be </w:t>
      </w:r>
      <w:r>
        <w:rPr>
          <w:rFonts w:ascii="Consolas" w:hAnsi="Consolas"/>
        </w:rPr>
        <w:t>3 / Opportunity</w:t>
      </w:r>
      <w:r>
        <w:rPr/>
        <w:t xml:space="preserve"> (high materiality, not yet used — a priority) or </w:t>
      </w:r>
      <w:r>
        <w:rPr>
          <w:rFonts w:ascii="Consolas" w:hAnsi="Consolas"/>
        </w:rPr>
        <w:t>2 / Current</w:t>
      </w:r>
      <w:r>
        <w:rPr/>
        <w:t xml:space="preserve"> (already used, moderate materiality). Materiality drives the colour; realisation drives the chip.</w:t>
      </w:r>
    </w:p>
    <w:p>
      <w:pPr>
        <w:pStyle w:val="Heading2"/>
      </w:pPr>
      <w:r>
        <w:rPr/>
        <w:t>3a. Two modes — applied vs gap (prospective)</w:t>
      </w:r>
    </w:p>
    <w:p>
      <w:r>
        <w:rPr/>
        <w:t xml:space="preserve">The same backbone (capability → UK policy, scored, same layout) serves two question types. Only the framing, labels and the </w:t>
      </w:r>
      <w:r>
        <w:rPr>
          <w:b/>
        </w:rPr>
        <w:t>second axis</w:t>
      </w:r>
      <w:r>
        <w:rPr/>
        <w:t xml:space="preserve"> change; the renderer is identical and mode is set entirely in the YAML.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6E8"/>
          </w:tcPr>
          <w:p/>
        </w:tc>
        <w:tc>
          <w:tcPr>
            <w:tcW w:type="dxa" w:w="3213"/>
            <w:shd w:val="clear" w:color="auto" w:fill="DCE6E8"/>
          </w:tcPr>
          <w:p>
            <w:r>
              <w:rPr>
                <w:b/>
                <w:sz w:val="18"/>
              </w:rPr>
              <w:t>Applied mode</w:t>
            </w:r>
            <w:r>
              <w:rPr>
                <w:b/>
                <w:sz w:val="18"/>
              </w:rPr>
              <w:t xml:space="preserve"> (default)</w:t>
            </w:r>
          </w:p>
        </w:tc>
        <w:tc>
          <w:tcPr>
            <w:tcW w:type="dxa" w:w="3213"/>
            <w:shd w:val="clear" w:color="auto" w:fill="DCE6E8"/>
          </w:tcPr>
          <w:p>
            <w:r>
              <w:rPr>
                <w:b/>
                <w:sz w:val="18"/>
              </w:rPr>
              <w:t>Gap / prospective mode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Question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 xml:space="preserve">Where does / could </w:t>
            </w:r>
            <w:r>
              <w:rPr>
                <w:i/>
                <w:sz w:val="18"/>
              </w:rPr>
              <w:t>existing</w:t>
            </w:r>
            <w:r>
              <w:rPr>
                <w:sz w:val="18"/>
              </w:rPr>
              <w:t xml:space="preserve"> MO research inform UK policy?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 xml:space="preserve">If MO </w:t>
            </w:r>
            <w:r>
              <w:rPr>
                <w:i/>
                <w:sz w:val="18"/>
              </w:rPr>
              <w:t>built</w:t>
            </w:r>
            <w:r>
              <w:rPr>
                <w:sz w:val="18"/>
              </w:rPr>
              <w:t xml:space="preserve"> product X, what could UK policy do with it?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Bibliography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MO's own publications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External reading list (proof the approach works elsewhere)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Summary section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Summary of MO research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The evidence base for the prospective product</w:t>
            </w:r>
          </w:p>
        </w:tc>
      </w:tr>
      <w:tr>
        <w:tc>
          <w:tcPr>
            <w:tcW w:type="dxa" w:w="3213"/>
          </w:tcPr>
          <w:p>
            <w:r>
              <w:rPr>
                <w:rFonts w:ascii="Consolas" w:hAnsi="Consolas"/>
                <w:sz w:val="18"/>
              </w:rPr>
              <w:t>references_primary</w:t>
            </w:r>
            <w:r>
              <w:rPr>
                <w:sz w:val="18"/>
              </w:rPr>
              <w:t xml:space="preserve"> label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"Met Office research (from bibliography)"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"Evidence base (external literature)"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Second axis (</w:t>
            </w:r>
            <w:r>
              <w:rPr>
                <w:rFonts w:ascii="Consolas" w:hAnsi="Consolas"/>
                <w:sz w:val="18"/>
              </w:rPr>
              <w:t>status_axis</w:t>
            </w:r>
            <w:r>
              <w:rPr>
                <w:sz w:val="18"/>
              </w:rPr>
              <w:t>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Status</w:t>
            </w:r>
            <w:r>
              <w:rPr>
                <w:sz w:val="18"/>
              </w:rPr>
              <w:t xml:space="preserve">: Current / Opportunity (is MO science </w:t>
            </w:r>
            <w:r>
              <w:rPr>
                <w:i/>
                <w:sz w:val="18"/>
              </w:rPr>
              <w:t>already used</w:t>
            </w:r>
            <w:r>
              <w:rPr>
                <w:sz w:val="18"/>
              </w:rPr>
              <w:t xml:space="preserve"> here?)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Maturity</w:t>
            </w:r>
            <w:r>
              <w:rPr>
                <w:sz w:val="18"/>
              </w:rPr>
              <w:t xml:space="preserve">: Demonstrated / Emerging / Conceptual (how </w:t>
            </w:r>
            <w:r>
              <w:rPr>
                <w:i/>
                <w:sz w:val="18"/>
              </w:rPr>
              <w:t>proven</w:t>
            </w:r>
            <w:r>
              <w:rPr>
                <w:sz w:val="18"/>
              </w:rPr>
              <w:t xml:space="preserve"> is the application?)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Relevance axis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unchanged — materiality 1–3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unchanged — materiality 1–3</w:t>
            </w:r>
          </w:p>
        </w:tc>
      </w:tr>
    </w:tbl>
    <w:p/>
    <w:p>
      <w:r>
        <w:rPr/>
        <w:t xml:space="preserve">Why the second axis must change: in gap mode nothing is "Current" (the product doesn't exist), so the realisation axis is empty and useless. Replace it with one that </w:t>
      </w:r>
      <w:r>
        <w:rPr>
          <w:i/>
        </w:rPr>
        <w:t>discriminates between prospective applications</w:t>
      </w:r>
      <w:r>
        <w:rPr/>
        <w:t xml:space="preserve"> — Maturity is the natural choice (how proven elsewhere, hence how near-term). The kit makes this a config block (</w:t>
      </w:r>
      <w:r>
        <w:rPr>
          <w:rFonts w:ascii="Consolas" w:hAnsi="Consolas"/>
        </w:rPr>
        <w:t>status_axis: {label, values}</w:t>
      </w:r>
      <w:r>
        <w:rPr/>
        <w:t xml:space="preserve">), so switching mode is editing YAML, not code. See </w:t>
      </w:r>
      <w:r>
        <w:rPr>
          <w:rFonts w:ascii="Consolas" w:hAnsi="Consolas"/>
        </w:rPr>
        <w:t>TEMPLATE_applied.yaml</w:t>
      </w:r>
      <w:r>
        <w:rPr/>
        <w:t xml:space="preserve"> (applied) and </w:t>
      </w:r>
      <w:r>
        <w:rPr>
          <w:rFonts w:ascii="Consolas" w:hAnsi="Consolas"/>
        </w:rPr>
        <w:t>TEMPLATE_gap.yaml</w:t>
      </w:r>
      <w:r>
        <w:rPr/>
        <w:t xml:space="preserve"> (gap) for both.</w:t>
      </w:r>
    </w:p>
    <w:p>
      <w:r>
        <w:rPr/>
        <w:t xml:space="preserve">Other valid second axes you may define instead of Maturity — e.g. </w:t>
      </w:r>
      <w:r>
        <w:rPr>
          <w:b/>
        </w:rPr>
        <w:t>Policy pull</w:t>
      </w:r>
      <w:r>
        <w:rPr/>
        <w:t xml:space="preserve"> (Explicit / Implicit / Latent demand) or </w:t>
      </w:r>
      <w:r>
        <w:rPr>
          <w:b/>
        </w:rPr>
        <w:t>Feasibility</w:t>
      </w:r>
      <w:r>
        <w:rPr/>
        <w:t xml:space="preserve"> (how readily MO could deliver it). Pick one axis and keep it constant within a report. Whatever you choose, keep </w:t>
      </w:r>
      <w:r>
        <w:rPr>
          <w:b/>
        </w:rPr>
        <w:t>Relevance = materiality</w:t>
      </w:r>
      <w:r>
        <w:rPr/>
        <w:t xml:space="preserve"> so reports stay comparable on the primary axis.</w:t>
      </w:r>
    </w:p>
    <w:p>
      <w:pPr>
        <w:pStyle w:val="Heading2"/>
      </w:pPr>
      <w:r>
        <w:rPr/>
        <w:t>4. Rules (carried over from the workbook discipline)</w:t>
      </w:r>
    </w:p>
    <w:p>
      <w:pPr>
        <w:pStyle w:val="ListBullet"/>
      </w:pPr>
      <w:r>
        <w:rPr>
          <w:b/>
        </w:rPr>
        <w:t>British English</w:t>
      </w:r>
      <w:r>
        <w:rPr/>
        <w:t xml:space="preserve"> throughout; metric units.</w:t>
      </w:r>
    </w:p>
    <w:p>
      <w:pPr>
        <w:pStyle w:val="ListBullet"/>
      </w:pPr>
      <w:r>
        <w:rPr>
          <w:b/>
        </w:rPr>
        <w:t>Verify before writing</w:t>
      </w:r>
      <w:r>
        <w:rPr/>
        <w:t>: dates, statuses, URLs checked against official sources.</w:t>
      </w:r>
    </w:p>
    <w:p>
      <w:pPr>
        <w:pStyle w:val="ListBullet"/>
      </w:pPr>
      <w:r>
        <w:rPr>
          <w:b/>
        </w:rPr>
        <w:t>Blank over guess</w:t>
      </w:r>
      <w:r>
        <w:rPr/>
        <w:t>: leave a field empty rather than inserting a presumptive value.</w:t>
      </w:r>
    </w:p>
    <w:p>
      <w:pPr>
        <w:pStyle w:val="ListBullet"/>
      </w:pPr>
      <w:r>
        <w:rPr>
          <w:b/>
        </w:rPr>
        <w:t>State confidence / inference</w:t>
      </w:r>
      <w:r>
        <w:rPr/>
        <w:t xml:space="preserve">: where a link is inferred rather than documented, say so (and it is almost always </w:t>
      </w:r>
      <w:r>
        <w:rPr>
          <w:rFonts w:ascii="Consolas" w:hAnsi="Consolas"/>
        </w:rPr>
        <w:t>Opportunity</w:t>
      </w:r>
      <w:r>
        <w:rPr/>
        <w:t xml:space="preserve">, often </w:t>
      </w:r>
      <w:r>
        <w:rPr>
          <w:rFonts w:ascii="Consolas" w:hAnsi="Consolas"/>
        </w:rPr>
        <w:t>Low</w:t>
      </w:r>
      <w:r>
        <w:rPr/>
        <w:t>).</w:t>
      </w:r>
    </w:p>
    <w:p>
      <w:pPr>
        <w:pStyle w:val="ListBullet"/>
      </w:pPr>
      <w:r>
        <w:rPr>
          <w:b/>
        </w:rPr>
        <w:t>No silent vocabulary additions</w:t>
      </w:r>
      <w:r>
        <w:rPr/>
        <w:t>: Relevance is 1–3; Status is Current/Opportunity. Don't invent new bands without flagging.</w:t>
      </w:r>
    </w:p>
    <w:p>
      <w:pPr>
        <w:pStyle w:val="ListBullet"/>
      </w:pPr>
      <w:r>
        <w:rPr>
          <w:b/>
        </w:rPr>
        <w:t>Dagger (†)</w:t>
      </w:r>
      <w:r>
        <w:rPr/>
        <w:t xml:space="preserve"> marks activities not held as records in the governance workbook.</w:t>
      </w:r>
    </w:p>
    <w:p>
      <w:pPr>
        <w:pStyle w:val="Heading2"/>
      </w:pPr>
      <w:r>
        <w:rPr/>
        <w:t>5. Document structure (fixed for comparability)</w:t>
      </w:r>
    </w:p>
    <w:p>
      <w:r>
        <w:rPr/>
        <w:t xml:space="preserve">Key points → Summary of MO research → Policy activities table (Relevance × Status) → Policy indicators (optional) → Methods → References (primary = MO research; other = sources + workbooks). Section order, headings and colours are set in the YAML </w:t>
      </w:r>
      <w:r>
        <w:rPr>
          <w:rFonts w:ascii="Consolas" w:hAnsi="Consolas"/>
        </w:rPr>
        <w:t>section_order</w:t>
      </w:r>
      <w:r>
        <w:rPr/>
        <w:t xml:space="preserve">, </w:t>
      </w:r>
      <w:r>
        <w:rPr>
          <w:rFonts w:ascii="Consolas" w:hAnsi="Consolas"/>
        </w:rPr>
        <w:t>labels</w:t>
      </w:r>
      <w:r>
        <w:rPr/>
        <w:t xml:space="preserve"> and </w:t>
      </w:r>
      <w:r>
        <w:rPr>
          <w:rFonts w:ascii="Consolas" w:hAnsi="Consolas"/>
        </w:rPr>
        <w:t>theme</w:t>
      </w:r>
      <w:r>
        <w:rPr/>
        <w:t>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55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B55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B556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B556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Method &amp; scoring specification</dc:title>
  <dc:subject>PA_toolkit/METHOD_AND_SCORING.md</dc:subject>
  <dc:creator>export_release.py</dc:creator>
  <cp:keywords>generated; do not edit</cp:keywords>
  <dc:description>036fe3308091f7eae9f0416f3d7ff90446d70ecd0f649549e820412e15700542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