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7"/>
        </w:rPr>
        <w:t>Generated from Management/PROJECT_HANDOVER_Nature_Climate_Indicators.md by Management/export_release.py. Do not edit this file: edit the Markdown source and re-run finalise.py.</w:t>
      </w:r>
    </w:p>
    <w:p>
      <w:pPr>
        <w:pStyle w:val="Heading1"/>
      </w:pPr>
      <w:r>
        <w:rPr/>
        <w:t>Nature Climate Indicators — project reference</w:t>
      </w:r>
    </w:p>
    <w:p>
      <w:r>
        <w:rPr>
          <w:b/>
        </w:rPr>
        <w:t>Current as of 6 October 2026</w:t>
      </w:r>
      <w:r>
        <w:rPr/>
        <w:t xml:space="preserve"> (workbooks UK governance v29, international v18, indicators v27). This document describes what exists, where it is and how to use it. It is not a history: settled decisions are not recorded here, only current state and genuinely unresolved work (§9).</w:t>
      </w:r>
    </w:p>
    <w:p>
      <w:r>
        <w:rPr/>
        <w:t xml:space="preserve">Every path is relative to the project root </w:t>
      </w:r>
      <w:r>
        <w:rPr>
          <w:rFonts w:ascii="Consolas" w:hAnsi="Consolas"/>
        </w:rPr>
        <w:t>MetOffice_cowork_indicators/</w:t>
      </w:r>
      <w:r>
        <w:rPr/>
        <w:t>.</w:t>
      </w:r>
    </w:p>
    <w:p>
      <w:pPr>
        <w:pBdr>
          <w:bottom w:val="single" w:sz="6" w:space="1" w:color="A0A8AD"/>
        </w:pBdr>
      </w:pPr>
    </w:p>
    <w:p>
      <w:pPr>
        <w:pStyle w:val="Heading2"/>
      </w:pPr>
      <w:r>
        <w:rPr/>
        <w:t>1. What this is for</w:t>
      </w:r>
    </w:p>
    <w:p>
      <w:r>
        <w:rPr/>
        <w:t>A Met Office science–policy knowledge base with three purposes:</w:t>
      </w:r>
    </w:p>
    <w:p>
      <w:pPr>
        <w:tabs>
          <w:tab w:pos="454" w:val="left"/>
        </w:tabs>
        <w:spacing w:after="60"/>
        <w:ind w:left="454" w:hanging="454"/>
      </w:pPr>
      <w:r>
        <w:rPr/>
        <w:t>1.</w:t>
        <w:tab/>
      </w:r>
      <w:r>
        <w:rPr>
          <w:b/>
        </w:rPr>
        <w:t>Catalogue nature-related indicators</w:t>
      </w:r>
      <w:r>
        <w:rPr/>
        <w:t xml:space="preserve"> used in UK government and international reporting — biodiversity, ecosystem services, climate change, state of the environment.</w:t>
      </w:r>
    </w:p>
    <w:p>
      <w:pPr>
        <w:tabs>
          <w:tab w:pos="454" w:val="left"/>
        </w:tabs>
        <w:spacing w:after="60"/>
        <w:ind w:left="454" w:hanging="454"/>
      </w:pPr>
      <w:r>
        <w:rPr/>
        <w:t>2.</w:t>
        <w:tab/>
      </w:r>
      <w:r>
        <w:rPr>
          <w:b/>
        </w:rPr>
        <w:t>Identify which indicators are, or could be, informed by climate data</w:t>
      </w:r>
      <w:r>
        <w:rPr/>
        <w:t>, and where more spatially explicit metrics would make better use of it.</w:t>
      </w:r>
    </w:p>
    <w:p>
      <w:pPr>
        <w:tabs>
          <w:tab w:pos="454" w:val="left"/>
        </w:tabs>
        <w:spacing w:after="60"/>
        <w:ind w:left="454" w:hanging="454"/>
      </w:pPr>
      <w:r>
        <w:rPr/>
        <w:t>3.</w:t>
        <w:tab/>
      </w:r>
      <w:r>
        <w:rPr>
          <w:b/>
        </w:rPr>
        <w:t>Produce standardised policy-assessment outputs</w:t>
      </w:r>
      <w:r>
        <w:rPr/>
        <w:t xml:space="preserve"> — a fixed method, scoring scheme and document structure so that assessments of different research fields, written months apart, remain comparable.</w:t>
      </w:r>
    </w:p>
    <w:p>
      <w:r>
        <w:rPr/>
        <w:t>The audience is Met Office scientists asking how climate data and science can better inform nature–climate policy.</w:t>
      </w:r>
    </w:p>
    <w:p>
      <w:pPr>
        <w:pBdr>
          <w:bottom w:val="single" w:sz="6" w:space="1" w:color="A0A8AD"/>
        </w:pBdr>
      </w:pPr>
    </w:p>
    <w:p>
      <w:pPr>
        <w:pStyle w:val="Heading2"/>
      </w:pPr>
      <w:r>
        <w:rPr/>
        <w:t>2. Repository layout</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Folder</w:t>
            </w:r>
          </w:p>
        </w:tc>
        <w:tc>
          <w:tcPr>
            <w:tcW w:type="dxa" w:w="4819"/>
            <w:shd w:val="clear" w:color="auto" w:fill="DCE6E8"/>
          </w:tcPr>
          <w:p>
            <w:r>
              <w:rPr>
                <w:b/>
                <w:sz w:val="18"/>
              </w:rPr>
              <w:t>Contents</w:t>
            </w:r>
          </w:p>
        </w:tc>
      </w:tr>
      <w:tr>
        <w:tc>
          <w:tcPr>
            <w:tcW w:type="dxa" w:w="4819"/>
          </w:tcPr>
          <w:p>
            <w:r>
              <w:rPr>
                <w:rFonts w:ascii="Consolas" w:hAnsi="Consolas"/>
                <w:sz w:val="18"/>
              </w:rPr>
              <w:t>Data/canonical_files/</w:t>
            </w:r>
          </w:p>
        </w:tc>
        <w:tc>
          <w:tcPr>
            <w:tcW w:type="dxa" w:w="4819"/>
          </w:tcPr>
          <w:p>
            <w:r>
              <w:rPr>
                <w:sz w:val="18"/>
              </w:rPr>
              <w:t>The three authoritative workbooks. Everything downstream derives from these.</w:t>
            </w:r>
          </w:p>
        </w:tc>
      </w:tr>
      <w:tr>
        <w:tc>
          <w:tcPr>
            <w:tcW w:type="dxa" w:w="4819"/>
          </w:tcPr>
          <w:p>
            <w:r>
              <w:rPr>
                <w:rFonts w:ascii="Consolas" w:hAnsi="Consolas"/>
                <w:sz w:val="18"/>
              </w:rPr>
              <w:t>Data/outdated_files/</w:t>
            </w:r>
          </w:p>
        </w:tc>
        <w:tc>
          <w:tcPr>
            <w:tcW w:type="dxa" w:w="4819"/>
          </w:tcPr>
          <w:p>
            <w:r>
              <w:rPr>
                <w:sz w:val="18"/>
              </w:rPr>
              <w:t>Archived superseded workbook and dashboard versions.</w:t>
            </w:r>
          </w:p>
        </w:tc>
      </w:tr>
      <w:tr>
        <w:tc>
          <w:tcPr>
            <w:tcW w:type="dxa" w:w="4819"/>
          </w:tcPr>
          <w:p>
            <w:r>
              <w:rPr>
                <w:rFonts w:ascii="Consolas" w:hAnsi="Consolas"/>
                <w:sz w:val="18"/>
              </w:rPr>
              <w:t>Data/code/</w:t>
            </w:r>
          </w:p>
        </w:tc>
        <w:tc>
          <w:tcPr>
            <w:tcW w:type="dxa" w:w="4819"/>
          </w:tcPr>
          <w:p>
            <w:r>
              <w:rPr>
                <w:sz w:val="18"/>
              </w:rPr>
              <w:t>Workbook integrity tools.</w:t>
            </w:r>
          </w:p>
        </w:tc>
      </w:tr>
      <w:tr>
        <w:tc>
          <w:tcPr>
            <w:tcW w:type="dxa" w:w="4819"/>
          </w:tcPr>
          <w:p>
            <w:r>
              <w:rPr>
                <w:rFonts w:ascii="Consolas" w:hAnsi="Consolas"/>
                <w:sz w:val="18"/>
              </w:rPr>
              <w:t>Data/pending_additions.md</w:t>
            </w:r>
          </w:p>
        </w:tc>
        <w:tc>
          <w:tcPr>
            <w:tcW w:type="dxa" w:w="4819"/>
          </w:tcPr>
          <w:p>
            <w:r>
              <w:rPr>
                <w:sz w:val="18"/>
              </w:rPr>
              <w:t>Standing queue of candidate records found but not yet written.</w:t>
            </w:r>
          </w:p>
        </w:tc>
      </w:tr>
      <w:tr>
        <w:tc>
          <w:tcPr>
            <w:tcW w:type="dxa" w:w="4819"/>
          </w:tcPr>
          <w:p>
            <w:r>
              <w:rPr>
                <w:rFonts w:ascii="Consolas" w:hAnsi="Consolas"/>
                <w:sz w:val="18"/>
              </w:rPr>
              <w:t>Data/CANONICAL_FILES_GUIDE.md</w:t>
            </w:r>
          </w:p>
        </w:tc>
        <w:tc>
          <w:tcPr>
            <w:tcW w:type="dxa" w:w="4819"/>
          </w:tcPr>
          <w:p>
            <w:r>
              <w:rPr>
                <w:sz w:val="18"/>
              </w:rPr>
              <w:t>Short guide to the three workbooks: contents, linking, versions and archives, reading and changing them.</w:t>
            </w:r>
          </w:p>
        </w:tc>
      </w:tr>
      <w:tr>
        <w:tc>
          <w:tcPr>
            <w:tcW w:type="dxa" w:w="4819"/>
          </w:tcPr>
          <w:p>
            <w:r>
              <w:rPr>
                <w:rFonts w:ascii="Consolas" w:hAnsi="Consolas"/>
                <w:sz w:val="18"/>
              </w:rPr>
              <w:t>Dashboards/</w:t>
            </w:r>
          </w:p>
        </w:tc>
        <w:tc>
          <w:tcPr>
            <w:tcW w:type="dxa" w:w="4819"/>
          </w:tcPr>
          <w:p>
            <w:r>
              <w:rPr>
                <w:sz w:val="18"/>
              </w:rPr>
              <w:t xml:space="preserve">The two generated HTML dashboards; </w:t>
            </w:r>
            <w:r>
              <w:rPr>
                <w:rFonts w:ascii="Consolas" w:hAnsi="Consolas"/>
                <w:sz w:val="18"/>
              </w:rPr>
              <w:t>code/</w:t>
            </w:r>
            <w:r>
              <w:rPr>
                <w:sz w:val="18"/>
              </w:rPr>
              <w:t xml:space="preserve"> holds their build scripts.</w:t>
            </w:r>
          </w:p>
        </w:tc>
      </w:tr>
      <w:tr>
        <w:tc>
          <w:tcPr>
            <w:tcW w:type="dxa" w:w="4819"/>
          </w:tcPr>
          <w:p>
            <w:r>
              <w:rPr>
                <w:rFonts w:ascii="Consolas" w:hAnsi="Consolas"/>
                <w:sz w:val="18"/>
              </w:rPr>
              <w:t>PA_toolkit/</w:t>
            </w:r>
          </w:p>
        </w:tc>
        <w:tc>
          <w:tcPr>
            <w:tcW w:type="dxa" w:w="4819"/>
          </w:tcPr>
          <w:p>
            <w:r>
              <w:rPr>
                <w:sz w:val="18"/>
              </w:rPr>
              <w:t>The policy-assessment toolkit — everything needed to run a new assessment.</w:t>
            </w:r>
          </w:p>
        </w:tc>
      </w:tr>
      <w:tr>
        <w:tc>
          <w:tcPr>
            <w:tcW w:type="dxa" w:w="4819"/>
          </w:tcPr>
          <w:p>
            <w:r>
              <w:rPr>
                <w:rFonts w:ascii="Consolas" w:hAnsi="Consolas"/>
                <w:sz w:val="18"/>
              </w:rPr>
              <w:t>Management/</w:t>
            </w:r>
          </w:p>
        </w:tc>
        <w:tc>
          <w:tcPr>
            <w:tcW w:type="dxa" w:w="4819"/>
          </w:tcPr>
          <w:p>
            <w:r>
              <w:rPr>
                <w:sz w:val="18"/>
              </w:rPr>
              <w:t xml:space="preserve">This document, the release gate, the export writer, and </w:t>
            </w:r>
            <w:r>
              <w:rPr>
                <w:rFonts w:ascii="Consolas" w:hAnsi="Consolas"/>
                <w:sz w:val="18"/>
              </w:rPr>
              <w:t>protocols/</w:t>
            </w:r>
            <w:r>
              <w:rPr>
                <w:sz w:val="18"/>
              </w:rPr>
              <w:t>.</w:t>
            </w:r>
          </w:p>
        </w:tc>
      </w:tr>
      <w:tr>
        <w:tc>
          <w:tcPr>
            <w:tcW w:type="dxa" w:w="4819"/>
          </w:tcPr>
          <w:p>
            <w:r>
              <w:rPr>
                <w:rFonts w:ascii="Consolas" w:hAnsi="Consolas"/>
                <w:sz w:val="18"/>
              </w:rPr>
              <w:t>Exports/</w:t>
            </w:r>
          </w:p>
        </w:tc>
        <w:tc>
          <w:tcPr>
            <w:tcW w:type="dxa" w:w="4819"/>
          </w:tcPr>
          <w:p>
            <w:r>
              <w:rPr>
                <w:b/>
                <w:sz w:val="18"/>
              </w:rPr>
              <w:t>Generated, never edited.</w:t>
            </w:r>
            <w:r>
              <w:rPr>
                <w:sz w:val="18"/>
              </w:rPr>
              <w:t xml:space="preserve"> Written by </w:t>
            </w:r>
            <w:r>
              <w:rPr>
                <w:rFonts w:ascii="Consolas" w:hAnsi="Consolas"/>
                <w:sz w:val="18"/>
              </w:rPr>
              <w:t>export_release.py</w:t>
            </w:r>
            <w:r>
              <w:rPr>
                <w:sz w:val="18"/>
              </w:rPr>
              <w:t xml:space="preserve"> at each release.</w:t>
            </w:r>
          </w:p>
        </w:tc>
      </w:tr>
      <w:tr>
        <w:tc>
          <w:tcPr>
            <w:tcW w:type="dxa" w:w="4819"/>
          </w:tcPr>
          <w:p>
            <w:r>
              <w:rPr>
                <w:rFonts w:ascii="Consolas" w:hAnsi="Consolas"/>
                <w:sz w:val="18"/>
              </w:rPr>
              <w:t>outputs_other/</w:t>
            </w:r>
          </w:p>
        </w:tc>
        <w:tc>
          <w:tcPr>
            <w:tcW w:type="dxa" w:w="4819"/>
          </w:tcPr>
          <w:p>
            <w:r>
              <w:rPr>
                <w:sz w:val="18"/>
              </w:rPr>
              <w:t xml:space="preserve">Analysis by-products and method records: </w:t>
            </w:r>
            <w:r>
              <w:rPr>
                <w:rFonts w:ascii="Consolas" w:hAnsi="Consolas"/>
                <w:sz w:val="18"/>
              </w:rPr>
              <w:t>CLIMATE_SCORE_METHOD.md</w:t>
            </w:r>
            <w:r>
              <w:rPr>
                <w:sz w:val="18"/>
              </w:rPr>
              <w:t xml:space="preserve"> and the v27 harmonisation review, the export scoping note, MCCIP draft, orphan-code analysis, policy-scan notes and triage workbooks.</w:t>
            </w:r>
          </w:p>
        </w:tc>
      </w:tr>
      <w:tr>
        <w:tc>
          <w:tcPr>
            <w:tcW w:type="dxa" w:w="4819"/>
          </w:tcPr>
          <w:p>
            <w:r>
              <w:rPr>
                <w:rFonts w:ascii="Consolas" w:hAnsi="Consolas"/>
                <w:sz w:val="18"/>
              </w:rPr>
              <w:t>presentations/</w:t>
            </w:r>
          </w:p>
        </w:tc>
        <w:tc>
          <w:tcPr>
            <w:tcW w:type="dxa" w:w="4819"/>
          </w:tcPr>
          <w:p>
            <w:r>
              <w:rPr>
                <w:sz w:val="18"/>
              </w:rPr>
              <w:t>Slide decks.</w:t>
            </w:r>
          </w:p>
        </w:tc>
      </w:tr>
      <w:tr>
        <w:tc>
          <w:tcPr>
            <w:tcW w:type="dxa" w:w="4819"/>
          </w:tcPr>
          <w:p>
            <w:r>
              <w:rPr>
                <w:rFonts w:ascii="Consolas" w:hAnsi="Consolas"/>
                <w:sz w:val="18"/>
              </w:rPr>
              <w:t>Copilot_setup/</w:t>
            </w:r>
          </w:p>
        </w:tc>
        <w:tc>
          <w:tcPr>
            <w:tcW w:type="dxa" w:w="4819"/>
          </w:tcPr>
          <w:p>
            <w:r>
              <w:rPr>
                <w:sz w:val="18"/>
              </w:rPr>
              <w:t>The GitHub Copilot configuration (</w:t>
            </w:r>
            <w:r>
              <w:rPr>
                <w:rFonts w:ascii="Consolas" w:hAnsi="Consolas"/>
                <w:sz w:val="18"/>
              </w:rPr>
              <w:t>AGENTS.md</w:t>
            </w:r>
            <w:r>
              <w:rPr>
                <w:sz w:val="18"/>
              </w:rPr>
              <w:t xml:space="preserve">, </w:t>
            </w:r>
            <w:r>
              <w:rPr>
                <w:rFonts w:ascii="Consolas" w:hAnsi="Consolas"/>
                <w:sz w:val="18"/>
              </w:rPr>
              <w:t>.github/</w:t>
            </w:r>
            <w:r>
              <w:rPr>
                <w:sz w:val="18"/>
              </w:rPr>
              <w:t>), staged for installation at the repository root (§6.1).</w:t>
            </w:r>
          </w:p>
        </w:tc>
      </w:tr>
    </w:tbl>
    <w:p/>
    <w:p>
      <w:pPr>
        <w:pBdr>
          <w:bottom w:val="single" w:sz="6" w:space="1" w:color="A0A8AD"/>
        </w:pBdr>
      </w:pPr>
    </w:p>
    <w:p>
      <w:pPr>
        <w:pStyle w:val="Heading2"/>
      </w:pPr>
      <w:r>
        <w:rPr/>
        <w:t>3. The canonical workbooks</w:t>
      </w:r>
    </w:p>
    <w:p>
      <w:r>
        <w:rPr/>
        <w:t xml:space="preserve">Three interlinked Excel workbooks with </w:t>
      </w:r>
      <w:r>
        <w:rPr>
          <w:b/>
        </w:rPr>
        <w:t>stable filenames</w:t>
      </w:r>
      <w:r>
        <w:rPr/>
        <w:t xml:space="preserve">. The version integer lives inside each workbook at </w:t>
      </w:r>
      <w:r>
        <w:rPr>
          <w:rFonts w:ascii="Consolas" w:hAnsi="Consolas"/>
        </w:rPr>
        <w:t>Changelog!B2</w:t>
      </w:r>
      <w:r>
        <w:rPr/>
        <w:t xml:space="preserve"> — never in the filename. Superseded copies go to </w:t>
      </w:r>
      <w:r>
        <w:rPr>
          <w:rFonts w:ascii="Consolas" w:hAnsi="Consolas"/>
        </w:rPr>
        <w:t>Data/outdated_files/</w:t>
      </w:r>
      <w:r>
        <w:rPr/>
        <w:t xml:space="preserve"> as </w:t>
      </w:r>
      <w:r>
        <w:rPr>
          <w:rFonts w:ascii="Consolas" w:hAnsi="Consolas"/>
        </w:rPr>
        <w:t>&lt;name&gt;_vN_superseded_&lt;date&gt;.xlsx</w:t>
      </w:r>
      <w:r>
        <w:rPr/>
        <w:t>.</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r>
              <w:rPr>
                <w:b/>
                <w:sz w:val="18"/>
              </w:rPr>
              <w:t>Role</w:t>
            </w:r>
          </w:p>
        </w:tc>
        <w:tc>
          <w:tcPr>
            <w:tcW w:type="dxa" w:w="3213"/>
            <w:shd w:val="clear" w:color="auto" w:fill="DCE6E8"/>
          </w:tcPr>
          <w:p>
            <w:r>
              <w:rPr>
                <w:b/>
                <w:sz w:val="18"/>
              </w:rPr>
              <w:t>Filename</w:t>
            </w:r>
          </w:p>
        </w:tc>
        <w:tc>
          <w:tcPr>
            <w:tcW w:type="dxa" w:w="3213"/>
            <w:shd w:val="clear" w:color="auto" w:fill="DCE6E8"/>
          </w:tcPr>
          <w:p>
            <w:r>
              <w:rPr>
                <w:b/>
                <w:sz w:val="18"/>
              </w:rPr>
              <w:t>Version</w:t>
            </w:r>
          </w:p>
        </w:tc>
      </w:tr>
      <w:tr>
        <w:tc>
          <w:tcPr>
            <w:tcW w:type="dxa" w:w="3213"/>
          </w:tcPr>
          <w:p>
            <w:r>
              <w:rPr>
                <w:sz w:val="18"/>
              </w:rPr>
              <w:t>UK governance</w:t>
            </w:r>
          </w:p>
        </w:tc>
        <w:tc>
          <w:tcPr>
            <w:tcW w:type="dxa" w:w="3213"/>
          </w:tcPr>
          <w:p>
            <w:r>
              <w:rPr>
                <w:rFonts w:ascii="Consolas" w:hAnsi="Consolas"/>
                <w:sz w:val="18"/>
              </w:rPr>
              <w:t>uk_climate_nature_governance.xlsx</w:t>
            </w:r>
          </w:p>
        </w:tc>
        <w:tc>
          <w:tcPr>
            <w:tcW w:type="dxa" w:w="3213"/>
          </w:tcPr>
          <w:p>
            <w:r>
              <w:rPr>
                <w:b/>
                <w:sz w:val="18"/>
              </w:rPr>
              <w:t>v29</w:t>
            </w:r>
            <w:r>
              <w:rPr>
                <w:sz w:val="18"/>
              </w:rPr>
              <w:t xml:space="preserve"> (2026-10-06)</w:t>
            </w:r>
          </w:p>
        </w:tc>
      </w:tr>
      <w:tr>
        <w:tc>
          <w:tcPr>
            <w:tcW w:type="dxa" w:w="3213"/>
          </w:tcPr>
          <w:p>
            <w:r>
              <w:rPr>
                <w:sz w:val="18"/>
              </w:rPr>
              <w:t>International governance</w:t>
            </w:r>
          </w:p>
        </w:tc>
        <w:tc>
          <w:tcPr>
            <w:tcW w:type="dxa" w:w="3213"/>
          </w:tcPr>
          <w:p>
            <w:r>
              <w:rPr>
                <w:rFonts w:ascii="Consolas" w:hAnsi="Consolas"/>
                <w:sz w:val="18"/>
              </w:rPr>
              <w:t>international_climate_nature_governance.xlsx</w:t>
            </w:r>
          </w:p>
        </w:tc>
        <w:tc>
          <w:tcPr>
            <w:tcW w:type="dxa" w:w="3213"/>
          </w:tcPr>
          <w:p>
            <w:r>
              <w:rPr>
                <w:b/>
                <w:sz w:val="18"/>
              </w:rPr>
              <w:t>v18</w:t>
            </w:r>
            <w:r>
              <w:rPr>
                <w:sz w:val="18"/>
              </w:rPr>
              <w:t xml:space="preserve"> (2026-10-06)</w:t>
            </w:r>
          </w:p>
        </w:tc>
      </w:tr>
      <w:tr>
        <w:tc>
          <w:tcPr>
            <w:tcW w:type="dxa" w:w="3213"/>
          </w:tcPr>
          <w:p>
            <w:r>
              <w:rPr>
                <w:sz w:val="18"/>
              </w:rPr>
              <w:t>Indicators</w:t>
            </w:r>
          </w:p>
        </w:tc>
        <w:tc>
          <w:tcPr>
            <w:tcW w:type="dxa" w:w="3213"/>
          </w:tcPr>
          <w:p>
            <w:r>
              <w:rPr>
                <w:rFonts w:ascii="Consolas" w:hAnsi="Consolas"/>
                <w:sz w:val="18"/>
              </w:rPr>
              <w:t>indicators_climate_nature.xlsx</w:t>
            </w:r>
          </w:p>
        </w:tc>
        <w:tc>
          <w:tcPr>
            <w:tcW w:type="dxa" w:w="3213"/>
          </w:tcPr>
          <w:p>
            <w:r>
              <w:rPr>
                <w:b/>
                <w:sz w:val="18"/>
              </w:rPr>
              <w:t>v27</w:t>
            </w:r>
            <w:r>
              <w:rPr>
                <w:sz w:val="18"/>
              </w:rPr>
              <w:t xml:space="preserve"> (2026-09-28)</w:t>
            </w:r>
          </w:p>
        </w:tc>
      </w:tr>
    </w:tbl>
    <w:p/>
    <w:p>
      <w:r>
        <w:rPr/>
        <w:t xml:space="preserve">UK governance holds 49 </w:t>
      </w:r>
      <w:r>
        <w:rPr>
          <w:rFonts w:ascii="Consolas" w:hAnsi="Consolas"/>
        </w:rPr>
        <w:t>ORG</w:t>
      </w:r>
      <w:r>
        <w:rPr/>
        <w:t xml:space="preserve">, 69 </w:t>
      </w:r>
      <w:r>
        <w:rPr>
          <w:rFonts w:ascii="Consolas" w:hAnsi="Consolas"/>
        </w:rPr>
        <w:t>LEG</w:t>
      </w:r>
      <w:r>
        <w:rPr/>
        <w:t xml:space="preserve"> and 109 </w:t>
      </w:r>
      <w:r>
        <w:rPr>
          <w:rFonts w:ascii="Consolas" w:hAnsi="Consolas"/>
        </w:rPr>
        <w:t>POL</w:t>
      </w:r>
      <w:r>
        <w:rPr/>
        <w:t xml:space="preserve"> records (highest IDs ORG-049, LEG-071, POL-111; POL-023, POL-024, LEG-008 and LEG-009 retired).</w:t>
      </w:r>
    </w:p>
    <w:p>
      <w:r>
        <w:rPr>
          <w:b/>
        </w:rPr>
        <w:t>Indicator content: 985 records</w:t>
      </w:r>
      <w:r>
        <w:rPr/>
        <w:t xml:space="preserve"> across nine framework sheets and </w:t>
      </w:r>
      <w:r>
        <w:rPr>
          <w:b/>
        </w:rPr>
        <w:t>eleven register frameworks</w:t>
      </w:r>
      <w:r>
        <w:rPr/>
        <w:t xml:space="preserve"> — EIF 66, CCC 149, JNCC UKBI 77, SoN 2023 32, EEA 62, BIP 81, IPBES 143, CBD GBF 202, UN SDG 173. The CCC sheet carries three frameworks: [IFW-02] Mitigation Monitoring Framework (79), [IFW-10] Adaptation Monitoring Framework 2026 (38 proposed targets, IND-C-147 to IND-C-184, added v23) and [IFW-11] Adaptation Monitoring Framework 2023–2025, superseded but retained (32). The figure was 947 until v23; documents citing 947 predate it.</w:t>
      </w:r>
    </w:p>
    <w:p>
      <w:pPr>
        <w:pStyle w:val="IntenseQuote"/>
      </w:pPr>
      <w:r>
        <w:rPr/>
        <w:t xml:space="preserve">⚠ </w:t>
      </w:r>
      <w:r>
        <w:rPr>
          <w:b/>
        </w:rPr>
        <w:t>Counting trap.</w:t>
      </w:r>
      <w:r>
        <w:rPr/>
        <w:t xml:space="preserve"> A naive count of non-empty </w:t>
      </w:r>
      <w:r>
        <w:rPr>
          <w:rFonts w:ascii="Consolas" w:hAnsi="Consolas"/>
        </w:rPr>
        <w:t>Record_ID</w:t>
      </w:r>
      <w:r>
        <w:rPr/>
        <w:t xml:space="preserve"> returns </w:t>
      </w:r>
      <w:r>
        <w:rPr>
          <w:b/>
        </w:rPr>
        <w:t>989</w:t>
      </w:r>
      <w:r>
        <w:rPr/>
        <w:t>. The CBD GBF sheet carries four section-banner rows (</w:t>
      </w:r>
      <w:r>
        <w:rPr>
          <w:rFonts w:ascii="Consolas" w:hAnsi="Consolas"/>
        </w:rPr>
        <w:t>▌ HEADLINE INDICATORS…</w:t>
      </w:r>
      <w:r>
        <w:rPr/>
        <w:t xml:space="preserve"> and three more) whose divider text sits in the </w:t>
      </w:r>
      <w:r>
        <w:rPr>
          <w:rFonts w:ascii="Consolas" w:hAnsi="Consolas"/>
        </w:rPr>
        <w:t>Record_ID</w:t>
      </w:r>
      <w:r>
        <w:rPr/>
        <w:t xml:space="preserve"> column with no </w:t>
      </w:r>
      <w:r>
        <w:rPr>
          <w:rFonts w:ascii="Consolas" w:hAnsi="Consolas"/>
        </w:rPr>
        <w:t>Indicator_Name</w:t>
      </w:r>
      <w:r>
        <w:rPr/>
        <w:t xml:space="preserve">. </w:t>
      </w:r>
      <w:r>
        <w:rPr>
          <w:b/>
        </w:rPr>
        <w:t xml:space="preserve">Any script counting indicators must require a non-empty </w:t>
      </w:r>
      <w:r>
        <w:rPr>
          <w:rFonts w:ascii="Consolas" w:hAnsi="Consolas"/>
          <w:b/>
        </w:rPr>
        <w:t>Indicator_Name</w:t>
      </w:r>
      <w:r>
        <w:rPr>
          <w:b/>
        </w:rPr>
        <w:t>.</w:t>
      </w:r>
    </w:p>
    <w:p>
      <w:r>
        <w:rPr>
          <w:b/>
        </w:rPr>
        <w:t>Integrity.</w:t>
      </w:r>
      <w:r>
        <w:rPr/>
        <w:t xml:space="preserve"> </w:t>
      </w:r>
      <w:r>
        <w:rPr>
          <w:rFonts w:ascii="Consolas" w:hAnsi="Consolas"/>
        </w:rPr>
        <w:t>check_links.py</w:t>
      </w:r>
      <w:r>
        <w:rPr/>
        <w:t xml:space="preserve"> validates every bracketed </w:t>
      </w:r>
      <w:r>
        <w:rPr>
          <w:rFonts w:ascii="Consolas" w:hAnsi="Consolas"/>
        </w:rPr>
        <w:t>[CODE]</w:t>
      </w:r>
      <w:r>
        <w:rPr/>
        <w:t xml:space="preserve"> against a registry of </w:t>
      </w:r>
      <w:r>
        <w:rPr>
          <w:b/>
        </w:rPr>
        <w:t>1,186</w:t>
      </w:r>
      <w:r>
        <w:rPr/>
        <w:t xml:space="preserve"> Record_IDs / Framework_IDs and enforces six invariants (the sixth, added September 2026, validates every </w:t>
      </w:r>
      <w:r>
        <w:rPr>
          <w:rFonts w:ascii="Consolas" w:hAnsi="Consolas"/>
        </w:rPr>
        <w:t>Controlled</w:t>
      </w:r>
      <w:r>
        <w:rPr/>
        <w:t xml:space="preserve"> column against the values declared in the Data Dictionary). It must pass clean before any version is finalised. It is sufficient for referential integrity because the workbooks contain </w:t>
      </w:r>
      <w:r>
        <w:rPr>
          <w:b/>
        </w:rPr>
        <w:t>no formula cells</w:t>
      </w:r>
      <w:r>
        <w:rPr/>
        <w:t xml:space="preserve"> — every value is static. It cannot tell whether a URL opens the instrument a record names: that is </w:t>
      </w:r>
      <w:r>
        <w:rPr>
          <w:rFonts w:ascii="Consolas" w:hAnsi="Consolas"/>
        </w:rPr>
        <w:t>check_legislation_links.py</w:t>
      </w:r>
      <w:r>
        <w:rPr/>
        <w:t xml:space="preserve">, the second automated check (§6). Keep it that way: all build scripts read with </w:t>
      </w:r>
      <w:r>
        <w:rPr>
          <w:rFonts w:ascii="Consolas" w:hAnsi="Consolas"/>
        </w:rPr>
        <w:t>data_only=True</w:t>
      </w:r>
      <w:r>
        <w:rPr/>
        <w:t>, and openpyxl does not compute formulas.</w:t>
      </w:r>
    </w:p>
    <w:p>
      <w:r>
        <w:rPr>
          <w:b/>
        </w:rPr>
        <w:t xml:space="preserve">The </w:t>
      </w:r>
      <w:r>
        <w:rPr>
          <w:rFonts w:ascii="Consolas" w:hAnsi="Consolas"/>
          <w:b/>
        </w:rPr>
        <w:t>Cross-Reference Index</w:t>
      </w:r>
      <w:r>
        <w:rPr>
          <w:b/>
        </w:rPr>
        <w:t xml:space="preserve"> sheet in each governance workbook is derived.</w:t>
      </w:r>
      <w:r>
        <w:rPr/>
        <w:t xml:space="preserve"> </w:t>
      </w:r>
      <w:r>
        <w:rPr>
          <w:rFonts w:ascii="Consolas" w:hAnsi="Consolas"/>
        </w:rPr>
        <w:t>rebuild_xref.py</w:t>
      </w:r>
      <w:r>
        <w:rPr/>
        <w:t xml:space="preserve"> regenerates it from the record sheets as step 1 of </w:t>
      </w:r>
      <w:r>
        <w:rPr>
          <w:rFonts w:ascii="Consolas" w:hAnsi="Consolas"/>
        </w:rPr>
        <w:t>finalise.py</w:t>
      </w:r>
      <w:r>
        <w:rPr/>
        <w:t>; hand edits are overwritten and nothing reads it.</w:t>
      </w:r>
    </w:p>
    <w:p>
      <w:r>
        <w:rPr>
          <w:b/>
        </w:rPr>
        <w:t xml:space="preserve">The </w:t>
      </w:r>
      <w:r>
        <w:rPr>
          <w:rFonts w:ascii="Consolas" w:hAnsi="Consolas"/>
          <w:b/>
        </w:rPr>
        <w:t>Data Dictionary</w:t>
      </w:r>
      <w:r>
        <w:rPr>
          <w:b/>
        </w:rPr>
        <w:t xml:space="preserve"> sheet documents the current schema only.</w:t>
      </w:r>
      <w:r>
        <w:rPr/>
        <w:t xml:space="preserve"> It carries no history. When a column is added, renamed, re-scoped or removed, edit or delete its row in place; version history belongs in </w:t>
      </w:r>
      <w:r>
        <w:rPr>
          <w:rFonts w:ascii="Consolas" w:hAnsi="Consolas"/>
        </w:rPr>
        <w:t>Changelog</w:t>
      </w:r>
      <w:r>
        <w:rPr/>
        <w:t>. The rule is stated in row 2 of the sheet itself.</w:t>
      </w:r>
    </w:p>
    <w:p>
      <w:pPr>
        <w:pStyle w:val="Heading3"/>
      </w:pPr>
      <w:r>
        <w:rPr/>
        <w:t>Sheet structure worth knowing</w:t>
      </w:r>
    </w:p>
    <w:p>
      <w:pPr>
        <w:pStyle w:val="ListBullet"/>
      </w:pPr>
      <w:r>
        <w:rPr>
          <w:rFonts w:ascii="Consolas" w:hAnsi="Consolas"/>
          <w:b/>
        </w:rPr>
        <w:t>Indicator Framework</w:t>
      </w:r>
      <w:r>
        <w:rPr/>
        <w:t xml:space="preserve"> — one row per framework (</w:t>
      </w:r>
      <w:r>
        <w:rPr>
          <w:rFonts w:ascii="Consolas" w:hAnsi="Consolas"/>
        </w:rPr>
        <w:t>IFW-01</w:t>
      </w:r>
      <w:r>
        <w:rPr/>
        <w:t>…</w:t>
      </w:r>
      <w:r>
        <w:rPr>
          <w:rFonts w:ascii="Consolas" w:hAnsi="Consolas"/>
        </w:rPr>
        <w:t>IFW-11</w:t>
      </w:r>
      <w:r>
        <w:rPr/>
        <w:t xml:space="preserve">; eleven rows over nine sheets). The finder joins indicator rows to this register on </w:t>
      </w:r>
      <w:r>
        <w:rPr>
          <w:rFonts w:ascii="Consolas" w:hAnsi="Consolas"/>
        </w:rPr>
        <w:t>Source_Framework</w:t>
      </w:r>
      <w:r>
        <w:rPr/>
        <w:t xml:space="preserve">, so a row's </w:t>
      </w:r>
      <w:r>
        <w:rPr>
          <w:rFonts w:ascii="Consolas" w:hAnsi="Consolas"/>
        </w:rPr>
        <w:t>Source_Framework</w:t>
      </w:r>
      <w:r>
        <w:rPr/>
        <w:t xml:space="preserve"> must match its register row exactly (§4). </w:t>
      </w:r>
      <w:r>
        <w:rPr>
          <w:rFonts w:ascii="Consolas" w:hAnsi="Consolas"/>
        </w:rPr>
        <w:t>Policy_Purpose</w:t>
      </w:r>
      <w:r>
        <w:rPr/>
        <w:t xml:space="preserve"> carries a prose statement of each framework's purpose and policy range, written from primary documentation. </w:t>
      </w:r>
      <w:r>
        <w:rPr>
          <w:rFonts w:ascii="Consolas" w:hAnsi="Consolas"/>
        </w:rPr>
        <w:t>Key_Instruments</w:t>
      </w:r>
      <w:r>
        <w:rPr/>
        <w:t xml:space="preserve"> holds bracketed governance codes </w:t>
      </w:r>
      <w:r>
        <w:rPr>
          <w:b/>
        </w:rPr>
        <w:t>only</w:t>
      </w:r>
      <w:r>
        <w:rPr/>
        <w:t xml:space="preserve"> for the instruments named in that purpose text: the body creating/hosting/using the framework, its statutory basis, and the key policies or international instruments it informs.</w:t>
      </w:r>
    </w:p>
    <w:p>
      <w:pPr>
        <w:pStyle w:val="ListBullet"/>
      </w:pPr>
      <w:r>
        <w:rPr>
          <w:b/>
        </w:rPr>
        <w:t>Nine framework sheets</w:t>
      </w:r>
      <w:r>
        <w:rPr/>
        <w:t xml:space="preserve"> — 15 columns common to all, plus framework-specific ones. See the Data Dictionary for the exhaustive list.</w:t>
      </w:r>
    </w:p>
    <w:p>
      <w:pPr>
        <w:pStyle w:val="ListBullet"/>
      </w:pPr>
      <w:r>
        <w:rPr>
          <w:b/>
        </w:rPr>
        <w:t>Three lookup sheets</w:t>
      </w:r>
      <w:r>
        <w:rPr/>
        <w:t xml:space="preserve"> — </w:t>
      </w:r>
      <w:r>
        <w:rPr>
          <w:rFonts w:ascii="Consolas" w:hAnsi="Consolas"/>
        </w:rPr>
        <w:t>GBF Target Lookup</w:t>
      </w:r>
      <w:r>
        <w:rPr/>
        <w:t xml:space="preserve"> (27 codes: 4 goals, 23 targets), </w:t>
      </w:r>
      <w:r>
        <w:rPr>
          <w:rFonts w:ascii="Consolas" w:hAnsi="Consolas"/>
        </w:rPr>
        <w:t>SDG Goal Lookup</w:t>
      </w:r>
      <w:r>
        <w:rPr/>
        <w:t xml:space="preserve"> (the 17 goals, goals only), </w:t>
      </w:r>
      <w:r>
        <w:rPr>
          <w:rFonts w:ascii="Consolas" w:hAnsi="Consolas"/>
        </w:rPr>
        <w:t>SDG Target Lookup</w:t>
      </w:r>
      <w:r>
        <w:rPr/>
        <w:t xml:space="preserve"> (129 of the 169 official targets — the environment-relevant subset; SDG-3, SDG-4, SDG-16 and SDG-5.1–5.6 are out of scope). All three carry </w:t>
      </w:r>
      <w:r>
        <w:rPr>
          <w:rFonts w:ascii="Consolas" w:hAnsi="Consolas"/>
        </w:rPr>
        <w:t>Short_Title</w:t>
      </w:r>
      <w:r>
        <w:rPr/>
        <w:t xml:space="preserve"> (curated, concise) and the official wording, plus a </w:t>
      </w:r>
      <w:r>
        <w:rPr>
          <w:rFonts w:ascii="Consolas" w:hAnsi="Consolas"/>
        </w:rPr>
        <w:t>Used_In_Workbook</w:t>
      </w:r>
      <w:r>
        <w:rPr/>
        <w:t xml:space="preserve"> flag recomputed from actual use.</w:t>
      </w:r>
    </w:p>
    <w:p>
      <w:pPr>
        <w:pStyle w:val="ListBullet"/>
      </w:pPr>
      <w:r>
        <w:rPr>
          <w:rFonts w:ascii="Consolas" w:hAnsi="Consolas"/>
          <w:b/>
        </w:rPr>
        <w:t>Legend</w:t>
      </w:r>
      <w:r>
        <w:rPr/>
        <w:t xml:space="preserve"> — the 0–3 </w:t>
      </w:r>
      <w:r>
        <w:rPr>
          <w:rFonts w:ascii="Consolas" w:hAnsi="Consolas"/>
        </w:rPr>
        <w:t>Climate_Score</w:t>
      </w:r>
      <w:r>
        <w:rPr/>
        <w:t xml:space="preserve"> scale, its core principle and Rules A–H.</w:t>
      </w:r>
    </w:p>
    <w:p>
      <w:pPr>
        <w:pStyle w:val="Heading3"/>
      </w:pPr>
      <w:r>
        <w:rPr/>
        <w:t>Climate_Score</w:t>
      </w:r>
    </w:p>
    <w:p>
      <w:r>
        <w:rPr/>
        <w:t xml:space="preserve">A </w:t>
      </w:r>
      <w:r>
        <w:rPr>
          <w:b/>
        </w:rPr>
        <w:t>data-dependency</w:t>
      </w:r>
      <w:r>
        <w:rPr/>
        <w:t xml:space="preserve"> score, not a climate-relevance score: does weather or climate data enter the indicator's calculation, or does inter-annual weather move its published value? Topical climate relevance is carried by </w:t>
      </w:r>
      <w:r>
        <w:rPr>
          <w:rFonts w:ascii="Consolas" w:hAnsi="Consolas"/>
        </w:rPr>
        <w:t>Policy_Sector = Climate</w:t>
      </w:r>
      <w:r>
        <w:rPr/>
        <w:t xml:space="preserve"> instead. Harmonised across all nine sheets in v27 (162 of 985 records changed); distribution 0/1/2/3 = 435/269/201/80. Blank means </w:t>
      </w:r>
      <w:r>
        <w:rPr>
          <w:i/>
        </w:rPr>
        <w:t>not assessed</w:t>
      </w:r>
      <w:r>
        <w:rPr/>
        <w:t xml:space="preserve"> and renders as a hatched badge that never satisfies a score filter. Full method, provenance, borderline cases and maintenance rules: </w:t>
      </w:r>
      <w:r>
        <w:rPr>
          <w:rFonts w:ascii="Consolas" w:hAnsi="Consolas"/>
        </w:rPr>
        <w:t>outputs_other/CLIMATE_SCORE_METHOD.md</w:t>
      </w:r>
      <w:r>
        <w:rPr/>
        <w:t xml:space="preserve">; the review record is in </w:t>
      </w:r>
      <w:r>
        <w:rPr>
          <w:rFonts w:ascii="Consolas" w:hAnsi="Consolas"/>
        </w:rPr>
        <w:t>outputs_other/climate_score_harmonisation/</w:t>
      </w:r>
      <w:r>
        <w:rPr/>
        <w:t>. Score new records against the Legend rules, not by analogy with neighbouring rows.</w:t>
      </w:r>
    </w:p>
    <w:p>
      <w:pPr>
        <w:pStyle w:val="Heading3"/>
      </w:pPr>
      <w:r>
        <w:rPr/>
        <w:t>openpyxl hazards, learned the hard way</w:t>
      </w:r>
    </w:p>
    <w:p>
      <w:r>
        <w:rPr/>
        <w:t xml:space="preserve">Both of these fail </w:t>
      </w:r>
      <w:r>
        <w:rPr>
          <w:b/>
        </w:rPr>
        <w:t>silently</w:t>
      </w:r>
      <w:r>
        <w:rPr/>
        <w:t xml:space="preserve"> — the file saves without error and the loss is invisible until something downstream misbehaves. Verify after any structural edit.</w:t>
      </w:r>
    </w:p>
    <w:p>
      <w:pPr>
        <w:pStyle w:val="ListBullet"/>
      </w:pPr>
      <w:r>
        <w:rPr>
          <w:rFonts w:ascii="Consolas" w:hAnsi="Consolas"/>
          <w:b/>
        </w:rPr>
        <w:t>insert_cols</w:t>
      </w:r>
      <w:r>
        <w:rPr>
          <w:b/>
        </w:rPr>
        <w:t xml:space="preserve"> / </w:t>
      </w:r>
      <w:r>
        <w:rPr>
          <w:rFonts w:ascii="Consolas" w:hAnsi="Consolas"/>
          <w:b/>
        </w:rPr>
        <w:t>insert_rows</w:t>
      </w:r>
      <w:r>
        <w:rPr>
          <w:b/>
        </w:rPr>
        <w:t xml:space="preserve"> do not move hyperlinks.</w:t>
      </w:r>
      <w:r>
        <w:rPr/>
        <w:t xml:space="preserve"> Worksheet-level hyperlinks stay anchored to the old coordinate and reappear in the new column. </w:t>
      </w:r>
      <w:r>
        <w:rPr>
          <w:b/>
        </w:rPr>
        <w:t>Append columns rather than inserting</w:t>
      </w:r>
      <w:r>
        <w:rPr/>
        <w:t xml:space="preserve"> unless the sheet is known hyperlink-free. The only hyperlinks in the indicators workbook are </w:t>
      </w:r>
      <w:r>
        <w:rPr>
          <w:rFonts w:ascii="Consolas" w:hAnsi="Consolas"/>
        </w:rPr>
        <w:t>CCC Indicators</w:t>
      </w:r>
      <w:r>
        <w:rPr/>
        <w:t xml:space="preserve"> (111) and </w:t>
      </w:r>
      <w:r>
        <w:rPr>
          <w:rFonts w:ascii="Consolas" w:hAnsi="Consolas"/>
        </w:rPr>
        <w:t>JNCC UK Biodiversity Indicators</w:t>
      </w:r>
      <w:r>
        <w:rPr/>
        <w:t xml:space="preserve"> cells </w:t>
      </w:r>
      <w:r>
        <w:rPr>
          <w:rFonts w:ascii="Consolas" w:hAnsi="Consolas"/>
        </w:rPr>
        <w:t>S15</w:t>
      </w:r>
      <w:r>
        <w:rPr/>
        <w:t xml:space="preserve">, </w:t>
      </w:r>
      <w:r>
        <w:rPr>
          <w:rFonts w:ascii="Consolas" w:hAnsi="Consolas"/>
        </w:rPr>
        <w:t>S46</w:t>
      </w:r>
      <w:r>
        <w:rPr/>
        <w:t xml:space="preserve">, </w:t>
      </w:r>
      <w:r>
        <w:rPr>
          <w:rFonts w:ascii="Consolas" w:hAnsi="Consolas"/>
        </w:rPr>
        <w:t>S64</w:t>
      </w:r>
      <w:r>
        <w:rPr/>
        <w:t>.</w:t>
      </w:r>
    </w:p>
    <w:p>
      <w:pPr>
        <w:pStyle w:val="ListBullet"/>
      </w:pPr>
      <w:r>
        <w:rPr>
          <w:b/>
        </w:rPr>
        <w:t>Writes to a merged cell are discarded on save.</w:t>
      </w:r>
      <w:r>
        <w:rPr/>
        <w:t xml:space="preserve"> Unmerge before rewriting a sheet, then verify the result against the live headers.</w:t>
      </w:r>
    </w:p>
    <w:p>
      <w:pPr>
        <w:pBdr>
          <w:bottom w:val="single" w:sz="6" w:space="1" w:color="A0A8AD"/>
        </w:pBdr>
      </w:pPr>
    </w:p>
    <w:p>
      <w:pPr>
        <w:pStyle w:val="Heading2"/>
      </w:pPr>
      <w:r>
        <w:rPr/>
        <w:t>4. The dashboards</w:t>
      </w:r>
    </w:p>
    <w:p>
      <w:r>
        <w:rPr/>
        <w:t xml:space="preserve">Two </w:t>
      </w:r>
      <w:r>
        <w:rPr>
          <w:b/>
        </w:rPr>
        <w:t>single self-contained HTML files</w:t>
      </w:r>
      <w:r>
        <w:rPr/>
        <w:t xml:space="preserve"> in </w:t>
      </w:r>
      <w:r>
        <w:rPr>
          <w:rFonts w:ascii="Consolas" w:hAnsi="Consolas"/>
        </w:rPr>
        <w:t>Dashboards/</w:t>
      </w:r>
      <w:r>
        <w:rPr/>
        <w:t xml:space="preserve"> — no CDN, no external assets. They open offline, from </w:t>
      </w:r>
      <w:r>
        <w:rPr>
          <w:rFonts w:ascii="Consolas" w:hAnsi="Consolas"/>
        </w:rPr>
        <w:t>file://</w:t>
      </w:r>
      <w:r>
        <w:rPr/>
        <w:t>, and can be emailed as they are.</w:t>
      </w:r>
    </w:p>
    <w:p>
      <w:pPr>
        <w:pStyle w:val="IntenseQuote"/>
      </w:pPr>
      <w:r>
        <w:rPr/>
        <w:t xml:space="preserve">⚠ </w:t>
      </w:r>
      <w:r>
        <w:rPr>
          <w:b/>
        </w:rPr>
        <w:t>The two files must stay in the same directory.</w:t>
      </w:r>
      <w:r>
        <w:rPr/>
        <w:t xml:space="preserve"> </w:t>
      </w:r>
      <w:r>
        <w:rPr>
          <w:rFonts w:ascii="Consolas" w:hAnsi="Consolas"/>
        </w:rPr>
        <w:t>indicator_finder_v4.html</w:t>
      </w:r>
      <w:r>
        <w:rPr/>
        <w:t xml:space="preserve"> holds </w:t>
      </w:r>
      <w:r>
        <w:rPr>
          <w:rFonts w:ascii="Consolas" w:hAnsi="Consolas"/>
        </w:rPr>
        <w:t>const GOV_DIAGRAM = "governance_diagram_v12.html"</w:t>
      </w:r>
      <w:r>
        <w:rPr/>
        <w:t xml:space="preserve"> — a bare filename — and its </w:t>
      </w:r>
      <w:r>
        <w:rPr>
          <w:rFonts w:ascii="Consolas" w:hAnsi="Consolas"/>
        </w:rPr>
        <w:t>⬡ diagram</w:t>
      </w:r>
      <w:r>
        <w:rPr/>
        <w:t xml:space="preserve"> deep-links resolve relative to its own location. Separate them and every deep-link breaks silently. </w:t>
      </w:r>
      <w:r>
        <w:rPr>
          <w:rFonts w:ascii="Consolas" w:hAnsi="Consolas"/>
        </w:rPr>
        <w:t>build_indicator_finder.py</w:t>
      </w:r>
      <w:r>
        <w:rPr/>
        <w:t xml:space="preserve"> re-points that constant at the newest </w:t>
      </w:r>
      <w:r>
        <w:rPr>
          <w:rFonts w:ascii="Consolas" w:hAnsi="Consolas"/>
        </w:rPr>
        <w:t>governance_diagram_v*.html</w:t>
      </w:r>
      <w:r>
        <w:rPr/>
        <w:t xml:space="preserve"> </w:t>
      </w:r>
      <w:r>
        <w:rPr>
          <w:b/>
        </w:rPr>
        <w:t>in its own output directory</w:t>
      </w:r>
      <w:r>
        <w:rPr/>
        <w:t>, so it cannot repair a separation.</w:t>
      </w:r>
    </w:p>
    <w:p>
      <w:pPr>
        <w:pStyle w:val="Heading3"/>
      </w:pPr>
      <w:r>
        <w:rPr/>
        <w:t>How the two builders treat their HTML — they are opposites</w:t>
      </w:r>
    </w:p>
    <w:p>
      <w:r>
        <w:rPr/>
        <w:t xml:space="preserve">This catches people out, so it is worth being explicit. Both builders write a dashboard HTML file, but only one of them </w:t>
      </w:r>
      <w:r>
        <w:rPr>
          <w:i/>
        </w:rPr>
        <w:t>reads</w:t>
      </w:r>
      <w:r>
        <w:rPr/>
        <w:t xml:space="preserve"> it first.</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tc>
        <w:tc>
          <w:tcPr>
            <w:tcW w:type="dxa" w:w="3213"/>
            <w:shd w:val="clear" w:color="auto" w:fill="DCE6E8"/>
          </w:tcPr>
          <w:p>
            <w:r>
              <w:rPr>
                <w:rFonts w:ascii="Consolas" w:hAnsi="Consolas"/>
                <w:b/>
                <w:sz w:val="18"/>
              </w:rPr>
              <w:t>build_indicator_finder.py</w:t>
            </w:r>
          </w:p>
        </w:tc>
        <w:tc>
          <w:tcPr>
            <w:tcW w:type="dxa" w:w="3213"/>
            <w:shd w:val="clear" w:color="auto" w:fill="DCE6E8"/>
          </w:tcPr>
          <w:p>
            <w:r>
              <w:rPr>
                <w:rFonts w:ascii="Consolas" w:hAnsi="Consolas"/>
                <w:b/>
                <w:sz w:val="18"/>
              </w:rPr>
              <w:t>build_governance_diagram.py</w:t>
            </w:r>
          </w:p>
        </w:tc>
      </w:tr>
      <w:tr>
        <w:tc>
          <w:tcPr>
            <w:tcW w:type="dxa" w:w="3213"/>
          </w:tcPr>
          <w:p>
            <w:r>
              <w:rPr>
                <w:sz w:val="18"/>
              </w:rPr>
              <w:t>Needs an existing HTML?</w:t>
            </w:r>
          </w:p>
        </w:tc>
        <w:tc>
          <w:tcPr>
            <w:tcW w:type="dxa" w:w="3213"/>
          </w:tcPr>
          <w:p>
            <w:r>
              <w:rPr>
                <w:b/>
                <w:sz w:val="18"/>
              </w:rPr>
              <w:t>Yes</w:t>
            </w:r>
            <w:r>
              <w:rPr>
                <w:sz w:val="18"/>
              </w:rPr>
              <w:t xml:space="preserve"> — </w:t>
            </w:r>
            <w:r>
              <w:rPr>
                <w:rFonts w:ascii="Consolas" w:hAnsi="Consolas"/>
                <w:sz w:val="18"/>
              </w:rPr>
              <w:t>indicator_finder_v4.html</w:t>
            </w:r>
            <w:r>
              <w:rPr>
                <w:sz w:val="18"/>
              </w:rPr>
              <w:t xml:space="preserve"> is both template and output</w:t>
            </w:r>
          </w:p>
        </w:tc>
        <w:tc>
          <w:tcPr>
            <w:tcW w:type="dxa" w:w="3213"/>
          </w:tcPr>
          <w:p>
            <w:r>
              <w:rPr>
                <w:b/>
                <w:sz w:val="18"/>
              </w:rPr>
              <w:t>No</w:t>
            </w:r>
            <w:r>
              <w:rPr>
                <w:sz w:val="18"/>
              </w:rPr>
              <w:t xml:space="preserve"> — the whole page lives in a </w:t>
            </w:r>
            <w:r>
              <w:rPr>
                <w:rFonts w:ascii="Consolas" w:hAnsi="Consolas"/>
                <w:sz w:val="18"/>
              </w:rPr>
              <w:t>TEMPLATE = r"""…"""</w:t>
            </w:r>
            <w:r>
              <w:rPr>
                <w:sz w:val="18"/>
              </w:rPr>
              <w:t xml:space="preserve"> string inside the </w:t>
            </w:r>
            <w:r>
              <w:rPr>
                <w:rFonts w:ascii="Consolas" w:hAnsi="Consolas"/>
                <w:sz w:val="18"/>
              </w:rPr>
              <w:t>.py</w:t>
            </w:r>
          </w:p>
        </w:tc>
      </w:tr>
      <w:tr>
        <w:tc>
          <w:tcPr>
            <w:tcW w:type="dxa" w:w="3213"/>
          </w:tcPr>
          <w:p>
            <w:r>
              <w:rPr>
                <w:sz w:val="18"/>
              </w:rPr>
              <w:t>What a rebuild does</w:t>
            </w:r>
          </w:p>
        </w:tc>
        <w:tc>
          <w:tcPr>
            <w:tcW w:type="dxa" w:w="3213"/>
          </w:tcPr>
          <w:p>
            <w:r>
              <w:rPr>
                <w:sz w:val="18"/>
              </w:rPr>
              <w:t xml:space="preserve">Reads the file, replaces </w:t>
            </w:r>
            <w:r>
              <w:rPr>
                <w:rFonts w:ascii="Consolas" w:hAnsi="Consolas"/>
                <w:sz w:val="18"/>
              </w:rPr>
              <w:t>const INDICATORS = […]</w:t>
            </w:r>
            <w:r>
              <w:rPr>
                <w:sz w:val="18"/>
              </w:rPr>
              <w:t xml:space="preserve"> and </w:t>
            </w:r>
            <w:r>
              <w:rPr>
                <w:rFonts w:ascii="Consolas" w:hAnsi="Consolas"/>
                <w:sz w:val="18"/>
              </w:rPr>
              <w:t>const EXPORT_LOOKUPS = {…}</w:t>
            </w:r>
            <w:r>
              <w:rPr>
                <w:sz w:val="18"/>
              </w:rPr>
              <w:t>, writes it back</w:t>
            </w:r>
          </w:p>
        </w:tc>
        <w:tc>
          <w:tcPr>
            <w:tcW w:type="dxa" w:w="3213"/>
          </w:tcPr>
          <w:p>
            <w:r>
              <w:rPr>
                <w:sz w:val="18"/>
              </w:rPr>
              <w:t xml:space="preserve">Substitutes </w:t>
            </w:r>
            <w:r>
              <w:rPr>
                <w:rFonts w:ascii="Consolas" w:hAnsi="Consolas"/>
                <w:sz w:val="18"/>
              </w:rPr>
              <w:t>/*DATA*/</w:t>
            </w:r>
            <w:r>
              <w:rPr>
                <w:sz w:val="18"/>
              </w:rPr>
              <w:t xml:space="preserve"> with fresh JSON and writes a brand-new file</w:t>
            </w:r>
          </w:p>
        </w:tc>
      </w:tr>
      <w:tr>
        <w:tc>
          <w:tcPr>
            <w:tcW w:type="dxa" w:w="3213"/>
          </w:tcPr>
          <w:p>
            <w:r>
              <w:rPr>
                <w:sz w:val="18"/>
              </w:rPr>
              <w:t>Hand edits to the HTML</w:t>
            </w:r>
          </w:p>
        </w:tc>
        <w:tc>
          <w:tcPr>
            <w:tcW w:type="dxa" w:w="3213"/>
          </w:tcPr>
          <w:p>
            <w:r>
              <w:rPr>
                <w:b/>
                <w:sz w:val="18"/>
              </w:rPr>
              <w:t>Survive</w:t>
            </w:r>
            <w:r>
              <w:rPr>
                <w:sz w:val="18"/>
              </w:rPr>
              <w:t xml:space="preserve"> every rebuild</w:t>
            </w:r>
          </w:p>
        </w:tc>
        <w:tc>
          <w:tcPr>
            <w:tcW w:type="dxa" w:w="3213"/>
          </w:tcPr>
          <w:p>
            <w:r>
              <w:rPr>
                <w:b/>
                <w:sz w:val="18"/>
              </w:rPr>
              <w:t>Destroyed</w:t>
            </w:r>
            <w:r>
              <w:rPr>
                <w:sz w:val="18"/>
              </w:rPr>
              <w:t xml:space="preserve"> on the next rebuild, silently</w:t>
            </w:r>
          </w:p>
        </w:tc>
      </w:tr>
      <w:tr>
        <w:tc>
          <w:tcPr>
            <w:tcW w:type="dxa" w:w="3213"/>
          </w:tcPr>
          <w:p>
            <w:r>
              <w:rPr>
                <w:sz w:val="18"/>
              </w:rPr>
              <w:t>Where the design and code live</w:t>
            </w:r>
          </w:p>
        </w:tc>
        <w:tc>
          <w:tcPr>
            <w:tcW w:type="dxa" w:w="3213"/>
          </w:tcPr>
          <w:p>
            <w:r>
              <w:rPr>
                <w:sz w:val="18"/>
              </w:rPr>
              <w:t>In the HTML</w:t>
            </w:r>
          </w:p>
        </w:tc>
        <w:tc>
          <w:tcPr>
            <w:tcW w:type="dxa" w:w="3213"/>
          </w:tcPr>
          <w:p>
            <w:r>
              <w:rPr>
                <w:sz w:val="18"/>
              </w:rPr>
              <w:t xml:space="preserve">In the </w:t>
            </w:r>
            <w:r>
              <w:rPr>
                <w:rFonts w:ascii="Consolas" w:hAnsi="Consolas"/>
                <w:sz w:val="18"/>
              </w:rPr>
              <w:t>.py</w:t>
            </w:r>
          </w:p>
        </w:tc>
      </w:tr>
    </w:tbl>
    <w:p/>
    <w:p>
      <w:r>
        <w:rPr>
          <w:b/>
        </w:rPr>
        <w:t>Consequences.</w:t>
      </w:r>
    </w:p>
    <w:p>
      <w:pPr>
        <w:pStyle w:val="ListBullet"/>
      </w:pPr>
      <w:r>
        <w:rPr>
          <w:b/>
        </w:rPr>
        <w:t xml:space="preserve">Never hand-edit </w:t>
      </w:r>
      <w:r>
        <w:rPr>
          <w:rFonts w:ascii="Consolas" w:hAnsi="Consolas"/>
          <w:b/>
        </w:rPr>
        <w:t>governance_diagram_v12.html</w:t>
      </w:r>
      <w:r>
        <w:rPr>
          <w:b/>
        </w:rPr>
        <w:t>.</w:t>
      </w:r>
      <w:r>
        <w:rPr/>
        <w:t xml:space="preserve"> Change the </w:t>
      </w:r>
      <w:r>
        <w:rPr>
          <w:rFonts w:ascii="Consolas" w:hAnsi="Consolas"/>
        </w:rPr>
        <w:t>TEMPLATE</w:t>
      </w:r>
      <w:r>
        <w:rPr/>
        <w:t xml:space="preserve"> string in </w:t>
      </w:r>
      <w:r>
        <w:rPr>
          <w:rFonts w:ascii="Consolas" w:hAnsi="Consolas"/>
        </w:rPr>
        <w:t>build_governance_diagram.py</w:t>
      </w:r>
      <w:r>
        <w:rPr/>
        <w:t xml:space="preserve"> instead. Editing the HTML looks like it works — the file is valid and opens correctly — and the work vanishes at the next </w:t>
      </w:r>
      <w:r>
        <w:rPr>
          <w:rFonts w:ascii="Consolas" w:hAnsi="Consolas"/>
        </w:rPr>
        <w:t>finalise.py</w:t>
      </w:r>
      <w:r>
        <w:rPr/>
        <w:t xml:space="preserve"> with no warning.</w:t>
      </w:r>
    </w:p>
    <w:p>
      <w:pPr>
        <w:pStyle w:val="ListBullet"/>
      </w:pPr>
      <w:r>
        <w:rPr>
          <w:rFonts w:ascii="Consolas" w:hAnsi="Consolas"/>
          <w:b/>
        </w:rPr>
        <w:t>indicator_finder_v4.html</w:t>
      </w:r>
      <w:r>
        <w:rPr>
          <w:b/>
        </w:rPr>
        <w:t xml:space="preserve"> is authoritative for its own design and for any hand-written code it contains</w:t>
      </w:r>
      <w:r>
        <w:rPr/>
        <w:t xml:space="preserve">, including the ~23 KB export module. The builder only swaps those two </w:t>
      </w:r>
      <w:r>
        <w:rPr>
          <w:rFonts w:ascii="Consolas" w:hAnsi="Consolas"/>
        </w:rPr>
        <w:t>const</w:t>
      </w:r>
      <w:r>
        <w:rPr/>
        <w:t xml:space="preserve"> declarations; it cannot regenerate the page from parts. Deleting or reverting that file loses the export code, which exists nowhere else. It is recoverable from git, not from the build.</w:t>
      </w:r>
    </w:p>
    <w:p>
      <w:pPr>
        <w:pStyle w:val="ListBullet"/>
      </w:pPr>
      <w:r>
        <w:rPr/>
        <w:t xml:space="preserve">If the finder's HTML is ever lost, the builder </w:t>
      </w:r>
      <w:r>
        <w:rPr>
          <w:b/>
        </w:rPr>
        <w:t>cannot</w:t>
      </w:r>
      <w:r>
        <w:rPr/>
        <w:t xml:space="preserve"> rebuild it — there is no template to fall back on. If that risk matters, the fix is to move the hand-written blocks into </w:t>
      </w:r>
      <w:r>
        <w:rPr>
          <w:rFonts w:ascii="Consolas" w:hAnsi="Consolas"/>
        </w:rPr>
        <w:t>Dashboards/code/</w:t>
      </w:r>
      <w:r>
        <w:rPr/>
        <w:t xml:space="preserve"> and have the builder assemble the page, which would make it behave like the diagram builder.</w:t>
      </w:r>
    </w:p>
    <w:p>
      <w:pPr>
        <w:pStyle w:val="ListBullet"/>
      </w:pPr>
      <w:r>
        <w:rPr/>
        <w:t xml:space="preserve">The diagram's output filename is a </w:t>
      </w:r>
      <w:r>
        <w:rPr>
          <w:b/>
        </w:rPr>
        <w:t>hardcoded literal</w:t>
      </w:r>
      <w:r>
        <w:rPr/>
        <w:t xml:space="preserve"> in the script (</w:t>
      </w:r>
      <w:r>
        <w:rPr>
          <w:rFonts w:ascii="Consolas" w:hAnsi="Consolas"/>
        </w:rPr>
        <w:t>"governance_diagram_v12.html"</w:t>
      </w:r>
      <w:r>
        <w:rPr/>
        <w:t>), so a version bump means editing that string, not a variable.</w:t>
      </w:r>
    </w:p>
    <w:p>
      <w:pPr>
        <w:pStyle w:val="Heading3"/>
      </w:pPr>
      <w:r>
        <w:rPr>
          <w:rFonts w:ascii="Consolas" w:hAnsi="Consolas"/>
        </w:rPr>
        <w:t>governance_diagram_v12.html</w:t>
      </w:r>
      <w:r>
        <w:rPr/>
        <w:t xml:space="preserve"> — built by </w:t>
      </w:r>
      <w:r>
        <w:rPr>
          <w:rFonts w:ascii="Consolas" w:hAnsi="Consolas"/>
        </w:rPr>
        <w:t>build_governance_diagram.py</w:t>
      </w:r>
    </w:p>
    <w:p>
      <w:r>
        <w:rPr/>
        <w:t>Relationship explorer across all three workbooks. 345 nodes, 1,164 edges (build of 6 October 2026). Six horizontal tiered bands (international treaties → international bodies / EU law → UK legislation → UK public bodies → UK policy → indicator frameworks) joined by cubic-bezier curves. Autocomplete search, back/forward and URL-hash deep-linking, SVG/PNG export, depth-2 neighbourhood expansion, zoom/pan, acronym tooltips, EU and soft-link toggles, Help modal, and per-record narrative sections in the bottom detail panel. Arrow direction is semantic and focus-independent: governor → governed.</w:t>
      </w:r>
    </w:p>
    <w:p>
      <w:r>
        <w:rPr>
          <w:b/>
        </w:rPr>
        <w:t>Nine link types</w:t>
      </w:r>
      <w:r>
        <w:rPr/>
        <w:t xml:space="preserve"> (≥3:1 contrast palette): enabling legislation (red solid), lead org/dept (green solid), parent/child (purple solid), related/cross-ref (amber dashed), funded-by (orange dashed), international hard — ratified/retained (teal solid double), international soft — thematic (teal dotted double), key instrument (deep-pink solid), indicator/monitoring (magenta dotted). Hard vs soft is decided by </w:t>
      </w:r>
      <w:r>
        <w:rPr>
          <w:b/>
        </w:rPr>
        <w:t>ratification status</w:t>
      </w:r>
      <w:r>
        <w:rPr/>
        <w:t>, not endpoint type.</w:t>
      </w:r>
    </w:p>
    <w:p>
      <w:r>
        <w:rPr>
          <w:b/>
        </w:rPr>
        <w:t>Indicator frameworks.</w:t>
      </w:r>
      <w:r>
        <w:rPr/>
        <w:t xml:space="preserve"> Selecting an </w:t>
      </w:r>
      <w:r>
        <w:rPr>
          <w:rFonts w:ascii="Consolas" w:hAnsi="Consolas"/>
        </w:rPr>
        <w:t>IFW</w:t>
      </w:r>
      <w:r>
        <w:rPr/>
        <w:t xml:space="preserve"> node shows its </w:t>
      </w:r>
      <w:r>
        <w:rPr>
          <w:rFonts w:ascii="Consolas" w:hAnsi="Consolas"/>
        </w:rPr>
        <w:t>Policy_Purpose</w:t>
      </w:r>
      <w:r>
        <w:rPr/>
        <w:t xml:space="preserve"> in the bottom panel under "Policy purpose", with record count and scope in a secondary "Coverage" section. Its </w:t>
      </w:r>
      <w:r>
        <w:rPr>
          <w:rFonts w:ascii="Consolas" w:hAnsi="Consolas"/>
        </w:rPr>
        <w:t>Key_Instruments</w:t>
      </w:r>
      <w:r>
        <w:rPr/>
        <w:t xml:space="preserve"> codes are drawn as solid deep-pink edges (28). Precedence: a code already carrying a </w:t>
      </w:r>
      <w:r>
        <w:rPr>
          <w:rFonts w:ascii="Consolas" w:hAnsi="Consolas"/>
        </w:rPr>
        <w:t>lead</w:t>
      </w:r>
      <w:r>
        <w:rPr/>
        <w:t xml:space="preserve"> edge keeps it; remaining </w:t>
      </w:r>
      <w:r>
        <w:rPr>
          <w:rFonts w:ascii="Consolas" w:hAnsi="Consolas"/>
        </w:rPr>
        <w:t>Key_Instruments</w:t>
      </w:r>
      <w:r>
        <w:rPr/>
        <w:t xml:space="preserve"> codes take precedence over the dotted </w:t>
      </w:r>
      <w:r>
        <w:rPr>
          <w:rFonts w:ascii="Consolas" w:hAnsi="Consolas"/>
        </w:rPr>
        <w:t>indicator</w:t>
      </w:r>
      <w:r>
        <w:rPr/>
        <w:t xml:space="preserve"> edge; anything left in </w:t>
      </w:r>
      <w:r>
        <w:rPr>
          <w:rFonts w:ascii="Consolas" w:hAnsi="Consolas"/>
        </w:rPr>
        <w:t>Indirect_Policy_Links</w:t>
      </w:r>
      <w:r>
        <w:rPr/>
        <w:t xml:space="preserve"> stays dotted.</w:t>
      </w:r>
    </w:p>
    <w:p>
      <w:pPr>
        <w:pStyle w:val="Heading3"/>
      </w:pPr>
      <w:r>
        <w:rPr>
          <w:rFonts w:ascii="Consolas" w:hAnsi="Consolas"/>
        </w:rPr>
        <w:t>indicator_finder_v4.html</w:t>
      </w:r>
      <w:r>
        <w:rPr/>
        <w:t xml:space="preserve"> — built by </w:t>
      </w:r>
      <w:r>
        <w:rPr>
          <w:rFonts w:ascii="Consolas" w:hAnsi="Consolas"/>
        </w:rPr>
        <w:t>build_indicator_finder.py</w:t>
      </w:r>
    </w:p>
    <w:p>
      <w:r>
        <w:rPr>
          <w:b/>
        </w:rPr>
        <w:t>Policy context is derived, not hardcoded.</w:t>
      </w:r>
      <w:r>
        <w:rPr/>
        <w:t xml:space="preserve"> Each indicator's right-hand "Policy context" panel is built from its framework's register row — </w:t>
      </w:r>
      <w:r>
        <w:rPr>
          <w:rFonts w:ascii="Consolas" w:hAnsi="Consolas"/>
        </w:rPr>
        <w:t>Key_Instruments</w:t>
      </w:r>
      <w:r>
        <w:rPr/>
        <w:t xml:space="preserve"> for designated-monitoring links, </w:t>
      </w:r>
      <w:r>
        <w:rPr>
          <w:rFonts w:ascii="Consolas" w:hAnsi="Consolas"/>
        </w:rPr>
        <w:t>Indirect_Policy_Links</w:t>
      </w:r>
      <w:r>
        <w:rPr/>
        <w:t xml:space="preserve"> for policy-relevant ones — resolved against both governance workbooks. The old </w:t>
      </w:r>
      <w:r>
        <w:rPr>
          <w:rFonts w:ascii="Consolas" w:hAnsi="Consolas"/>
        </w:rPr>
        <w:t>FRAMEWORK_CTX</w:t>
      </w:r>
      <w:r>
        <w:rPr/>
        <w:t xml:space="preserve"> table was removed on 28 September 2026 after it was found to be keyed on the sheet (so all 149 CCC rows shared the mitigation chain, including the 38 adaptation targets), to still cite the superseded CBDP 2023, and to be invisible to </w:t>
      </w:r>
      <w:r>
        <w:rPr>
          <w:rFonts w:ascii="Consolas" w:hAnsi="Consolas"/>
        </w:rPr>
        <w:t>check_links.py</w:t>
      </w:r>
      <w:r>
        <w:rPr/>
        <w:t>. Chains now change when the register changes.</w:t>
      </w:r>
    </w:p>
    <w:p>
      <w:pPr>
        <w:pStyle w:val="IntenseQuote"/>
      </w:pPr>
      <w:r>
        <w:rPr/>
        <w:t xml:space="preserve">⚠ </w:t>
      </w:r>
      <w:r>
        <w:rPr>
          <w:b/>
        </w:rPr>
        <w:t xml:space="preserve">The join is on </w:t>
      </w:r>
      <w:r>
        <w:rPr>
          <w:rFonts w:ascii="Consolas" w:hAnsi="Consolas"/>
          <w:b/>
        </w:rPr>
        <w:t>Source_Framework</w:t>
      </w:r>
      <w:r>
        <w:rPr/>
        <w:t xml:space="preserve">, row against register row. A mismatch yields an empty panel, silently. Fixing the join exposed that </w:t>
      </w:r>
      <w:r>
        <w:rPr>
          <w:b/>
        </w:rPr>
        <w:t>486 of 985 rows</w:t>
      </w:r>
      <w:r>
        <w:rPr/>
        <w:t xml:space="preserve"> did not match — the CCC rows after the v17 rename, and the GBF and SDG rows which carried the frameworks' own fuller titles. All are aligned as of indicators v26, and the builder now warns and names any value that does not match.</w:t>
      </w:r>
    </w:p>
    <w:p>
      <w:r>
        <w:rPr>
          <w:b/>
        </w:rPr>
        <w:t>Hovering a relationship tag</w:t>
      </w:r>
      <w:r>
        <w:rPr/>
        <w:t xml:space="preserve"> ("Designated monitoring" / "Policy-relevant") names the indicator set the relationship belongs to, because that claim is about a </w:t>
      </w:r>
      <w:r>
        <w:rPr>
          <w:i/>
        </w:rPr>
        <w:t>framework</w:t>
      </w:r>
      <w:r>
        <w:rPr/>
        <w:t>, not about the single indicator on screen, and the panel previously never said which framework was meant.</w:t>
      </w:r>
    </w:p>
    <w:p>
      <w:r>
        <w:rPr/>
        <w:t xml:space="preserve">Searchable, filterable catalogue of all 985 indicators. Filter by sector (the 14 </w:t>
      </w:r>
      <w:r>
        <w:rPr>
          <w:rFonts w:ascii="Consolas" w:hAnsi="Consolas"/>
        </w:rPr>
        <w:t>Policy_Sector</w:t>
      </w:r>
      <w:r>
        <w:rPr/>
        <w:t xml:space="preserve"> classes, shared with the governance diagram), NCF category, framework, climate score, geographic scope and policy-context type; free-text search; centre-panel cards with a right-hand detail panel carrying units, data source, policy goal, climate score (0–3) and rationale. Every policy-context item has a </w:t>
      </w:r>
      <w:r>
        <w:rPr>
          <w:rFonts w:ascii="Consolas" w:hAnsi="Consolas"/>
        </w:rPr>
        <w:t>⬡ diagram</w:t>
      </w:r>
      <w:r>
        <w:rPr/>
        <w:t xml:space="preserve"> deep-link. The Help modal explains the climate score (scale table, not-assessed badge) and exporting; the footer's workbook versions are filled from each workbook's </w:t>
      </w:r>
      <w:r>
        <w:rPr>
          <w:rFonts w:ascii="Consolas" w:hAnsi="Consolas"/>
        </w:rPr>
        <w:t>Changelog</w:t>
      </w:r>
      <w:r>
        <w:rPr/>
        <w:t xml:space="preserve"> at build, so they cannot go stale.</w:t>
      </w:r>
    </w:p>
    <w:p>
      <w:r>
        <w:rPr>
          <w:b/>
        </w:rPr>
        <w:t>Export (⤓ Export, header).</w:t>
      </w:r>
      <w:r>
        <w:rPr/>
        <w:t xml:space="preserve"> Opens a dialog stating how many indicators the current filters have selected, offering Excel (default) or CSV with an editable pre-filled filename; disabled when nothing matches. </w:t>
      </w:r>
      <w:r>
        <w:rPr>
          <w:b/>
        </w:rPr>
        <w:t>11 columns</w:t>
      </w:r>
      <w:r>
        <w:rPr/>
        <w:t xml:space="preserve">, one row per indicator. The GBF and SDG codes are folded into an enriched </w:t>
      </w:r>
      <w:r>
        <w:rPr>
          <w:b/>
        </w:rPr>
        <w:t>Policy goal</w:t>
      </w:r>
      <w:r>
        <w:rPr/>
        <w:t xml:space="preserve">: a target's </w:t>
      </w:r>
      <w:r>
        <w:rPr>
          <w:rFonts w:ascii="Consolas" w:hAnsi="Consolas"/>
        </w:rPr>
        <w:t>Short_Title</w:t>
      </w:r>
      <w:r>
        <w:rPr/>
        <w:t xml:space="preserve"> is appended in brackets only where the prose does not already convey it (676 of 947 records at the 17 September build; not recounted since v23). Sorting or pivoting by GBF/SDG code is not possible — accepted trade-off.</w:t>
      </w:r>
    </w:p>
    <w:p>
      <w:r>
        <w:rPr/>
        <w:t xml:space="preserve">Generated entirely client-side with no external library: the </w:t>
      </w:r>
      <w:r>
        <w:rPr>
          <w:rFonts w:ascii="Consolas" w:hAnsi="Consolas"/>
        </w:rPr>
        <w:t>.xlsx</w:t>
      </w:r>
      <w:r>
        <w:rPr/>
        <w:t xml:space="preserve"> ZIP container is written in-page using a small CRC-32 implementation and the browser's native </w:t>
      </w:r>
      <w:r>
        <w:rPr>
          <w:rFonts w:ascii="Consolas" w:hAnsi="Consolas"/>
        </w:rPr>
        <w:t>CompressionStream</w:t>
      </w:r>
      <w:r>
        <w:rPr/>
        <w:t xml:space="preserve">, falling back to stored (uncompressed) entries where unavailable. Excel output is three sheets (Export info, Indicators, Lookups); CSV is one flat table with the lookups in a comment header, </w:t>
      </w:r>
      <w:r>
        <w:rPr>
          <w:b/>
        </w:rPr>
        <w:t xml:space="preserve">data from line 26, </w:t>
      </w:r>
      <w:r>
        <w:rPr>
          <w:rFonts w:ascii="Consolas" w:hAnsi="Consolas"/>
          <w:b/>
        </w:rPr>
        <w:t>skip = 24</w:t>
      </w:r>
      <w:r>
        <w:rPr>
          <w:b/>
        </w:rPr>
        <w:t>, constant for every export</w:t>
      </w:r>
      <w:r>
        <w:rPr/>
        <w:t>.</w:t>
      </w:r>
    </w:p>
    <w:p>
      <w:pPr>
        <w:pStyle w:val="IntenseQuote"/>
      </w:pPr>
      <w:r>
        <w:rPr/>
        <w:t xml:space="preserve">⚠ </w:t>
      </w:r>
      <w:r>
        <w:rPr>
          <w:b/>
        </w:rPr>
        <w:t xml:space="preserve">Never let the literal string </w:t>
      </w:r>
      <w:r>
        <w:rPr>
          <w:rFonts w:ascii="Consolas" w:hAnsi="Consolas"/>
          <w:b/>
        </w:rPr>
        <w:t>&lt;/script&gt;</w:t>
      </w:r>
      <w:r>
        <w:rPr>
          <w:b/>
        </w:rPr>
        <w:t xml:space="preserve"> appear in code pasted into the dashboard HTML</w:t>
      </w:r>
      <w:r>
        <w:rPr/>
        <w:t xml:space="preserve"> — including inside comments. It terminates the script block and everything after it silently becomes stray text.</w:t>
      </w:r>
    </w:p>
    <w:p>
      <w:pPr>
        <w:pBdr>
          <w:bottom w:val="single" w:sz="6" w:space="1" w:color="A0A8AD"/>
        </w:pBdr>
      </w:pPr>
    </w:p>
    <w:p>
      <w:pPr>
        <w:pStyle w:val="Heading2"/>
      </w:pPr>
      <w:r>
        <w:rPr/>
        <w:t>5. Assessment toolkit — research → policy relevance</w:t>
      </w:r>
    </w:p>
    <w:p>
      <w:r>
        <w:rPr/>
        <w:t xml:space="preserve">A self-contained kit producing comparable assessments of how a Met Office research field could inform UK climate–nature policy, rendered from one YAML config to </w:t>
      </w:r>
      <w:r>
        <w:rPr>
          <w:b/>
        </w:rPr>
        <w:t>both</w:t>
      </w:r>
      <w:r>
        <w:rPr/>
        <w:t xml:space="preserve"> a styled PDF and an </w:t>
      </w:r>
      <w:r>
        <w:rPr>
          <w:b/>
        </w:rPr>
        <w:t>editable Word</w:t>
      </w:r>
      <w:r>
        <w:rPr/>
        <w:t xml:space="preserve"> document.</w:t>
      </w:r>
    </w:p>
    <w:p>
      <w:r>
        <w:rPr/>
        <w:t>Two modes, switched entirely in the YAML and never in code:</w:t>
      </w:r>
    </w:p>
    <w:p>
      <w:pPr>
        <w:pStyle w:val="ListBullet"/>
      </w:pPr>
      <w:r>
        <w:rPr>
          <w:b/>
        </w:rPr>
        <w:t>applied</w:t>
      </w:r>
      <w:r>
        <w:rPr/>
        <w:t xml:space="preserve"> — where does or could existing MO research inform UK policy. Second axis = Status (Current / Opportunity).</w:t>
      </w:r>
    </w:p>
    <w:p>
      <w:pPr>
        <w:pStyle w:val="ListBullet"/>
      </w:pPr>
      <w:r>
        <w:rPr>
          <w:b/>
        </w:rPr>
        <w:t>gap / prospective</w:t>
      </w:r>
      <w:r>
        <w:rPr/>
        <w:t xml:space="preserve"> — if MO built product X, evidenced by others' work elsewhere, what could UK policy do with it. Second axis = Maturity (Demonstrated / Emerging / Conceptual).</w:t>
      </w:r>
    </w:p>
    <w:p>
      <w:r>
        <w:rPr/>
        <w:t>Relevance (materiality, 1–3) is the primary axis in both and is deliberately separate from the second axis, so a high-value-but-unrealised link does not read as weak.</w:t>
      </w:r>
    </w:p>
    <w:p>
      <w:r>
        <w:rPr>
          <w:b/>
        </w:rPr>
        <w:t>Internet search is part of the method, not an optional extra.</w:t>
      </w:r>
      <w:r>
        <w:rPr/>
        <w:t xml:space="preserve"> Rendering is offline and deterministic; the </w:t>
      </w:r>
      <w:r>
        <w:rPr>
          <w:i/>
        </w:rPr>
        <w:t>research</w:t>
      </w:r>
      <w:r>
        <w:rPr/>
        <w:t xml:space="preserve"> step is not. Where the AI has web access, </w:t>
      </w:r>
      <w:r>
        <w:rPr>
          <w:rFonts w:ascii="Consolas" w:hAnsi="Consolas"/>
        </w:rPr>
        <w:t>PROMPT_TEMPLATE.md</w:t>
      </w:r>
      <w:r>
        <w:rPr/>
        <w:t xml:space="preserve"> directs it to verify every status, date and URL against primary sources and to scan for indicators published since the workbook version. Anything found that is not in the workbooks is marked with a dagger (†) and </w:t>
      </w:r>
      <w:r>
        <w:rPr>
          <w:b/>
        </w:rPr>
        <w:t xml:space="preserve">appended to </w:t>
      </w:r>
      <w:r>
        <w:rPr>
          <w:rFonts w:ascii="Consolas" w:hAnsi="Consolas"/>
          <w:b/>
        </w:rPr>
        <w:t>Data/pending_additions.md</w:t>
      </w:r>
      <w:r>
        <w:rPr/>
        <w:t xml:space="preserve"> — never silently added. Without web access it renders normally but must list every unverified claim and err toward the lower second-axis value.</w:t>
      </w:r>
    </w:p>
    <w:p>
      <w:r>
        <w:rPr>
          <w:b/>
        </w:rPr>
        <w:t>To run one</w:t>
      </w:r>
      <w:r>
        <w:rPr/>
        <w:t xml:space="preserve">, six files under </w:t>
      </w:r>
      <w:r>
        <w:rPr>
          <w:rFonts w:ascii="Consolas" w:hAnsi="Consolas"/>
        </w:rPr>
        <w:t>PA_toolkit/</w:t>
      </w:r>
      <w:r>
        <w:rPr/>
        <w:t xml:space="preserve"> plus your own inputs:</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File</w:t>
            </w:r>
          </w:p>
        </w:tc>
        <w:tc>
          <w:tcPr>
            <w:tcW w:type="dxa" w:w="4819"/>
            <w:shd w:val="clear" w:color="auto" w:fill="DCE6E8"/>
          </w:tcPr>
          <w:p>
            <w:r>
              <w:rPr>
                <w:b/>
                <w:sz w:val="18"/>
              </w:rPr>
              <w:t>Role</w:t>
            </w:r>
          </w:p>
        </w:tc>
      </w:tr>
      <w:tr>
        <w:tc>
          <w:tcPr>
            <w:tcW w:type="dxa" w:w="4819"/>
          </w:tcPr>
          <w:p>
            <w:r>
              <w:rPr>
                <w:rFonts w:ascii="Consolas" w:hAnsi="Consolas"/>
                <w:sz w:val="18"/>
              </w:rPr>
              <w:t>code/render.py</w:t>
            </w:r>
          </w:p>
        </w:tc>
        <w:tc>
          <w:tcPr>
            <w:tcW w:type="dxa" w:w="4819"/>
          </w:tcPr>
          <w:p>
            <w:r>
              <w:rPr>
                <w:sz w:val="18"/>
              </w:rPr>
              <w:t>The renderer. Never edited.</w:t>
            </w:r>
          </w:p>
        </w:tc>
      </w:tr>
      <w:tr>
        <w:tc>
          <w:tcPr>
            <w:tcW w:type="dxa" w:w="4819"/>
          </w:tcPr>
          <w:p>
            <w:r>
              <w:rPr>
                <w:rFonts w:ascii="Consolas" w:hAnsi="Consolas"/>
                <w:sz w:val="18"/>
              </w:rPr>
              <w:t>code/requirements.txt</w:t>
            </w:r>
          </w:p>
        </w:tc>
        <w:tc>
          <w:tcPr>
            <w:tcW w:type="dxa" w:w="4819"/>
          </w:tcPr>
          <w:p>
            <w:r>
              <w:rPr>
                <w:sz w:val="18"/>
              </w:rPr>
              <w:t>Three packages.</w:t>
            </w:r>
          </w:p>
        </w:tc>
      </w:tr>
      <w:tr>
        <w:tc>
          <w:tcPr>
            <w:tcW w:type="dxa" w:w="4819"/>
          </w:tcPr>
          <w:p>
            <w:r>
              <w:rPr>
                <w:rFonts w:ascii="Consolas" w:hAnsi="Consolas"/>
                <w:sz w:val="18"/>
              </w:rPr>
              <w:t>PROMPT_TEMPLATE.md</w:t>
            </w:r>
          </w:p>
        </w:tc>
        <w:tc>
          <w:tcPr>
            <w:tcW w:type="dxa" w:w="4819"/>
          </w:tcPr>
          <w:p>
            <w:r>
              <w:rPr>
                <w:sz w:val="18"/>
              </w:rPr>
              <w:t>The prompt to paste into Claude; its INPUTS block is the only per-run edit.</w:t>
            </w:r>
          </w:p>
        </w:tc>
      </w:tr>
      <w:tr>
        <w:tc>
          <w:tcPr>
            <w:tcW w:type="dxa" w:w="4819"/>
          </w:tcPr>
          <w:p>
            <w:r>
              <w:rPr>
                <w:rFonts w:ascii="Consolas" w:hAnsi="Consolas"/>
                <w:sz w:val="18"/>
              </w:rPr>
              <w:t>METHOD_AND_SCORING.md</w:t>
            </w:r>
          </w:p>
        </w:tc>
        <w:tc>
          <w:tcPr>
            <w:tcW w:type="dxa" w:w="4819"/>
          </w:tcPr>
          <w:p>
            <w:r>
              <w:rPr>
                <w:sz w:val="18"/>
              </w:rPr>
              <w:t>The rules the AI follows. Attached to the prompt, not read by code.</w:t>
            </w:r>
          </w:p>
        </w:tc>
      </w:tr>
      <w:tr>
        <w:tc>
          <w:tcPr>
            <w:tcW w:type="dxa" w:w="4819"/>
          </w:tcPr>
          <w:p>
            <w:r>
              <w:rPr>
                <w:rFonts w:ascii="Consolas" w:hAnsi="Consolas"/>
                <w:sz w:val="18"/>
              </w:rPr>
              <w:t>template_files/TEMPLATE_applied.yaml</w:t>
            </w:r>
            <w:r>
              <w:rPr>
                <w:sz w:val="18"/>
              </w:rPr>
              <w:t xml:space="preserve"> </w:t>
            </w:r>
            <w:r>
              <w:rPr>
                <w:b/>
                <w:sz w:val="18"/>
              </w:rPr>
              <w:t>or</w:t>
            </w:r>
            <w:r>
              <w:rPr>
                <w:sz w:val="18"/>
              </w:rPr>
              <w:t xml:space="preserve"> </w:t>
            </w:r>
            <w:r>
              <w:rPr>
                <w:rFonts w:ascii="Consolas" w:hAnsi="Consolas"/>
                <w:sz w:val="18"/>
              </w:rPr>
              <w:t>TEMPLATE_gap.yaml</w:t>
            </w:r>
          </w:p>
        </w:tc>
        <w:tc>
          <w:tcPr>
            <w:tcW w:type="dxa" w:w="4819"/>
          </w:tcPr>
          <w:p>
            <w:r>
              <w:rPr>
                <w:sz w:val="18"/>
              </w:rPr>
              <w:t>Format example only.</w:t>
            </w:r>
          </w:p>
        </w:tc>
      </w:tr>
      <w:tr>
        <w:tc>
          <w:tcPr>
            <w:tcW w:type="dxa" w:w="4819"/>
          </w:tcPr>
          <w:p>
            <w:r>
              <w:rPr>
                <w:rFonts w:ascii="Consolas" w:hAnsi="Consolas"/>
                <w:sz w:val="18"/>
              </w:rPr>
              <w:t>README.md</w:t>
            </w:r>
          </w:p>
        </w:tc>
        <w:tc>
          <w:tcPr>
            <w:tcW w:type="dxa" w:w="4819"/>
          </w:tcPr>
          <w:p>
            <w:r>
              <w:rPr>
                <w:sz w:val="18"/>
              </w:rPr>
              <w:t>Run instructions and YAML field reference.</w:t>
            </w:r>
          </w:p>
        </w:tc>
      </w:tr>
    </w:tbl>
    <w:p/>
    <w:p>
      <w:r>
        <w:rPr>
          <w:rFonts w:ascii="Consolas" w:hAnsi="Consolas"/>
        </w:rPr>
        <w:t>ASSESSMENT_TOOLKIT_USER_GUIDE.md</w:t>
      </w:r>
      <w:r>
        <w:rPr/>
        <w:t xml:space="preserve"> is the task-oriented companion for a first-time user.</w:t>
      </w:r>
    </w:p>
    <w:p>
      <w:r>
        <w:rPr/>
        <w:t xml:space="preserve">Plus a bibliography for the field, the UK governance workbook, and optionally the indicators workbook. </w:t>
      </w:r>
      <w:r>
        <w:rPr>
          <w:b/>
        </w:rPr>
        <w:t>Nothing else in the project is required</w:t>
      </w:r>
      <w:r>
        <w:rPr/>
        <w:t xml:space="preserve"> — the kit can be zipped and sent to anyone with Python 3.</w:t>
      </w:r>
    </w:p>
    <w:p>
      <w:r>
        <w:rPr>
          <w:b/>
        </w:rPr>
        <w:t>Templates vs records.</w:t>
      </w:r>
      <w:r>
        <w:rPr/>
        <w:t xml:space="preserve"> </w:t>
      </w:r>
      <w:r>
        <w:rPr>
          <w:rFonts w:ascii="Consolas" w:hAnsi="Consolas"/>
        </w:rPr>
        <w:t>template_files/</w:t>
      </w:r>
      <w:r>
        <w:rPr/>
        <w:t xml:space="preserve"> holds </w:t>
      </w:r>
      <w:r>
        <w:rPr>
          <w:i/>
        </w:rPr>
        <w:t>templates</w:t>
      </w:r>
      <w:r>
        <w:rPr/>
        <w:t xml:space="preserve"> — structural exemplars, attached to the prompt, never rendered as deliverables. </w:t>
      </w:r>
      <w:r>
        <w:rPr>
          <w:rFonts w:ascii="Consolas" w:hAnsi="Consolas"/>
        </w:rPr>
        <w:t>completed_assessments/</w:t>
      </w:r>
      <w:r>
        <w:rPr/>
        <w:t xml:space="preserve"> holds </w:t>
      </w:r>
      <w:r>
        <w:rPr>
          <w:i/>
        </w:rPr>
        <w:t>records</w:t>
      </w:r>
      <w:r>
        <w:rPr/>
        <w:t xml:space="preserve"> — the reproducible source of a specific rendered assessment, beside its PDF and DOCX. Copy a template to start; save the result as a record.</w:t>
      </w:r>
    </w:p>
    <w:p>
      <w:r>
        <w:rPr>
          <w:b/>
        </w:rPr>
        <w:t>Completed assessments</w:t>
      </w:r>
      <w:r>
        <w:rPr/>
        <w:t xml:space="preserve"> (</w:t>
      </w:r>
      <w:r>
        <w:rPr>
          <w:rFonts w:ascii="Consolas" w:hAnsi="Consolas"/>
        </w:rPr>
        <w:t>completed_assessments/</w:t>
      </w:r>
      <w:r>
        <w:rPr/>
        <w:t xml:space="preserve">, bibliographies in </w:t>
      </w:r>
      <w:r>
        <w:rPr>
          <w:rFonts w:ascii="Consolas" w:hAnsi="Consolas"/>
        </w:rPr>
        <w:t>bibliographies/</w:t>
      </w:r>
      <w:r>
        <w:rPr/>
        <w:t>): plant pest, pathogen &amp; biosecurity (applied); daily sunshine duration (gap); land surface temperature (gap); ocean heatwaves.</w:t>
      </w:r>
    </w:p>
    <w:p>
      <w:r>
        <w:rPr/>
        <w:t xml:space="preserve">Run: </w:t>
      </w:r>
      <w:r>
        <w:rPr>
          <w:rFonts w:ascii="Consolas" w:hAnsi="Consolas"/>
        </w:rPr>
        <w:t>python PA_toolkit/code/render.py CONFIG.yaml --format both --outdir PA_toolkit/completed_assessments</w:t>
      </w:r>
    </w:p>
    <w:p>
      <w:pPr>
        <w:pBdr>
          <w:bottom w:val="single" w:sz="6" w:space="1" w:color="A0A8AD"/>
        </w:pBdr>
      </w:pPr>
    </w:p>
    <w:p>
      <w:pPr>
        <w:pStyle w:val="Heading2"/>
      </w:pPr>
      <w:r>
        <w:rPr/>
        <w:t>6. Code inventory</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File</w:t>
            </w:r>
          </w:p>
        </w:tc>
        <w:tc>
          <w:tcPr>
            <w:tcW w:type="dxa" w:w="4819"/>
            <w:shd w:val="clear" w:color="auto" w:fill="DCE6E8"/>
          </w:tcPr>
          <w:p>
            <w:r>
              <w:rPr>
                <w:b/>
                <w:sz w:val="18"/>
              </w:rPr>
              <w:t>Role</w:t>
            </w:r>
          </w:p>
        </w:tc>
      </w:tr>
      <w:tr>
        <w:tc>
          <w:tcPr>
            <w:tcW w:type="dxa" w:w="4819"/>
          </w:tcPr>
          <w:p>
            <w:r>
              <w:rPr>
                <w:rFonts w:ascii="Consolas" w:hAnsi="Consolas"/>
                <w:sz w:val="18"/>
              </w:rPr>
              <w:t>Data/code/check_links.py</w:t>
            </w:r>
          </w:p>
        </w:tc>
        <w:tc>
          <w:tcPr>
            <w:tcW w:type="dxa" w:w="4819"/>
          </w:tcPr>
          <w:p>
            <w:r>
              <w:rPr>
                <w:b/>
                <w:sz w:val="18"/>
              </w:rPr>
              <w:t>The integrity gate.</w:t>
            </w:r>
            <w:r>
              <w:rPr>
                <w:sz w:val="18"/>
              </w:rPr>
              <w:t xml:space="preserve"> Validates every bracketed </w:t>
            </w:r>
            <w:r>
              <w:rPr>
                <w:rFonts w:ascii="Consolas" w:hAnsi="Consolas"/>
                <w:sz w:val="18"/>
              </w:rPr>
              <w:t>[CODE]</w:t>
            </w:r>
            <w:r>
              <w:rPr>
                <w:sz w:val="18"/>
              </w:rPr>
              <w:t xml:space="preserve"> across all three workbooks against the ID registry and enforces six invariants — orphan references, column placement, UK↔intl forward and reverse reciprocity, controlled vocabulary against the Data Dictionary, retired-ID reuse. Read-only. Auto-detects canonical filenames, ignoring </w:t>
            </w:r>
            <w:r>
              <w:rPr>
                <w:rFonts w:ascii="Consolas" w:hAnsi="Consolas"/>
                <w:sz w:val="18"/>
              </w:rPr>
              <w:t>_superseded_</w:t>
            </w:r>
            <w:r>
              <w:rPr>
                <w:sz w:val="18"/>
              </w:rPr>
              <w:t xml:space="preserve"> archives.</w:t>
            </w:r>
          </w:p>
        </w:tc>
      </w:tr>
      <w:tr>
        <w:tc>
          <w:tcPr>
            <w:tcW w:type="dxa" w:w="4819"/>
          </w:tcPr>
          <w:p>
            <w:r>
              <w:rPr>
                <w:rFonts w:ascii="Consolas" w:hAnsi="Consolas"/>
                <w:sz w:val="18"/>
              </w:rPr>
              <w:t>Data/code/check_legislation_links.py</w:t>
            </w:r>
          </w:p>
        </w:tc>
        <w:tc>
          <w:tcPr>
            <w:tcW w:type="dxa" w:w="4819"/>
          </w:tcPr>
          <w:p>
            <w:r>
              <w:rPr>
                <w:b/>
                <w:sz w:val="18"/>
              </w:rPr>
              <w:t>The link-title check.</w:t>
            </w:r>
            <w:r>
              <w:rPr>
                <w:sz w:val="18"/>
              </w:rPr>
              <w:t xml:space="preserve"> For every </w:t>
            </w:r>
            <w:r>
              <w:rPr>
                <w:rFonts w:ascii="Consolas" w:hAnsi="Consolas"/>
                <w:sz w:val="18"/>
              </w:rPr>
              <w:t>Legislation</w:t>
            </w:r>
            <w:r>
              <w:rPr>
                <w:sz w:val="18"/>
              </w:rPr>
              <w:t xml:space="preserve"> record whose Link is on legislation.gov.uk, reads the instrument's title from </w:t>
            </w:r>
            <w:r>
              <w:rPr>
                <w:rFonts w:ascii="Consolas" w:hAnsi="Consolas"/>
                <w:sz w:val="18"/>
              </w:rPr>
              <w:t>&lt;base&gt;/data.xml</w:t>
            </w:r>
            <w:r>
              <w:rPr>
                <w:sz w:val="18"/>
              </w:rPr>
              <w:t xml:space="preserve"> and compares it with the record's </w:t>
            </w:r>
            <w:r>
              <w:rPr>
                <w:rFonts w:ascii="Consolas" w:hAnsi="Consolas"/>
                <w:sz w:val="18"/>
              </w:rPr>
              <w:t>Name</w:t>
            </w:r>
            <w:r>
              <w:rPr>
                <w:sz w:val="18"/>
              </w:rPr>
              <w:t xml:space="preserve"> (lenient on "The", dashes and trailing annotations such as "(SI 2015/610)"; </w:t>
            </w:r>
            <w:r>
              <w:rPr>
                <w:rFonts w:ascii="Consolas" w:hAnsi="Consolas"/>
                <w:sz w:val="18"/>
              </w:rPr>
              <w:t>EXPECTED</w:t>
            </w:r>
            <w:r>
              <w:rPr>
                <w:sz w:val="18"/>
              </w:rPr>
              <w:t xml:space="preserve"> lists records deliberately named otherwise). Fails on a mismatch; warns on a revoked/repealed title or an unreachable site. Spaces requests 2 s apart and caches titles for 30 days in </w:t>
            </w:r>
            <w:r>
              <w:rPr>
                <w:rFonts w:ascii="Consolas" w:hAnsi="Consolas"/>
                <w:sz w:val="18"/>
              </w:rPr>
              <w:t>Data/code/.legislation_title_cache.json</w:t>
            </w:r>
            <w:r>
              <w:rPr>
                <w:sz w:val="18"/>
              </w:rPr>
              <w:t xml:space="preserve"> (seeded from the 6 Oct 2026 manual audit, so the first offline runs still report). </w:t>
            </w:r>
            <w:r>
              <w:rPr>
                <w:rFonts w:ascii="Consolas" w:hAnsi="Consolas"/>
                <w:sz w:val="18"/>
              </w:rPr>
              <w:t>--refresh</w:t>
            </w:r>
            <w:r>
              <w:rPr>
                <w:sz w:val="18"/>
              </w:rPr>
              <w:t xml:space="preserve">, </w:t>
            </w:r>
            <w:r>
              <w:rPr>
                <w:rFonts w:ascii="Consolas" w:hAnsi="Consolas"/>
                <w:sz w:val="18"/>
              </w:rPr>
              <w:t>--offline</w:t>
            </w:r>
            <w:r>
              <w:rPr>
                <w:sz w:val="18"/>
              </w:rPr>
              <w:t xml:space="preserve">, </w:t>
            </w:r>
            <w:r>
              <w:rPr>
                <w:rFonts w:ascii="Consolas" w:hAnsi="Consolas"/>
                <w:sz w:val="18"/>
              </w:rPr>
              <w:t>--titles-json</w:t>
            </w:r>
            <w:r>
              <w:rPr>
                <w:sz w:val="18"/>
              </w:rPr>
              <w:t>. No new dependency.</w:t>
            </w:r>
          </w:p>
        </w:tc>
      </w:tr>
      <w:tr>
        <w:tc>
          <w:tcPr>
            <w:tcW w:type="dxa" w:w="4819"/>
          </w:tcPr>
          <w:p>
            <w:r>
              <w:rPr>
                <w:rFonts w:ascii="Consolas" w:hAnsi="Consolas"/>
                <w:sz w:val="18"/>
              </w:rPr>
              <w:t>Data/code/rebuild_xref.py</w:t>
            </w:r>
          </w:p>
        </w:tc>
        <w:tc>
          <w:tcPr>
            <w:tcW w:type="dxa" w:w="4819"/>
          </w:tcPr>
          <w:p>
            <w:r>
              <w:rPr>
                <w:sz w:val="18"/>
              </w:rPr>
              <w:t xml:space="preserve">Regenerates the derived </w:t>
            </w:r>
            <w:r>
              <w:rPr>
                <w:rFonts w:ascii="Consolas" w:hAnsi="Consolas"/>
                <w:sz w:val="18"/>
              </w:rPr>
              <w:t>Cross-Reference Index</w:t>
            </w:r>
            <w:r>
              <w:rPr>
                <w:sz w:val="18"/>
              </w:rPr>
              <w:t xml:space="preserve"> sheet in both governance workbooks from their record sheets. Run by </w:t>
            </w:r>
            <w:r>
              <w:rPr>
                <w:rFonts w:ascii="Consolas" w:hAnsi="Consolas"/>
                <w:sz w:val="18"/>
              </w:rPr>
              <w:t>finalise.py</w:t>
            </w:r>
            <w:r>
              <w:rPr>
                <w:sz w:val="18"/>
              </w:rPr>
              <w:t xml:space="preserve"> as step 1; the only automated write to a canonical workbook, and only to that derived sheet.</w:t>
            </w:r>
          </w:p>
        </w:tc>
      </w:tr>
      <w:tr>
        <w:tc>
          <w:tcPr>
            <w:tcW w:type="dxa" w:w="4819"/>
          </w:tcPr>
          <w:p>
            <w:r>
              <w:rPr>
                <w:rFonts w:ascii="Consolas" w:hAnsi="Consolas"/>
                <w:sz w:val="18"/>
              </w:rPr>
              <w:t>Data/code/orphan_codes.py</w:t>
            </w:r>
          </w:p>
        </w:tc>
        <w:tc>
          <w:tcPr>
            <w:tcW w:type="dxa" w:w="4819"/>
          </w:tcPr>
          <w:p>
            <w:r>
              <w:rPr>
                <w:sz w:val="18"/>
              </w:rPr>
              <w:t xml:space="preserve">Diagnostic companion: finds </w:t>
            </w:r>
            <w:r>
              <w:rPr>
                <w:rFonts w:ascii="Consolas" w:hAnsi="Consolas"/>
                <w:sz w:val="18"/>
              </w:rPr>
              <w:t>[CODE]</w:t>
            </w:r>
            <w:r>
              <w:rPr>
                <w:sz w:val="18"/>
              </w:rPr>
              <w:t xml:space="preserve"> mentions in narrative prose that no curated link column captures, so genuine relationships can be promoted. Writes </w:t>
            </w:r>
            <w:r>
              <w:rPr>
                <w:rFonts w:ascii="Consolas" w:hAnsi="Consolas"/>
                <w:sz w:val="18"/>
              </w:rPr>
              <w:t>orphan_narrative_codes.md</w:t>
            </w:r>
            <w:r>
              <w:rPr>
                <w:sz w:val="18"/>
              </w:rPr>
              <w:t xml:space="preserve"> and </w:t>
            </w:r>
            <w:r>
              <w:rPr>
                <w:rFonts w:ascii="Consolas" w:hAnsi="Consolas"/>
                <w:sz w:val="18"/>
              </w:rPr>
              <w:t>.csv</w:t>
            </w:r>
            <w:r>
              <w:rPr>
                <w:sz w:val="18"/>
              </w:rPr>
              <w:t xml:space="preserve"> to the </w:t>
            </w:r>
            <w:r>
              <w:rPr>
                <w:b/>
                <w:sz w:val="18"/>
              </w:rPr>
              <w:t>current working directory</w:t>
            </w:r>
            <w:r>
              <w:rPr>
                <w:sz w:val="18"/>
              </w:rPr>
              <w:t xml:space="preserve"> — run it from </w:t>
            </w:r>
            <w:r>
              <w:rPr>
                <w:rFonts w:ascii="Consolas" w:hAnsi="Consolas"/>
                <w:sz w:val="18"/>
              </w:rPr>
              <w:t>outputs_other/</w:t>
            </w:r>
            <w:r>
              <w:rPr>
                <w:sz w:val="18"/>
              </w:rPr>
              <w:t>, or the report lands beside the workbooks.</w:t>
            </w:r>
          </w:p>
        </w:tc>
      </w:tr>
      <w:tr>
        <w:tc>
          <w:tcPr>
            <w:tcW w:type="dxa" w:w="4819"/>
          </w:tcPr>
          <w:p>
            <w:r>
              <w:rPr>
                <w:rFonts w:ascii="Consolas" w:hAnsi="Consolas"/>
                <w:sz w:val="18"/>
              </w:rPr>
              <w:t>Dashboards/code/build_governance_diagram.py</w:t>
            </w:r>
          </w:p>
        </w:tc>
        <w:tc>
          <w:tcPr>
            <w:tcW w:type="dxa" w:w="4819"/>
          </w:tcPr>
          <w:p>
            <w:r>
              <w:rPr>
                <w:sz w:val="18"/>
              </w:rPr>
              <w:t xml:space="preserve">Builds the governance diagram from all three workbooks, parsing each cross-reference column separately so every edge carries a link type. </w:t>
            </w:r>
            <w:r>
              <w:rPr>
                <w:b/>
                <w:sz w:val="18"/>
              </w:rPr>
              <w:t xml:space="preserve">The entire HTML page lives in a </w:t>
            </w:r>
            <w:r>
              <w:rPr>
                <w:rFonts w:ascii="Consolas" w:hAnsi="Consolas"/>
                <w:b/>
                <w:sz w:val="18"/>
              </w:rPr>
              <w:t>TEMPLATE</w:t>
            </w:r>
            <w:r>
              <w:rPr>
                <w:b/>
                <w:sz w:val="18"/>
              </w:rPr>
              <w:t xml:space="preserve"> string inside this script</w:t>
            </w:r>
            <w:r>
              <w:rPr>
                <w:sz w:val="18"/>
              </w:rPr>
              <w:t xml:space="preserve"> — it writes a fresh file each time, so hand edits to the HTML are lost (§4). Output filename is a hardcoded literal.</w:t>
            </w:r>
          </w:p>
        </w:tc>
      </w:tr>
      <w:tr>
        <w:tc>
          <w:tcPr>
            <w:tcW w:type="dxa" w:w="4819"/>
          </w:tcPr>
          <w:p>
            <w:r>
              <w:rPr>
                <w:rFonts w:ascii="Consolas" w:hAnsi="Consolas"/>
                <w:sz w:val="18"/>
              </w:rPr>
              <w:t>Dashboards/code/build_indicator_finder.py</w:t>
            </w:r>
          </w:p>
        </w:tc>
        <w:tc>
          <w:tcPr>
            <w:tcW w:type="dxa" w:w="4819"/>
          </w:tcPr>
          <w:p>
            <w:r>
              <w:rPr>
                <w:sz w:val="18"/>
              </w:rPr>
              <w:t xml:space="preserve">Builds the indicator finder. Reads the indicators workbook </w:t>
            </w:r>
            <w:r>
              <w:rPr>
                <w:b/>
                <w:sz w:val="18"/>
              </w:rPr>
              <w:t>by header name</w:t>
            </w:r>
            <w:r>
              <w:rPr>
                <w:sz w:val="18"/>
              </w:rPr>
              <w:t xml:space="preserve"> (robust to column reordering) and re-injects </w:t>
            </w:r>
            <w:r>
              <w:rPr>
                <w:rFonts w:ascii="Consolas" w:hAnsi="Consolas"/>
                <w:sz w:val="18"/>
              </w:rPr>
              <w:t>INDICATORS</w:t>
            </w:r>
            <w:r>
              <w:rPr>
                <w:sz w:val="18"/>
              </w:rPr>
              <w:t xml:space="preserve"> and </w:t>
            </w:r>
            <w:r>
              <w:rPr>
                <w:rFonts w:ascii="Consolas" w:hAnsi="Consolas"/>
                <w:sz w:val="18"/>
              </w:rPr>
              <w:t>EXPORT_LOOKUPS</w:t>
            </w:r>
            <w:r>
              <w:rPr>
                <w:sz w:val="18"/>
              </w:rPr>
              <w:t xml:space="preserve"> into the existing v4 HTML, used as both template and output — so hand-made design edits and hand-written code survive a rebuild, but the HTML must exist (§4). Holds no hardcoded governance: each framework's policy context is derived from the </w:t>
            </w:r>
            <w:r>
              <w:rPr>
                <w:rFonts w:ascii="Consolas" w:hAnsi="Consolas"/>
                <w:sz w:val="18"/>
              </w:rPr>
              <w:t>Indicator Framework</w:t>
            </w:r>
            <w:r>
              <w:rPr>
                <w:sz w:val="18"/>
              </w:rPr>
              <w:t xml:space="preserve"> register. Prints a warning naming any </w:t>
            </w:r>
            <w:r>
              <w:rPr>
                <w:rFonts w:ascii="Consolas" w:hAnsi="Consolas"/>
                <w:sz w:val="18"/>
              </w:rPr>
              <w:t>Source_Framework</w:t>
            </w:r>
            <w:r>
              <w:rPr>
                <w:sz w:val="18"/>
              </w:rPr>
              <w:t xml:space="preserve"> value with no register match and any record with a blank </w:t>
            </w:r>
            <w:r>
              <w:rPr>
                <w:rFonts w:ascii="Consolas" w:hAnsi="Consolas"/>
                <w:sz w:val="18"/>
              </w:rPr>
              <w:t>Climate_Score</w:t>
            </w:r>
            <w:r>
              <w:rPr>
                <w:sz w:val="18"/>
              </w:rPr>
              <w:t xml:space="preserve">; fills the footer versions from each workbook's </w:t>
            </w:r>
            <w:r>
              <w:rPr>
                <w:rFonts w:ascii="Consolas" w:hAnsi="Consolas"/>
                <w:sz w:val="18"/>
              </w:rPr>
              <w:t>Changelog</w:t>
            </w:r>
            <w:r>
              <w:rPr>
                <w:sz w:val="18"/>
              </w:rPr>
              <w:t>.</w:t>
            </w:r>
          </w:p>
        </w:tc>
      </w:tr>
      <w:tr>
        <w:tc>
          <w:tcPr>
            <w:tcW w:type="dxa" w:w="4819"/>
          </w:tcPr>
          <w:p>
            <w:r>
              <w:rPr>
                <w:rFonts w:ascii="Consolas" w:hAnsi="Consolas"/>
                <w:sz w:val="18"/>
              </w:rPr>
              <w:t>Dashboards/code/build_all.py</w:t>
            </w:r>
          </w:p>
        </w:tc>
        <w:tc>
          <w:tcPr>
            <w:tcW w:type="dxa" w:w="4819"/>
          </w:tcPr>
          <w:p>
            <w:r>
              <w:rPr>
                <w:sz w:val="18"/>
              </w:rPr>
              <w:t xml:space="preserve">Orchestrator. Runs the two builders in the required order — diagram first, so the finder links to the newest diagram — from the correct working directories. </w:t>
            </w:r>
            <w:r>
              <w:rPr>
                <w:rFonts w:ascii="Consolas" w:hAnsi="Consolas"/>
                <w:sz w:val="18"/>
              </w:rPr>
              <w:t>python3 build_all.py [diagram\|finder]</w:t>
            </w:r>
            <w:r>
              <w:rPr>
                <w:sz w:val="18"/>
              </w:rPr>
              <w:t xml:space="preserve"> runs one.</w:t>
            </w:r>
          </w:p>
        </w:tc>
      </w:tr>
      <w:tr>
        <w:tc>
          <w:tcPr>
            <w:tcW w:type="dxa" w:w="4819"/>
          </w:tcPr>
          <w:p>
            <w:r>
              <w:rPr>
                <w:rFonts w:ascii="Consolas" w:hAnsi="Consolas"/>
                <w:sz w:val="18"/>
              </w:rPr>
              <w:t>Management/finalise.py</w:t>
            </w:r>
          </w:p>
        </w:tc>
        <w:tc>
          <w:tcPr>
            <w:tcW w:type="dxa" w:w="4819"/>
          </w:tcPr>
          <w:p>
            <w:r>
              <w:rPr>
                <w:b/>
                <w:sz w:val="18"/>
              </w:rPr>
              <w:t>The release gate.</w:t>
            </w:r>
            <w:r>
              <w:rPr>
                <w:sz w:val="18"/>
              </w:rPr>
              <w:t xml:space="preserve"> Five steps, each only if the previous passed: </w:t>
            </w:r>
            <w:r>
              <w:rPr>
                <w:rFonts w:ascii="Consolas" w:hAnsi="Consolas"/>
                <w:sz w:val="18"/>
              </w:rPr>
              <w:t>rebuild_xref.py</w:t>
            </w:r>
            <w:r>
              <w:rPr>
                <w:sz w:val="18"/>
              </w:rPr>
              <w:t xml:space="preserve"> → </w:t>
            </w:r>
            <w:r>
              <w:rPr>
                <w:rFonts w:ascii="Consolas" w:hAnsi="Consolas"/>
                <w:sz w:val="18"/>
              </w:rPr>
              <w:t>check_links.py</w:t>
            </w:r>
            <w:r>
              <w:rPr>
                <w:sz w:val="18"/>
              </w:rPr>
              <w:t xml:space="preserve"> → </w:t>
            </w:r>
            <w:r>
              <w:rPr>
                <w:rFonts w:ascii="Consolas" w:hAnsi="Consolas"/>
                <w:sz w:val="18"/>
              </w:rPr>
              <w:t>check_legislation_links.py</w:t>
            </w:r>
            <w:r>
              <w:rPr>
                <w:sz w:val="18"/>
              </w:rPr>
              <w:t xml:space="preserve"> → </w:t>
            </w:r>
            <w:r>
              <w:rPr>
                <w:rFonts w:ascii="Consolas" w:hAnsi="Consolas"/>
                <w:sz w:val="18"/>
              </w:rPr>
              <w:t>build_all.py</w:t>
            </w:r>
            <w:r>
              <w:rPr>
                <w:sz w:val="18"/>
              </w:rPr>
              <w:t xml:space="preserve"> → </w:t>
            </w:r>
            <w:r>
              <w:rPr>
                <w:rFonts w:ascii="Consolas" w:hAnsi="Consolas"/>
                <w:sz w:val="18"/>
              </w:rPr>
              <w:t>export_release.py</w:t>
            </w:r>
            <w:r>
              <w:rPr>
                <w:sz w:val="18"/>
              </w:rPr>
              <w:t xml:space="preserve">. Exit codes 1 index/check/link check, 2 build, 3 export. Deliberately does </w:t>
            </w:r>
            <w:r>
              <w:rPr>
                <w:i/>
                <w:sz w:val="18"/>
              </w:rPr>
              <w:t>not</w:t>
            </w:r>
            <w:r>
              <w:rPr>
                <w:sz w:val="18"/>
              </w:rPr>
              <w:t xml:space="preserve"> bump versions or archive — materiality is a human judgement. </w:t>
            </w:r>
            <w:r>
              <w:rPr>
                <w:rFonts w:ascii="Consolas" w:hAnsi="Consolas"/>
                <w:sz w:val="18"/>
              </w:rPr>
              <w:t>--check</w:t>
            </w:r>
            <w:r>
              <w:rPr>
                <w:sz w:val="18"/>
              </w:rPr>
              <w:t xml:space="preserve"> runs the gate alone.</w:t>
            </w:r>
          </w:p>
        </w:tc>
      </w:tr>
      <w:tr>
        <w:tc>
          <w:tcPr>
            <w:tcW w:type="dxa" w:w="4819"/>
          </w:tcPr>
          <w:p>
            <w:r>
              <w:rPr>
                <w:rFonts w:ascii="Consolas" w:hAnsi="Consolas"/>
                <w:sz w:val="18"/>
              </w:rPr>
              <w:t>Management/export_release.py</w:t>
            </w:r>
          </w:p>
        </w:tc>
        <w:tc>
          <w:tcPr>
            <w:tcW w:type="dxa" w:w="4819"/>
          </w:tcPr>
          <w:p>
            <w:r>
              <w:rPr>
                <w:sz w:val="18"/>
              </w:rPr>
              <w:t xml:space="preserve">Writes </w:t>
            </w:r>
            <w:r>
              <w:rPr>
                <w:rFonts w:ascii="Consolas" w:hAnsi="Consolas"/>
                <w:sz w:val="18"/>
              </w:rPr>
              <w:t>Exports/</w:t>
            </w:r>
            <w:r>
              <w:rPr>
                <w:sz w:val="18"/>
              </w:rPr>
              <w:t xml:space="preserve"> from the workbooks and Markdown: per-sheet CSVs with a manifest, </w:t>
            </w:r>
            <w:r>
              <w:rPr>
                <w:rFonts w:ascii="Consolas" w:hAnsi="Consolas"/>
                <w:sz w:val="18"/>
              </w:rPr>
              <w:t>.docx</w:t>
            </w:r>
            <w:r>
              <w:rPr>
                <w:sz w:val="18"/>
              </w:rPr>
              <w:t xml:space="preserve"> copies of the protocols, method spec, user guide, this document, </w:t>
            </w:r>
            <w:r>
              <w:rPr>
                <w:rFonts w:ascii="Consolas" w:hAnsi="Consolas"/>
                <w:sz w:val="18"/>
              </w:rPr>
              <w:t>pending_additions.md</w:t>
            </w:r>
            <w:r>
              <w:rPr>
                <w:sz w:val="18"/>
              </w:rPr>
              <w:t xml:space="preserve"> and </w:t>
            </w:r>
            <w:r>
              <w:rPr>
                <w:rFonts w:ascii="Consolas" w:hAnsi="Consolas"/>
                <w:sz w:val="18"/>
              </w:rPr>
              <w:t>CLIMATE_SCORE_METHOD.md</w:t>
            </w:r>
            <w:r>
              <w:rPr>
                <w:sz w:val="18"/>
              </w:rPr>
              <w:t xml:space="preserve">. The CSVs let GitHub Copilot, pandas and git diffs read workbook content without opening an </w:t>
            </w:r>
            <w:r>
              <w:rPr>
                <w:rFonts w:ascii="Consolas" w:hAnsi="Consolas"/>
                <w:sz w:val="18"/>
              </w:rPr>
              <w:t>.xlsx</w:t>
            </w:r>
            <w:r>
              <w:rPr>
                <w:sz w:val="18"/>
              </w:rPr>
              <w:t xml:space="preserve">; the DOCX copies are for Word readers. Rewrites a file only when its content changes, so unchanged sheets produce no git diff or OneDrive re-sync. An existing output it cannot read (an online-only OneDrive placeholder) is treated as changed and replaced atomically. The </w:t>
            </w:r>
            <w:r>
              <w:rPr>
                <w:rFonts w:ascii="Consolas" w:hAnsi="Consolas"/>
                <w:sz w:val="18"/>
              </w:rPr>
              <w:t>DOC_SOURCES</w:t>
            </w:r>
            <w:r>
              <w:rPr>
                <w:sz w:val="18"/>
              </w:rPr>
              <w:t xml:space="preserve"> list sits at the top of the script; bump </w:t>
            </w:r>
            <w:r>
              <w:rPr>
                <w:rFonts w:ascii="Consolas" w:hAnsi="Consolas"/>
                <w:sz w:val="18"/>
              </w:rPr>
              <w:t>CONVERTER_VERSION</w:t>
            </w:r>
            <w:r>
              <w:rPr>
                <w:sz w:val="18"/>
              </w:rPr>
              <w:t xml:space="preserve"> whenever the Markdown→DOCX converter changes.</w:t>
            </w:r>
          </w:p>
        </w:tc>
      </w:tr>
      <w:tr>
        <w:tc>
          <w:tcPr>
            <w:tcW w:type="dxa" w:w="4819"/>
          </w:tcPr>
          <w:p>
            <w:r>
              <w:rPr>
                <w:rFonts w:ascii="Consolas" w:hAnsi="Consolas"/>
                <w:sz w:val="18"/>
              </w:rPr>
              <w:t>Management/protocols/WORKBOOK_WRITE_PROTOCOL.md</w:t>
            </w:r>
          </w:p>
        </w:tc>
        <w:tc>
          <w:tcPr>
            <w:tcW w:type="dxa" w:w="4819"/>
          </w:tcPr>
          <w:p>
            <w:r>
              <w:rPr>
                <w:sz w:val="18"/>
              </w:rPr>
              <w:t xml:space="preserve">The governing SOP for </w:t>
            </w:r>
            <w:r>
              <w:rPr>
                <w:b/>
                <w:sz w:val="18"/>
              </w:rPr>
              <w:t>any</w:t>
            </w:r>
            <w:r>
              <w:rPr>
                <w:sz w:val="18"/>
              </w:rPr>
              <w:t xml:space="preserve"> workbook change: propose → verify → link map → write mechanics → version/changelog/archive → post-write gate → downstream dashboard sync. §7 carries the column→edge-type table. Read before every edit.</w:t>
            </w:r>
          </w:p>
        </w:tc>
      </w:tr>
      <w:tr>
        <w:tc>
          <w:tcPr>
            <w:tcW w:type="dxa" w:w="4819"/>
          </w:tcPr>
          <w:p>
            <w:r>
              <w:rPr>
                <w:rFonts w:ascii="Consolas" w:hAnsi="Consolas"/>
                <w:sz w:val="18"/>
              </w:rPr>
              <w:t>Management/protocols/POLICY_SCAN_PROTOCOL.md</w:t>
            </w:r>
          </w:p>
        </w:tc>
        <w:tc>
          <w:tcPr>
            <w:tcW w:type="dxa" w:w="4819"/>
          </w:tcPr>
          <w:p>
            <w:r>
              <w:rPr>
                <w:sz w:val="18"/>
              </w:rPr>
              <w:t>The quarterly scan for new records. Enumerative, not keyword-driven; an overlap match must be the same kind of thing.</w:t>
            </w:r>
          </w:p>
        </w:tc>
      </w:tr>
      <w:tr>
        <w:tc>
          <w:tcPr>
            <w:tcW w:type="dxa" w:w="4819"/>
          </w:tcPr>
          <w:p>
            <w:r>
              <w:rPr>
                <w:rFonts w:ascii="Consolas" w:hAnsi="Consolas"/>
                <w:sz w:val="18"/>
              </w:rPr>
              <w:t>PA_toolkit/code/render.py</w:t>
            </w:r>
          </w:p>
        </w:tc>
        <w:tc>
          <w:tcPr>
            <w:tcW w:type="dxa" w:w="4819"/>
          </w:tcPr>
          <w:p>
            <w:r>
              <w:rPr>
                <w:sz w:val="18"/>
              </w:rPr>
              <w:t xml:space="preserve">YAML → styled PDF (reportlab) + editable DOCX (python-docx). Handles </w:t>
            </w:r>
            <w:r>
              <w:rPr>
                <w:rFonts w:ascii="Consolas" w:hAnsi="Consolas"/>
                <w:sz w:val="18"/>
              </w:rPr>
              <w:t>**bold**</w:t>
            </w:r>
            <w:r>
              <w:rPr>
                <w:sz w:val="18"/>
              </w:rPr>
              <w:t xml:space="preserve"> / </w:t>
            </w:r>
            <w:r>
              <w:rPr>
                <w:rFonts w:ascii="Consolas" w:hAnsi="Consolas"/>
                <w:sz w:val="18"/>
              </w:rPr>
              <w:t>*italic*</w:t>
            </w:r>
            <w:r>
              <w:rPr>
                <w:sz w:val="18"/>
              </w:rPr>
              <w:t xml:space="preserve"> / </w:t>
            </w:r>
            <w:r>
              <w:rPr>
                <w:rFonts w:ascii="Consolas" w:hAnsi="Consolas"/>
                <w:sz w:val="18"/>
              </w:rPr>
              <w:t>[[label\|url]]</w:t>
            </w:r>
            <w:r>
              <w:rPr>
                <w:sz w:val="18"/>
              </w:rPr>
              <w:t xml:space="preserve"> markup, theming, section ordering.</w:t>
            </w:r>
          </w:p>
        </w:tc>
      </w:tr>
      <w:tr>
        <w:tc>
          <w:tcPr>
            <w:tcW w:type="dxa" w:w="4819"/>
          </w:tcPr>
          <w:p>
            <w:r>
              <w:rPr>
                <w:rFonts w:ascii="Consolas" w:hAnsi="Consolas"/>
                <w:sz w:val="18"/>
              </w:rPr>
              <w:t>requirements.txt</w:t>
            </w:r>
            <w:r>
              <w:rPr>
                <w:sz w:val="18"/>
              </w:rPr>
              <w:t xml:space="preserve"> (×4)</w:t>
            </w:r>
          </w:p>
        </w:tc>
        <w:tc>
          <w:tcPr>
            <w:tcW w:type="dxa" w:w="4819"/>
          </w:tcPr>
          <w:p>
            <w:r>
              <w:rPr>
                <w:sz w:val="18"/>
              </w:rPr>
              <w:t>One per code folder, each listing only what that folder needs. Keeps the toolkit independently shippable.</w:t>
            </w:r>
          </w:p>
        </w:tc>
      </w:tr>
    </w:tbl>
    <w:p/>
    <w:p>
      <w:r>
        <w:rPr>
          <w:b/>
        </w:rPr>
        <w:t>Stack.</w:t>
      </w:r>
      <w:r>
        <w:rPr/>
        <w:t xml:space="preserve"> Python 3; </w:t>
      </w:r>
      <w:r>
        <w:rPr>
          <w:rFonts w:ascii="Consolas" w:hAnsi="Consolas"/>
        </w:rPr>
        <w:t>openpyxl</w:t>
      </w:r>
      <w:r>
        <w:rPr/>
        <w:t xml:space="preserve"> for workbooks, </w:t>
      </w:r>
      <w:r>
        <w:rPr>
          <w:rFonts w:ascii="Consolas" w:hAnsi="Consolas"/>
        </w:rPr>
        <w:t>reportlab</w:t>
      </w:r>
      <w:r>
        <w:rPr/>
        <w:t xml:space="preserve"> / </w:t>
      </w:r>
      <w:r>
        <w:rPr>
          <w:rFonts w:ascii="Consolas" w:hAnsi="Consolas"/>
        </w:rPr>
        <w:t>python-docx</w:t>
      </w:r>
      <w:r>
        <w:rPr/>
        <w:t xml:space="preserve"> / </w:t>
      </w:r>
      <w:r>
        <w:rPr>
          <w:rFonts w:ascii="Consolas" w:hAnsi="Consolas"/>
        </w:rPr>
        <w:t>PyYAML</w:t>
      </w:r>
      <w:r>
        <w:rPr/>
        <w:t xml:space="preserve"> for assessments, </w:t>
      </w:r>
      <w:r>
        <w:rPr>
          <w:rFonts w:ascii="Consolas" w:hAnsi="Consolas"/>
        </w:rPr>
        <w:t>pandas</w:t>
      </w:r>
      <w:r>
        <w:rPr/>
        <w:t xml:space="preserve"> for inspection. Node/npm deliberately avoided — the dashboards are hand-built HTML/CSS/JS with no dependencies.</w:t>
      </w:r>
    </w:p>
    <w:p>
      <w:pPr>
        <w:pStyle w:val="Heading3"/>
      </w:pPr>
      <w:r>
        <w:rPr/>
        <w:t>6.1 AI configuration — GitHub Copilot</w:t>
      </w:r>
    </w:p>
    <w:p>
      <w:r>
        <w:rPr/>
        <w:t xml:space="preserve">GitHub Copilot agent mode in VS Code is the AI environment for managing this project on Met Office systems (decided October 2026). The Microsoft 365 Agent Builder and Copilot Studio packs drafted in September, and the </w:t>
      </w:r>
      <w:r>
        <w:rPr>
          <w:rFonts w:ascii="Consolas" w:hAnsi="Consolas"/>
        </w:rPr>
        <w:t>Data/pending_inbox/</w:t>
      </w:r>
      <w:r>
        <w:rPr/>
        <w:t xml:space="preserve"> mechanism and </w:t>
      </w:r>
      <w:r>
        <w:rPr>
          <w:rFonts w:ascii="Consolas" w:hAnsi="Consolas"/>
        </w:rPr>
        <w:t>.txt</w:t>
      </w:r>
      <w:r>
        <w:rPr/>
        <w:t xml:space="preserve"> template exports that existed only to serve them, were retired on 6 October 2026 (copies in </w:t>
      </w:r>
      <w:r>
        <w:rPr>
          <w:rFonts w:ascii="Consolas" w:hAnsi="Consolas"/>
        </w:rPr>
        <w:t>_to_delete/retired_2026-10-06/</w:t>
      </w:r>
      <w:r>
        <w:rPr/>
        <w:t>, and in git history at commit e7d744d).</w:t>
      </w:r>
    </w:p>
    <w:p>
      <w:r>
        <w:rPr/>
        <w:t xml:space="preserve">The configuration — </w:t>
      </w:r>
      <w:r>
        <w:rPr>
          <w:rFonts w:ascii="Consolas" w:hAnsi="Consolas"/>
        </w:rPr>
        <w:t>AGENTS.md</w:t>
      </w:r>
      <w:r>
        <w:rPr/>
        <w:t xml:space="preserve"> (always-on rules), five path-scoped instruction files, seven skills and five role agents separated by write scope — is staged in </w:t>
      </w:r>
      <w:r>
        <w:rPr>
          <w:rFonts w:ascii="Consolas" w:hAnsi="Consolas"/>
        </w:rPr>
        <w:t>Copilot_setup/</w:t>
      </w:r>
      <w:r>
        <w:rPr/>
        <w:t xml:space="preserve"> and </w:t>
      </w:r>
      <w:r>
        <w:rPr>
          <w:b/>
        </w:rPr>
        <w:t>has not yet been installed or tested</w:t>
      </w:r>
      <w:r>
        <w:rPr/>
        <w:t xml:space="preserve">. Installation and acceptance tests are in the root </w:t>
      </w:r>
      <w:r>
        <w:rPr>
          <w:rFonts w:ascii="Consolas" w:hAnsi="Consolas"/>
        </w:rPr>
        <w:t>README.md</w:t>
      </w:r>
      <w:r>
        <w:rPr/>
        <w:t>. No model is pinned; it is chosen in the chat model picker.</w:t>
      </w:r>
    </w:p>
    <w:p>
      <w:r>
        <w:rPr>
          <w:b/>
        </w:rPr>
        <w:t>Design rule: procedure lives in the protocols, routing lives in the skills.</w:t>
      </w:r>
      <w:r>
        <w:rPr/>
        <w:t xml:space="preserve"> Every agent, skill and instruction file is a thin pointer to </w:t>
      </w:r>
      <w:r>
        <w:rPr>
          <w:rFonts w:ascii="Consolas" w:hAnsi="Consolas"/>
        </w:rPr>
        <w:t>WORKBOOK_WRITE_PROTOCOL.md</w:t>
      </w:r>
      <w:r>
        <w:rPr/>
        <w:t xml:space="preserve">, </w:t>
      </w:r>
      <w:r>
        <w:rPr>
          <w:rFonts w:ascii="Consolas" w:hAnsi="Consolas"/>
        </w:rPr>
        <w:t>POLICY_SCAN_PROTOCOL.md</w:t>
      </w:r>
      <w:r>
        <w:rPr/>
        <w:t xml:space="preserve">, </w:t>
      </w:r>
      <w:r>
        <w:rPr>
          <w:rFonts w:ascii="Consolas" w:hAnsi="Consolas"/>
        </w:rPr>
        <w:t>METHOD_AND_SCORING.md</w:t>
      </w:r>
      <w:r>
        <w:rPr/>
        <w:t xml:space="preserve"> or </w:t>
      </w:r>
      <w:r>
        <w:rPr>
          <w:rFonts w:ascii="Consolas" w:hAnsi="Consolas"/>
        </w:rPr>
        <w:t>AGENTS.md</w:t>
      </w:r>
      <w:r>
        <w:rPr/>
        <w:t>. When one of those changes, re-check the pointers:</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Changed</w:t>
            </w:r>
          </w:p>
        </w:tc>
        <w:tc>
          <w:tcPr>
            <w:tcW w:type="dxa" w:w="4819"/>
            <w:shd w:val="clear" w:color="auto" w:fill="DCE6E8"/>
          </w:tcPr>
          <w:p>
            <w:r>
              <w:rPr>
                <w:b/>
                <w:sz w:val="18"/>
              </w:rPr>
              <w:t>Also check</w:t>
            </w:r>
          </w:p>
        </w:tc>
      </w:tr>
      <w:tr>
        <w:tc>
          <w:tcPr>
            <w:tcW w:type="dxa" w:w="4819"/>
          </w:tcPr>
          <w:p>
            <w:r>
              <w:rPr>
                <w:rFonts w:ascii="Consolas" w:hAnsi="Consolas"/>
                <w:sz w:val="18"/>
              </w:rPr>
              <w:t>WORKBOOK_WRITE_PROTOCOL.md</w:t>
            </w:r>
          </w:p>
        </w:tc>
        <w:tc>
          <w:tcPr>
            <w:tcW w:type="dxa" w:w="4819"/>
          </w:tcPr>
          <w:p>
            <w:r>
              <w:rPr>
                <w:rFonts w:ascii="Consolas" w:hAnsi="Consolas"/>
                <w:sz w:val="18"/>
              </w:rPr>
              <w:t>AGENTS.md</w:t>
            </w:r>
            <w:r>
              <w:rPr>
                <w:sz w:val="18"/>
              </w:rPr>
              <w:t xml:space="preserve">; the data, dashboards and management instructions; skills </w:t>
            </w:r>
            <w:r>
              <w:rPr>
                <w:rFonts w:ascii="Consolas" w:hAnsi="Consolas"/>
                <w:sz w:val="18"/>
              </w:rPr>
              <w:t>add-record</w:t>
            </w:r>
            <w:r>
              <w:rPr>
                <w:sz w:val="18"/>
              </w:rPr>
              <w:t xml:space="preserve">, </w:t>
            </w:r>
            <w:r>
              <w:rPr>
                <w:rFonts w:ascii="Consolas" w:hAnsi="Consolas"/>
                <w:sz w:val="18"/>
              </w:rPr>
              <w:t>release</w:t>
            </w:r>
            <w:r>
              <w:rPr>
                <w:sz w:val="18"/>
              </w:rPr>
              <w:t xml:space="preserve">; agent </w:t>
            </w:r>
            <w:r>
              <w:rPr>
                <w:rFonts w:ascii="Consolas" w:hAnsi="Consolas"/>
                <w:sz w:val="18"/>
              </w:rPr>
              <w:t>curator</w:t>
            </w:r>
          </w:p>
        </w:tc>
      </w:tr>
      <w:tr>
        <w:tc>
          <w:tcPr>
            <w:tcW w:type="dxa" w:w="4819"/>
          </w:tcPr>
          <w:p>
            <w:r>
              <w:rPr>
                <w:rFonts w:ascii="Consolas" w:hAnsi="Consolas"/>
                <w:sz w:val="18"/>
              </w:rPr>
              <w:t>POLICY_SCAN_PROTOCOL.md</w:t>
            </w:r>
          </w:p>
        </w:tc>
        <w:tc>
          <w:tcPr>
            <w:tcW w:type="dxa" w:w="4819"/>
          </w:tcPr>
          <w:p>
            <w:r>
              <w:rPr>
                <w:sz w:val="18"/>
              </w:rPr>
              <w:t xml:space="preserve">skills </w:t>
            </w:r>
            <w:r>
              <w:rPr>
                <w:rFonts w:ascii="Consolas" w:hAnsi="Consolas"/>
                <w:sz w:val="18"/>
              </w:rPr>
              <w:t>policy-scan</w:t>
            </w:r>
            <w:r>
              <w:rPr>
                <w:sz w:val="18"/>
              </w:rPr>
              <w:t xml:space="preserve">, </w:t>
            </w:r>
            <w:r>
              <w:rPr>
                <w:rFonts w:ascii="Consolas" w:hAnsi="Consolas"/>
                <w:sz w:val="18"/>
              </w:rPr>
              <w:t>triage-pending</w:t>
            </w:r>
            <w:r>
              <w:rPr>
                <w:sz w:val="18"/>
              </w:rPr>
              <w:t xml:space="preserve">; agent </w:t>
            </w:r>
            <w:r>
              <w:rPr>
                <w:rFonts w:ascii="Consolas" w:hAnsi="Consolas"/>
                <w:sz w:val="18"/>
              </w:rPr>
              <w:t>scanner</w:t>
            </w:r>
          </w:p>
        </w:tc>
      </w:tr>
      <w:tr>
        <w:tc>
          <w:tcPr>
            <w:tcW w:type="dxa" w:w="4819"/>
          </w:tcPr>
          <w:p>
            <w:r>
              <w:rPr>
                <w:rFonts w:ascii="Consolas" w:hAnsi="Consolas"/>
                <w:sz w:val="18"/>
              </w:rPr>
              <w:t>METHOD_AND_SCORING.md</w:t>
            </w:r>
            <w:r>
              <w:rPr>
                <w:sz w:val="18"/>
              </w:rPr>
              <w:t>, YAML templates</w:t>
            </w:r>
          </w:p>
        </w:tc>
        <w:tc>
          <w:tcPr>
            <w:tcW w:type="dxa" w:w="4819"/>
          </w:tcPr>
          <w:p>
            <w:r>
              <w:rPr>
                <w:sz w:val="18"/>
              </w:rPr>
              <w:t xml:space="preserve">skill </w:t>
            </w:r>
            <w:r>
              <w:rPr>
                <w:rFonts w:ascii="Consolas" w:hAnsi="Consolas"/>
                <w:sz w:val="18"/>
              </w:rPr>
              <w:t>run-assessment</w:t>
            </w:r>
            <w:r>
              <w:rPr>
                <w:sz w:val="18"/>
              </w:rPr>
              <w:t xml:space="preserve">; the assessments instructions; agent </w:t>
            </w:r>
            <w:r>
              <w:rPr>
                <w:rFonts w:ascii="Consolas" w:hAnsi="Consolas"/>
                <w:sz w:val="18"/>
              </w:rPr>
              <w:t>assessor</w:t>
            </w:r>
          </w:p>
        </w:tc>
      </w:tr>
      <w:tr>
        <w:tc>
          <w:tcPr>
            <w:tcW w:type="dxa" w:w="4819"/>
          </w:tcPr>
          <w:p>
            <w:r>
              <w:rPr>
                <w:rFonts w:ascii="Consolas" w:hAnsi="Consolas"/>
                <w:sz w:val="18"/>
              </w:rPr>
              <w:t>finalise.py</w:t>
            </w:r>
            <w:r>
              <w:rPr>
                <w:sz w:val="18"/>
              </w:rPr>
              <w:t xml:space="preserve">, </w:t>
            </w:r>
            <w:r>
              <w:rPr>
                <w:rFonts w:ascii="Consolas" w:hAnsi="Consolas"/>
                <w:sz w:val="18"/>
              </w:rPr>
              <w:t>export_release.py</w:t>
            </w:r>
          </w:p>
        </w:tc>
        <w:tc>
          <w:tcPr>
            <w:tcW w:type="dxa" w:w="4819"/>
          </w:tcPr>
          <w:p>
            <w:r>
              <w:rPr>
                <w:rFonts w:ascii="Consolas" w:hAnsi="Consolas"/>
                <w:sz w:val="18"/>
              </w:rPr>
              <w:t>AGENTS.md</w:t>
            </w:r>
            <w:r>
              <w:rPr>
                <w:sz w:val="18"/>
              </w:rPr>
              <w:t xml:space="preserve"> commands; skill </w:t>
            </w:r>
            <w:r>
              <w:rPr>
                <w:rFonts w:ascii="Consolas" w:hAnsi="Consolas"/>
                <w:sz w:val="18"/>
              </w:rPr>
              <w:t>release</w:t>
            </w:r>
            <w:r>
              <w:rPr>
                <w:sz w:val="18"/>
              </w:rPr>
              <w:t>; the exports and management instructions</w:t>
            </w:r>
          </w:p>
        </w:tc>
      </w:tr>
      <w:tr>
        <w:tc>
          <w:tcPr>
            <w:tcW w:type="dxa" w:w="4819"/>
          </w:tcPr>
          <w:p>
            <w:r>
              <w:rPr>
                <w:sz w:val="18"/>
              </w:rPr>
              <w:t>Controlled vocabulary, ID families, record counts</w:t>
            </w:r>
          </w:p>
        </w:tc>
        <w:tc>
          <w:tcPr>
            <w:tcW w:type="dxa" w:w="4819"/>
          </w:tcPr>
          <w:p>
            <w:r>
              <w:rPr>
                <w:rFonts w:ascii="Consolas" w:hAnsi="Consolas"/>
                <w:sz w:val="18"/>
              </w:rPr>
              <w:t>AGENTS.md</w:t>
            </w:r>
            <w:r>
              <w:rPr>
                <w:sz w:val="18"/>
              </w:rPr>
              <w:t xml:space="preserve">; skill </w:t>
            </w:r>
            <w:r>
              <w:rPr>
                <w:rFonts w:ascii="Consolas" w:hAnsi="Consolas"/>
                <w:sz w:val="18"/>
              </w:rPr>
              <w:t>lookup</w:t>
            </w:r>
            <w:r>
              <w:rPr>
                <w:sz w:val="18"/>
              </w:rPr>
              <w:t xml:space="preserve">; the root </w:t>
            </w:r>
            <w:r>
              <w:rPr>
                <w:rFonts w:ascii="Consolas" w:hAnsi="Consolas"/>
                <w:sz w:val="18"/>
              </w:rPr>
              <w:t>README.md</w:t>
            </w:r>
          </w:p>
        </w:tc>
      </w:tr>
      <w:tr>
        <w:tc>
          <w:tcPr>
            <w:tcW w:type="dxa" w:w="4819"/>
          </w:tcPr>
          <w:p>
            <w:r>
              <w:rPr>
                <w:sz w:val="18"/>
              </w:rPr>
              <w:t>Finder or diagram builders</w:t>
            </w:r>
          </w:p>
        </w:tc>
        <w:tc>
          <w:tcPr>
            <w:tcW w:type="dxa" w:w="4819"/>
          </w:tcPr>
          <w:p>
            <w:r>
              <w:rPr>
                <w:sz w:val="18"/>
              </w:rPr>
              <w:t xml:space="preserve">the dashboards instructions; agent </w:t>
            </w:r>
            <w:r>
              <w:rPr>
                <w:rFonts w:ascii="Consolas" w:hAnsi="Consolas"/>
                <w:sz w:val="18"/>
              </w:rPr>
              <w:t>dashboard-builder</w:t>
            </w:r>
          </w:p>
        </w:tc>
      </w:tr>
    </w:tbl>
    <w:p/>
    <w:p>
      <w:r>
        <w:rPr/>
        <w:t xml:space="preserve">Claude desktop project memory, used while the project was built in Claude Cowork, is held outside the repository and does not travel. Its durable rules are already in </w:t>
      </w:r>
      <w:r>
        <w:rPr>
          <w:rFonts w:ascii="Consolas" w:hAnsi="Consolas"/>
        </w:rPr>
        <w:t>AGENTS.md</w:t>
      </w:r>
      <w:r>
        <w:rPr/>
        <w:t xml:space="preserve"> and this document.</w:t>
      </w:r>
    </w:p>
    <w:p>
      <w:pPr>
        <w:pBdr>
          <w:bottom w:val="single" w:sz="6" w:space="1" w:color="A0A8AD"/>
        </w:pBdr>
      </w:pPr>
    </w:p>
    <w:p>
      <w:pPr>
        <w:pStyle w:val="Heading2"/>
      </w:pPr>
      <w:r>
        <w:rPr/>
        <w:t>7. Making a change</w:t>
      </w:r>
    </w:p>
    <w:p>
      <w:pPr>
        <w:tabs>
          <w:tab w:pos="454" w:val="left"/>
        </w:tabs>
        <w:spacing w:after="60"/>
        <w:ind w:left="454" w:hanging="454"/>
      </w:pPr>
      <w:r>
        <w:rPr/>
        <w:t>1.</w:t>
        <w:tab/>
      </w:r>
      <w:r>
        <w:rPr>
          <w:b/>
        </w:rPr>
        <w:t>Propose</w:t>
      </w:r>
      <w:r>
        <w:rPr/>
        <w:t xml:space="preserve"> the change and verify every factual value against primary sources (gov.uk, legislation.gov.uk, gov.scot, agency portals, treaty texts) before writing. Blank over guess.</w:t>
      </w:r>
    </w:p>
    <w:p>
      <w:pPr>
        <w:tabs>
          <w:tab w:pos="454" w:val="left"/>
        </w:tabs>
        <w:spacing w:after="60"/>
        <w:ind w:left="454" w:hanging="454"/>
      </w:pPr>
      <w:r>
        <w:rPr/>
        <w:t>2.</w:t>
        <w:tab/>
      </w:r>
      <w:r>
        <w:rPr>
          <w:b/>
        </w:rPr>
        <w:t>Enumerate the link map</w:t>
      </w:r>
      <w:r>
        <w:rPr/>
        <w:t xml:space="preserve"> — a single record rarely lives in one cell. Reciprocal touches first.</w:t>
      </w:r>
    </w:p>
    <w:p>
      <w:pPr>
        <w:tabs>
          <w:tab w:pos="454" w:val="left"/>
        </w:tabs>
        <w:spacing w:after="60"/>
        <w:ind w:left="454" w:hanging="454"/>
      </w:pPr>
      <w:r>
        <w:rPr/>
        <w:t>3.</w:t>
        <w:tab/>
      </w:r>
      <w:r>
        <w:rPr>
          <w:b/>
        </w:rPr>
        <w:t>Write</w:t>
      </w:r>
      <w:r>
        <w:rPr/>
        <w:t>, respecting the openpyxl hazards in §3.</w:t>
      </w:r>
    </w:p>
    <w:p>
      <w:pPr>
        <w:tabs>
          <w:tab w:pos="454" w:val="left"/>
        </w:tabs>
        <w:spacing w:after="60"/>
        <w:ind w:left="454" w:hanging="454"/>
      </w:pPr>
      <w:r>
        <w:rPr/>
        <w:t>4.</w:t>
        <w:tab/>
      </w:r>
      <w:r>
        <w:rPr>
          <w:b/>
        </w:rPr>
        <w:t>Bump the version integer</w:t>
      </w:r>
      <w:r>
        <w:rPr/>
        <w:t xml:space="preserve"> in </w:t>
      </w:r>
      <w:r>
        <w:rPr>
          <w:rFonts w:ascii="Consolas" w:hAnsi="Consolas"/>
        </w:rPr>
        <w:t>Changelog!B2</w:t>
      </w:r>
      <w:r>
        <w:rPr/>
        <w:t xml:space="preserve">, write the changelog entry, archive the superseded file to </w:t>
      </w:r>
      <w:r>
        <w:rPr>
          <w:rFonts w:ascii="Consolas" w:hAnsi="Consolas"/>
        </w:rPr>
        <w:t>Data/outdated_files/</w:t>
      </w:r>
      <w:r>
        <w:rPr/>
        <w:t>.</w:t>
      </w:r>
    </w:p>
    <w:p>
      <w:pPr>
        <w:tabs>
          <w:tab w:pos="454" w:val="left"/>
        </w:tabs>
        <w:spacing w:after="60"/>
        <w:ind w:left="454" w:hanging="454"/>
      </w:pPr>
      <w:r>
        <w:rPr/>
        <w:t>5.</w:t>
        <w:tab/>
      </w:r>
      <w:r>
        <w:rPr>
          <w:b/>
        </w:rPr>
        <w:t xml:space="preserve">Run </w:t>
      </w:r>
      <w:r>
        <w:rPr>
          <w:rFonts w:ascii="Consolas" w:hAnsi="Consolas"/>
          <w:b/>
        </w:rPr>
        <w:t>python3 Management/finalise.py</w:t>
      </w:r>
      <w:r>
        <w:rPr/>
        <w:t xml:space="preserve"> — Cross-Reference Index regeneration, integrity check, legislation link check, then both dashboards, then </w:t>
      </w:r>
      <w:r>
        <w:rPr>
          <w:rFonts w:ascii="Consolas" w:hAnsi="Consolas"/>
        </w:rPr>
        <w:t>Exports/</w:t>
      </w:r>
      <w:r>
        <w:rPr/>
        <w:t xml:space="preserve">. Read the builder's warnings: an unmatched </w:t>
      </w:r>
      <w:r>
        <w:rPr>
          <w:rFonts w:ascii="Consolas" w:hAnsi="Consolas"/>
        </w:rPr>
        <w:t>Source_Framework</w:t>
      </w:r>
      <w:r>
        <w:rPr/>
        <w:t xml:space="preserve"> or an unscored record is a warning, not a failure, and does not stop the gate.</w:t>
      </w:r>
    </w:p>
    <w:p>
      <w:pPr>
        <w:tabs>
          <w:tab w:pos="454" w:val="left"/>
        </w:tabs>
        <w:spacing w:after="60"/>
        <w:ind w:left="454" w:hanging="454"/>
      </w:pPr>
      <w:r>
        <w:rPr/>
        <w:t>6.</w:t>
        <w:tab/>
      </w:r>
      <w:r>
        <w:rPr>
          <w:b/>
        </w:rPr>
        <w:t>Verify structurally afterwards.</w:t>
      </w:r>
      <w:r>
        <w:rPr/>
        <w:t xml:space="preserve"> Re-read what you wrote and compare against the live headers. Two silent openpyxl failures have been caught this way; neither raised an error.</w:t>
      </w:r>
    </w:p>
    <w:p>
      <w:r>
        <w:rPr/>
        <w:t xml:space="preserve">If a dashboard's </w:t>
      </w:r>
      <w:r>
        <w:rPr>
          <w:i/>
        </w:rPr>
        <w:t>design</w:t>
      </w:r>
      <w:r>
        <w:rPr/>
        <w:t xml:space="preserve"> changed, bump its </w:t>
      </w:r>
      <w:r>
        <w:rPr>
          <w:rFonts w:ascii="Consolas" w:hAnsi="Consolas"/>
        </w:rPr>
        <w:t>_vN</w:t>
      </w:r>
      <w:r>
        <w:rPr/>
        <w:t xml:space="preserve"> and archive the prior HTML. The finder re-points </w:t>
      </w:r>
      <w:r>
        <w:rPr>
          <w:rFonts w:ascii="Consolas" w:hAnsi="Consolas"/>
        </w:rPr>
        <w:t>GOV_DIAGRAM</w:t>
      </w:r>
      <w:r>
        <w:rPr/>
        <w:t xml:space="preserve"> automatically, so a diagram rename is safe provided the old file leaves </w:t>
      </w:r>
      <w:r>
        <w:rPr>
          <w:rFonts w:ascii="Consolas" w:hAnsi="Consolas"/>
        </w:rPr>
        <w:t>Dashboards/</w:t>
      </w:r>
      <w:r>
        <w:rPr/>
        <w:t>.</w:t>
      </w:r>
    </w:p>
    <w:p>
      <w:pPr>
        <w:pBdr>
          <w:bottom w:val="single" w:sz="6" w:space="1" w:color="A0A8AD"/>
        </w:pBdr>
      </w:pPr>
    </w:p>
    <w:p>
      <w:pPr>
        <w:pStyle w:val="Heading2"/>
      </w:pPr>
      <w:r>
        <w:rPr/>
        <w:t>8. Conventions</w:t>
      </w:r>
    </w:p>
    <w:p>
      <w:r>
        <w:rPr>
          <w:b/>
        </w:rPr>
        <w:t>Communication</w:t>
      </w:r>
      <w:r>
        <w:rPr/>
        <w:t xml:space="preserve"> — concise British English; metric units; direct recommendations without hedging; pushback welcomed; cited sources with explicit confidence levels; state gaps rather than guess.</w:t>
      </w:r>
    </w:p>
    <w:p>
      <w:r>
        <w:rPr>
          <w:b/>
        </w:rPr>
        <w:t>Data integrity</w:t>
      </w:r>
    </w:p>
    <w:p>
      <w:pPr>
        <w:pStyle w:val="ListBullet"/>
      </w:pPr>
      <w:r>
        <w:rPr/>
        <w:t>Never reuse retired Record IDs (</w:t>
      </w:r>
      <w:r>
        <w:rPr>
          <w:rFonts w:ascii="Consolas" w:hAnsi="Consolas"/>
        </w:rPr>
        <w:t>POL-023</w:t>
      </w:r>
      <w:r>
        <w:rPr/>
        <w:t xml:space="preserve">, </w:t>
      </w:r>
      <w:r>
        <w:rPr>
          <w:rFonts w:ascii="Consolas" w:hAnsi="Consolas"/>
        </w:rPr>
        <w:t>POL-024</w:t>
      </w:r>
      <w:r>
        <w:rPr/>
        <w:t xml:space="preserve">, </w:t>
      </w:r>
      <w:r>
        <w:rPr>
          <w:rFonts w:ascii="Consolas" w:hAnsi="Consolas"/>
        </w:rPr>
        <w:t>LEG-008</w:t>
      </w:r>
      <w:r>
        <w:rPr/>
        <w:t xml:space="preserve">, </w:t>
      </w:r>
      <w:r>
        <w:rPr>
          <w:rFonts w:ascii="Consolas" w:hAnsi="Consolas"/>
        </w:rPr>
        <w:t>LEG-009</w:t>
      </w:r>
      <w:r>
        <w:rPr/>
        <w:t xml:space="preserve"> are permanently retired; </w:t>
      </w:r>
      <w:r>
        <w:rPr>
          <w:rFonts w:ascii="Consolas" w:hAnsi="Consolas"/>
        </w:rPr>
        <w:t>check_links.py</w:t>
      </w:r>
      <w:r>
        <w:rPr/>
        <w:t xml:space="preserve"> holds the list). LEG-008 (BNG, a duplicate of [POL-065]) and LEG-009 (the EPPS, now [POL-111]) were retired in v29 because neither is a statutory instrument.</w:t>
      </w:r>
    </w:p>
    <w:p>
      <w:pPr>
        <w:pStyle w:val="ListBullet"/>
      </w:pPr>
      <w:r>
        <w:rPr>
          <w:b/>
        </w:rPr>
        <w:t>The Legislation sheet holds Acts, SIs, Orders and retained/EU instruments only.</w:t>
      </w:r>
      <w:r>
        <w:rPr/>
        <w:t xml:space="preserve"> A statutory policy statement or statutory scheme made under an Act goes in Policies &amp; Activities with the Act as </w:t>
      </w:r>
      <w:r>
        <w:rPr>
          <w:rFonts w:ascii="Consolas" w:hAnsi="Consolas"/>
        </w:rPr>
        <w:t>Enabling_Legislation</w:t>
      </w:r>
      <w:r>
        <w:rPr/>
        <w:t xml:space="preserve"> — precedents [POL-059] Marine Policy Statement, [POL-111] EPPS, [POL-065] BNG.</w:t>
      </w:r>
    </w:p>
    <w:p>
      <w:pPr>
        <w:pStyle w:val="ListBullet"/>
      </w:pPr>
      <w:r>
        <w:rPr/>
        <w:t xml:space="preserve">Cross-reference codes wrapped in </w:t>
      </w:r>
      <w:r>
        <w:rPr>
          <w:rFonts w:ascii="Consolas" w:hAnsi="Consolas"/>
        </w:rPr>
        <w:t>[CODE]</w:t>
      </w:r>
      <w:r>
        <w:rPr/>
        <w:t xml:space="preserve"> brackets everywhere </w:t>
      </w:r>
      <w:r>
        <w:rPr>
          <w:b/>
        </w:rPr>
        <w:t>except</w:t>
      </w:r>
      <w:r>
        <w:rPr/>
        <w:t xml:space="preserve"> </w:t>
      </w:r>
      <w:r>
        <w:rPr>
          <w:rFonts w:ascii="Consolas" w:hAnsi="Consolas"/>
        </w:rPr>
        <w:t>Record_ID</w:t>
      </w:r>
      <w:r>
        <w:rPr/>
        <w:t xml:space="preserve"> / </w:t>
      </w:r>
      <w:r>
        <w:rPr>
          <w:rFonts w:ascii="Consolas" w:hAnsi="Consolas"/>
        </w:rPr>
        <w:t>Framework_ID</w:t>
      </w:r>
      <w:r>
        <w:rPr/>
        <w:t xml:space="preserve"> primary-key columns — exclude those from any global regex pass.</w:t>
      </w:r>
    </w:p>
    <w:p>
      <w:pPr>
        <w:pStyle w:val="ListBullet"/>
      </w:pPr>
      <w:r>
        <w:rPr/>
        <w:t>No silent controlled-vocabulary additions. Flag new terms for explicit approval.</w:t>
      </w:r>
    </w:p>
    <w:p>
      <w:pPr>
        <w:pStyle w:val="ListBullet"/>
      </w:pPr>
      <w:r>
        <w:rPr/>
        <w:t xml:space="preserve">Hard/soft international link classification is by </w:t>
      </w:r>
      <w:r>
        <w:rPr>
          <w:b/>
        </w:rPr>
        <w:t>ratification status</w:t>
      </w:r>
      <w:r>
        <w:rPr/>
        <w:t>, not endpoint type.</w:t>
      </w:r>
    </w:p>
    <w:p>
      <w:pPr>
        <w:pStyle w:val="ListBullet"/>
      </w:pPr>
      <w:r>
        <w:rPr/>
        <w:t xml:space="preserve">Narrative prose fields are excluded from auto-conversion to edges — hence </w:t>
      </w:r>
      <w:r>
        <w:rPr>
          <w:rFonts w:ascii="Consolas" w:hAnsi="Consolas"/>
        </w:rPr>
        <w:t>orphan_codes.py</w:t>
      </w:r>
      <w:r>
        <w:rPr/>
        <w:t>.</w:t>
      </w:r>
    </w:p>
    <w:p>
      <w:r>
        <w:rPr>
          <w:b/>
        </w:rPr>
        <w:t>ID families</w:t>
      </w:r>
      <w:r>
        <w:rPr/>
        <w:t xml:space="preserve"> — </w:t>
      </w:r>
      <w:r>
        <w:rPr>
          <w:rFonts w:ascii="Consolas" w:hAnsi="Consolas"/>
        </w:rPr>
        <w:t>LEG-NNN</w:t>
      </w:r>
      <w:r>
        <w:rPr/>
        <w:t xml:space="preserve">, </w:t>
      </w:r>
      <w:r>
        <w:rPr>
          <w:rFonts w:ascii="Consolas" w:hAnsi="Consolas"/>
        </w:rPr>
        <w:t>ORG-NNN</w:t>
      </w:r>
      <w:r>
        <w:rPr/>
        <w:t xml:space="preserve">, </w:t>
      </w:r>
      <w:r>
        <w:rPr>
          <w:rFonts w:ascii="Consolas" w:hAnsi="Consolas"/>
        </w:rPr>
        <w:t>POL-NNN</w:t>
      </w:r>
      <w:r>
        <w:rPr/>
        <w:t xml:space="preserve"> (UK); </w:t>
      </w:r>
      <w:r>
        <w:rPr>
          <w:rFonts w:ascii="Consolas" w:hAnsi="Consolas"/>
        </w:rPr>
        <w:t>INT-L/O/P-NNN</w:t>
      </w:r>
      <w:r>
        <w:rPr/>
        <w:t xml:space="preserve">, </w:t>
      </w:r>
      <w:r>
        <w:rPr>
          <w:rFonts w:ascii="Consolas" w:hAnsi="Consolas"/>
        </w:rPr>
        <w:t>EU-L-NNN</w:t>
      </w:r>
      <w:r>
        <w:rPr/>
        <w:t xml:space="preserve"> (international); </w:t>
      </w:r>
      <w:r>
        <w:rPr>
          <w:rFonts w:ascii="Consolas" w:hAnsi="Consolas"/>
        </w:rPr>
        <w:t>IFW-NN</w:t>
      </w:r>
      <w:r>
        <w:rPr/>
        <w:t xml:space="preserve"> (frameworks). Indicator Record_IDs are </w:t>
      </w:r>
      <w:r>
        <w:rPr>
          <w:b/>
        </w:rPr>
        <w:t>not</w:t>
      </w:r>
      <w:r>
        <w:rPr/>
        <w:t xml:space="preserve"> all </w:t>
      </w:r>
      <w:r>
        <w:rPr>
          <w:rFonts w:ascii="Consolas" w:hAnsi="Consolas"/>
        </w:rPr>
        <w:t>IND-x-NNN</w:t>
      </w:r>
      <w:r>
        <w:rPr/>
        <w:t xml:space="preserve">: </w:t>
      </w:r>
      <w:r>
        <w:rPr>
          <w:rFonts w:ascii="Consolas" w:hAnsi="Consolas"/>
        </w:rPr>
        <w:t>IND-E-</w:t>
      </w:r>
      <w:r>
        <w:rPr/>
        <w:t xml:space="preserve"> EIF, </w:t>
      </w:r>
      <w:r>
        <w:rPr>
          <w:rFonts w:ascii="Consolas" w:hAnsi="Consolas"/>
        </w:rPr>
        <w:t>IND-C-</w:t>
      </w:r>
      <w:r>
        <w:rPr/>
        <w:t xml:space="preserve"> CCC, </w:t>
      </w:r>
      <w:r>
        <w:rPr>
          <w:rFonts w:ascii="Consolas" w:hAnsi="Consolas"/>
        </w:rPr>
        <w:t>IND-J-</w:t>
      </w:r>
      <w:r>
        <w:rPr/>
        <w:t xml:space="preserve"> JNCC, </w:t>
      </w:r>
      <w:r>
        <w:rPr>
          <w:rFonts w:ascii="Consolas" w:hAnsi="Consolas"/>
        </w:rPr>
        <w:t>IND-S-</w:t>
      </w:r>
      <w:r>
        <w:rPr/>
        <w:t xml:space="preserve"> SoN, </w:t>
      </w:r>
      <w:r>
        <w:rPr>
          <w:rFonts w:ascii="Consolas" w:hAnsi="Consolas"/>
        </w:rPr>
        <w:t>IND-B-</w:t>
      </w:r>
      <w:r>
        <w:rPr/>
        <w:t xml:space="preserve"> EEA, then the frameworks' own codes — </w:t>
      </w:r>
      <w:r>
        <w:rPr>
          <w:rFonts w:ascii="Consolas" w:hAnsi="Consolas"/>
        </w:rPr>
        <w:t>BIP-</w:t>
      </w:r>
      <w:r>
        <w:rPr/>
        <w:t xml:space="preserve">, </w:t>
      </w:r>
      <w:r>
        <w:rPr>
          <w:rFonts w:ascii="Consolas" w:hAnsi="Consolas"/>
        </w:rPr>
        <w:t>GBF-</w:t>
      </w:r>
      <w:r>
        <w:rPr/>
        <w:t xml:space="preserve">, </w:t>
      </w:r>
      <w:r>
        <w:rPr>
          <w:rFonts w:ascii="Consolas" w:hAnsi="Consolas"/>
        </w:rPr>
        <w:t>SDG-</w:t>
      </w:r>
      <w:r>
        <w:rPr/>
        <w:t xml:space="preserve">, and </w:t>
      </w:r>
      <w:r>
        <w:rPr>
          <w:rFonts w:ascii="Consolas" w:hAnsi="Consolas"/>
        </w:rPr>
        <w:t>IPBES-N-</w:t>
      </w:r>
      <w:r>
        <w:rPr/>
        <w:t xml:space="preserve"> / </w:t>
      </w:r>
      <w:r>
        <w:rPr>
          <w:rFonts w:ascii="Consolas" w:hAnsi="Consolas"/>
        </w:rPr>
        <w:t>IPBES-NCP-</w:t>
      </w:r>
      <w:r>
        <w:rPr/>
        <w:t xml:space="preserve"> / </w:t>
      </w:r>
      <w:r>
        <w:rPr>
          <w:rFonts w:ascii="Consolas" w:hAnsi="Consolas"/>
        </w:rPr>
        <w:t>IPBES-D-</w:t>
      </w:r>
      <w:r>
        <w:rPr/>
        <w:t xml:space="preserve">. Gaps in the </w:t>
      </w:r>
      <w:r>
        <w:rPr>
          <w:rFonts w:ascii="Consolas" w:hAnsi="Consolas"/>
        </w:rPr>
        <w:t>IND-C</w:t>
      </w:r>
      <w:r>
        <w:rPr/>
        <w:t xml:space="preserve"> and </w:t>
      </w:r>
      <w:r>
        <w:rPr>
          <w:rFonts w:ascii="Consolas" w:hAnsi="Consolas"/>
        </w:rPr>
        <w:t>IND-B</w:t>
      </w:r>
      <w:r>
        <w:rPr/>
        <w:t xml:space="preserve"> numbering predate July 2026 and are treated as intentional; new records continue from the maximum.</w:t>
      </w:r>
    </w:p>
    <w:p>
      <w:r>
        <w:rPr>
          <w:b/>
        </w:rPr>
        <w:t>Devolved tier</w:t>
      </w:r>
      <w:r>
        <w:rPr/>
        <w:t xml:space="preserve"> </w:t>
      </w:r>
      <w:r>
        <w:rPr>
          <w:i/>
        </w:rPr>
        <w:t>(Jonathan, 18 September 2026)</w:t>
      </w:r>
      <w:r>
        <w:rPr/>
        <w:t xml:space="preserve"> — the four administrations are held at administration level ([ORG-034] Scottish Government, [ORG-035] Welsh Government, [ORG-036] Northern Ireland Executive). No devolved department is held as a record; departments are named in prose in brackets after the administration. A candidate that is a devolved department is rejected on this rule.</w:t>
      </w:r>
    </w:p>
    <w:p>
      <w:r>
        <w:rPr>
          <w:b/>
        </w:rPr>
        <w:t xml:space="preserve">Controlled vocabulary — </w:t>
      </w:r>
      <w:r>
        <w:rPr>
          <w:rFonts w:ascii="Consolas" w:hAnsi="Consolas"/>
          <w:b/>
        </w:rPr>
        <w:t>Policy_Sector</w:t>
      </w:r>
      <w:r>
        <w:rPr>
          <w:b/>
        </w:rPr>
        <w:t>.</w:t>
      </w:r>
      <w:r>
        <w:rPr/>
        <w:t xml:space="preserve"> One vocabulary of </w:t>
      </w:r>
      <w:r>
        <w:rPr>
          <w:b/>
        </w:rPr>
        <w:t>14 classes shared by all three workbooks</w:t>
      </w:r>
      <w:r>
        <w:rPr/>
        <w:t>, pipe-separated, max 3 per indicator, uncapped for governance records. Do not fork it per workbook — both dashboards filter on it.</w:t>
      </w:r>
    </w:p>
    <w:p>
      <w:pPr>
        <w:pStyle w:val="IntenseQuote"/>
      </w:pPr>
      <w:r>
        <w:rPr/>
        <w:t>Nature &amp; Biodiversity · Marine &amp; Fisheries · Water · Land Use &amp; Agriculture · Urban &amp; Buildings · Trade &amp; Industry · Finance · Health · Climate · Energy · Transport · Biosecurity · Governance, Society &amp; Data · Pollution &amp; Waste</w:t>
      </w:r>
    </w:p>
    <w:p>
      <w:r>
        <w:rPr/>
        <w:t xml:space="preserve">Note the comma in "Governance, Society &amp; Data". </w:t>
      </w:r>
      <w:r>
        <w:rPr>
          <w:rFonts w:ascii="Consolas" w:hAnsi="Consolas"/>
        </w:rPr>
        <w:t>Health</w:t>
      </w:r>
      <w:r>
        <w:rPr/>
        <w:t xml:space="preserve"> and </w:t>
      </w:r>
      <w:r>
        <w:rPr>
          <w:rFonts w:ascii="Consolas" w:hAnsi="Consolas"/>
        </w:rPr>
        <w:t>Trade &amp; Industry</w:t>
      </w:r>
      <w:r>
        <w:rPr/>
        <w:t xml:space="preserve"> are in </w:t>
      </w:r>
      <w:r>
        <w:rPr>
          <w:i/>
        </w:rPr>
        <w:t>use</w:t>
      </w:r>
      <w:r>
        <w:rPr/>
        <w:t xml:space="preserve"> only on indicator records, but are in </w:t>
      </w:r>
      <w:r>
        <w:rPr>
          <w:i/>
        </w:rPr>
        <w:t>scope</w:t>
      </w:r>
      <w:r>
        <w:rPr/>
        <w:t xml:space="preserve"> for governance records.</w:t>
      </w:r>
    </w:p>
    <w:p>
      <w:pPr>
        <w:pStyle w:val="Heading3"/>
      </w:pPr>
      <w:r>
        <w:rPr/>
        <w:t xml:space="preserve">Scope rules — what is deliberately </w:t>
      </w:r>
      <w:r>
        <w:rPr>
          <w:b/>
        </w:rPr>
        <w:t>not</w:t>
      </w:r>
      <w:r>
        <w:rPr/>
        <w:t xml:space="preserve"> catalogued</w:t>
      </w:r>
    </w:p>
    <w:p>
      <w:r>
        <w:rPr/>
        <w:t>Both rules below were applied repeatedly before they were written down, which meant the same candidates kept coming back through successive scans. They are decisions, not drift.</w:t>
      </w:r>
    </w:p>
    <w:p>
      <w:r>
        <w:rPr>
          <w:b/>
        </w:rPr>
        <w:t>1. Operational agency monitoring statistics are out of scope</w:t>
      </w:r>
      <w:r>
        <w:rPr/>
        <w:t xml:space="preserve"> </w:t>
      </w:r>
      <w:r>
        <w:rPr>
          <w:i/>
        </w:rPr>
        <w:t>(Jonathan, 11 and 18 September 2026).</w:t>
      </w:r>
      <w:r>
        <w:rPr/>
        <w:t xml:space="preserve"> Environment Agency dry weather and drought summaries, water situation reports, rainfall and river flow weekly reports, and equivalent operational series from other agencies are </w:t>
      </w:r>
      <w:r>
        <w:rPr>
          <w:b/>
        </w:rPr>
        <w:t>not</w:t>
      </w:r>
      <w:r>
        <w:rPr/>
        <w:t xml:space="preserve"> catalogued as indicator records. They are operational hydrological monitoring, published on a weekly or monthly operational cycle, and they are not indicators of a policy target.</w:t>
      </w:r>
    </w:p>
    <w:p>
      <w:pPr>
        <w:pStyle w:val="IntenseQuote"/>
      </w:pPr>
      <w:r>
        <w:rPr/>
        <w:t xml:space="preserve">⚠ </w:t>
      </w:r>
      <w:r>
        <w:rPr>
          <w:b/>
        </w:rPr>
        <w:t>Know what this costs.</w:t>
      </w:r>
      <w:r>
        <w:rPr/>
        <w:t xml:space="preserve"> Drought and water availability is the single largest thematic gap in the catalogue, confirmed from three independent source types during the September 2026 scan. The workbook holds [IND-C-105] freshwater quality and quantity and [IND-E-044] drought disruption, and from indicators v23 the CCC adaptation targets for the water and wastewater system — but no drought monitoring series. This is an accepted gap, not an oversight. An earlier note in </w:t>
      </w:r>
      <w:r>
        <w:rPr>
          <w:rFonts w:ascii="Consolas" w:hAnsi="Consolas"/>
        </w:rPr>
        <w:t>pending_additions.md</w:t>
      </w:r>
      <w:r>
        <w:rPr/>
        <w:t xml:space="preserve"> suggesting agency monitoring statistics would "eventually" get their own indicators worksheet is </w:t>
      </w:r>
      <w:r>
        <w:rPr>
          <w:b/>
        </w:rPr>
        <w:t>superseded by this rule</w:t>
      </w:r>
      <w:r>
        <w:rPr/>
        <w:t>; if that changes, change it here first.</w:t>
      </w:r>
    </w:p>
    <w:p>
      <w:r>
        <w:rPr>
          <w:b/>
        </w:rPr>
        <w:t>2. Level of generality — indicators are catalogued at framework level, not at site or event level</w:t>
      </w:r>
      <w:r>
        <w:rPr/>
        <w:t xml:space="preserve"> </w:t>
      </w:r>
      <w:r>
        <w:rPr>
          <w:i/>
        </w:rPr>
        <w:t>(Jonathan, 18 September 2026).</w:t>
      </w:r>
      <w:r>
        <w:rPr/>
        <w:t xml:space="preserve"> A candidate is rejected when it is:</w:t>
      </w:r>
    </w:p>
    <w:p>
      <w:pPr>
        <w:pStyle w:val="ListBullet"/>
      </w:pPr>
      <w:r>
        <w:rPr>
          <w:b/>
        </w:rPr>
        <w:t>site- or catchment-specific</w:t>
      </w:r>
      <w:r>
        <w:rPr/>
        <w:t xml:space="preserve"> where a national series exists — the River Tyne, Tees and Wear fish counts were rejected because a generalised national measure is the right level;</w:t>
      </w:r>
    </w:p>
    <w:p>
      <w:pPr>
        <w:pStyle w:val="ListBullet"/>
      </w:pPr>
      <w:r>
        <w:rPr>
          <w:b/>
        </w:rPr>
        <w:t>event reporting rather than monitoring</w:t>
      </w:r>
      <w:r>
        <w:rPr/>
        <w:t xml:space="preserve"> — the South West octopus bloom, seaweed species new to science, and single-catchment salmon stock notices;</w:t>
      </w:r>
    </w:p>
    <w:p>
      <w:pPr>
        <w:pStyle w:val="ListBullet"/>
      </w:pPr>
      <w:r>
        <w:rPr>
          <w:b/>
        </w:rPr>
        <w:t>operational rather than policy-target monitoring</w:t>
      </w:r>
      <w:r>
        <w:rPr/>
        <w:t xml:space="preserve"> — the provisional Cormorant population indices are released early expressly "to enable their use for operational purposes" (Natural England licensing of fish-eating bird control), and the underlying Wetland Bird Survey is already held at the right generality as [IND-J-010] and [IND-J-013];</w:t>
      </w:r>
    </w:p>
    <w:p>
      <w:pPr>
        <w:pStyle w:val="ListBullet"/>
      </w:pPr>
      <w:r>
        <w:rPr>
          <w:b/>
        </w:rPr>
        <w:t>an activity rather than a measure</w:t>
      </w:r>
      <w:r>
        <w:rPr/>
        <w:t xml:space="preserve"> — the UK bluefin tuna fishery is a genuine range-shift signal but is a fishery, not a monitoring indicator. It would qualify only with a clear monitoring series attached.</w:t>
      </w:r>
    </w:p>
    <w:p>
      <w:r>
        <w:rPr/>
        <w:t>The test is whether the candidate measures something a framework tracks, at the level the framework tracks it. A climate-interesting phenomenon is not automatically an indicator.</w:t>
      </w:r>
    </w:p>
    <w:p>
      <w:pPr>
        <w:pBdr>
          <w:bottom w:val="single" w:sz="6" w:space="1" w:color="A0A8AD"/>
        </w:pBdr>
      </w:pPr>
    </w:p>
    <w:p>
      <w:pPr>
        <w:pStyle w:val="Heading2"/>
      </w:pPr>
      <w:r>
        <w:rPr/>
        <w:t>9. Open work</w:t>
      </w:r>
    </w:p>
    <w:p>
      <w:r>
        <w:rPr/>
        <w:t>Item status checked against the workbooks, the queue and the file store on 6 October 2026.</w:t>
      </w:r>
    </w:p>
    <w:p>
      <w:pPr>
        <w:pStyle w:val="Heading3"/>
      </w:pPr>
      <w:r>
        <w:rPr/>
        <w:t>Approved records not yet written — the main backlog</w:t>
      </w:r>
    </w:p>
    <w:p>
      <w:pPr>
        <w:tabs>
          <w:tab w:pos="454" w:val="left"/>
        </w:tabs>
        <w:spacing w:after="60"/>
        <w:ind w:left="454" w:hanging="454"/>
      </w:pPr>
      <w:r>
        <w:rPr/>
        <w:t>1.</w:t>
        <w:tab/>
      </w:r>
      <w:r>
        <w:rPr>
          <w:b/>
        </w:rPr>
        <w:t>Approved queue rows — written in UK governance v27 (6 October 2026).</w:t>
      </w:r>
      <w:r>
        <w:rPr/>
        <w:t xml:space="preserve"> 4 </w:t>
      </w:r>
      <w:r>
        <w:rPr>
          <w:rFonts w:ascii="Consolas" w:hAnsi="Consolas"/>
        </w:rPr>
        <w:t>LEG</w:t>
      </w:r>
      <w:r>
        <w:rPr/>
        <w:t xml:space="preserve">, 5 </w:t>
      </w:r>
      <w:r>
        <w:rPr>
          <w:rFonts w:ascii="Consolas" w:hAnsi="Consolas"/>
        </w:rPr>
        <w:t>ORG</w:t>
      </w:r>
      <w:r>
        <w:rPr/>
        <w:t xml:space="preserve"> (incl. [ORG-049] DHSC, added as UKHSA's sponsor) and 39 </w:t>
      </w:r>
      <w:r>
        <w:rPr>
          <w:rFonts w:ascii="Consolas" w:hAnsi="Consolas"/>
        </w:rPr>
        <w:t>POL</w:t>
      </w:r>
      <w:r>
        <w:rPr/>
        <w:t xml:space="preserve"> ([POL-072]–[POL-110], incl. the 13 Environment Act target delivery plans and overview); "Operational service / System" added to the </w:t>
      </w:r>
      <w:r>
        <w:rPr>
          <w:rFonts w:ascii="Consolas" w:hAnsi="Consolas"/>
        </w:rPr>
        <w:t>Policies &amp; Activities</w:t>
      </w:r>
      <w:r>
        <w:rPr/>
        <w:t xml:space="preserve"> </w:t>
      </w:r>
      <w:r>
        <w:rPr>
          <w:rFonts w:ascii="Consolas" w:hAnsi="Consolas"/>
        </w:rPr>
        <w:t>General_Type</w:t>
      </w:r>
      <w:r>
        <w:rPr/>
        <w:t xml:space="preserve"> vocabulary; [LEG-034] corrected (see item 1a). Proposal, verification record and writer script: </w:t>
      </w:r>
      <w:r>
        <w:rPr>
          <w:rFonts w:ascii="Consolas" w:hAnsi="Consolas"/>
        </w:rPr>
        <w:t>outputs_other/workbook_proposal_2026-10-06/</w:t>
      </w:r>
      <w:r>
        <w:rPr/>
        <w:t xml:space="preserve">. The queue rows are resolved. </w:t>
      </w:r>
      <w:r>
        <w:rPr>
          <w:b/>
        </w:rPr>
        <w:t xml:space="preserve">Still </w:t>
      </w:r>
      <w:r>
        <w:rPr>
          <w:rFonts w:ascii="Consolas" w:hAnsi="Consolas"/>
          <w:b/>
        </w:rPr>
        <w:t>add</w:t>
      </w:r>
      <w:r>
        <w:rPr>
          <w:b/>
        </w:rPr>
        <w:t>:</w:t>
      </w:r>
      <w:r>
        <w:rPr/>
        <w:t xml:space="preserve"> the NI Nature Recovery Strategy (draft; write when adopted) and three legislative rows held for the </w:t>
      </w:r>
      <w:r>
        <w:rPr>
          <w:b/>
        </w:rPr>
        <w:t>D8 legislative backlog audit</w:t>
      </w:r>
      <w:r>
        <w:rPr/>
        <w:t xml:space="preserve"> (Taxation (Energy and Vehicles) Act 2026, Finance Act 2026, English Devolution and Community Empowerment Act 2026, and the 2024–2026 primary-legislation sweep) — not yet run.</w:t>
      </w:r>
    </w:p>
    <w:p>
      <w:pPr>
        <w:spacing w:before="0"/>
        <w:ind w:left="454"/>
      </w:pPr>
      <w:r>
        <w:rPr>
          <w:b/>
        </w:rPr>
        <w:t>Conditions on rejected/investigate rows, not yet honoured:</w:t>
      </w:r>
      <w:r>
        <w:rPr/>
        <w:t xml:space="preserve"> note drought orders in [LEG-025] and [LEG-023]; add the JNCC Signpost Series as a mention on [ORG-004]; consider folding Humber 2100+ into [POL-045]; record the National Policy Statement exclusion in [POL-050]. (The TE2100 reasoning is in [POL-100].)</w:t>
      </w:r>
    </w:p>
    <w:p>
      <w:r>
        <w:rPr/>
        <w:t xml:space="preserve">1a. </w:t>
      </w:r>
      <w:r>
        <w:rPr>
          <w:b/>
        </w:rPr>
        <w:t>Legislation link audit — done 6 October 2026</w:t>
      </w:r>
      <w:r>
        <w:rPr/>
        <w:t xml:space="preserve"> (</w:t>
      </w:r>
      <w:r>
        <w:rPr>
          <w:rFonts w:ascii="Consolas" w:hAnsi="Consolas"/>
        </w:rPr>
        <w:t>outputs_other/legislation_link_audit_2026-10-06.md</w:t>
      </w:r>
      <w:r>
        <w:rPr/>
        <w:t>). Four records linked to a different instrument; all corrected ([LEG-034] in v27; [LEG-013], [LEG-040] repurposed to the Clean Air (Northern Ireland) Order 1981, and [LEG-047] in v28). The check now runs in the release gate (</w:t>
      </w:r>
      <w:r>
        <w:rPr>
          <w:rFonts w:ascii="Consolas" w:hAnsi="Consolas"/>
        </w:rPr>
        <w:t>check_legislation_links.py</w:t>
      </w:r>
      <w:r>
        <w:rPr/>
        <w:t xml:space="preserve">, §6). </w:t>
      </w:r>
      <w:r>
        <w:rPr>
          <w:b/>
        </w:rPr>
        <w:t>Still open:</w:t>
      </w:r>
      <w:r>
        <w:rPr/>
        <w:t xml:space="preserve"> [LEG-044] Plant Health (England) Order 2015 is </w:t>
      </w:r>
      <w:r>
        <w:rPr>
          <w:b/>
        </w:rPr>
        <w:t>revoked</w:t>
      </w:r>
      <w:r>
        <w:rPr/>
        <w:t xml:space="preserve"> — identify the current GB plant-health regime before changing the record (inbound from ORG-020, POL-033, POL-034, POL-052, INT-L-023; the </w:t>
      </w:r>
      <w:r>
        <w:rPr>
          <w:rFonts w:ascii="Consolas" w:hAnsi="Consolas"/>
        </w:rPr>
        <w:t>Status</w:t>
      </w:r>
      <w:r>
        <w:rPr/>
        <w:t xml:space="preserve"> vocabulary has no "Revoked" stem); [LEG-013] </w:t>
      </w:r>
      <w:r>
        <w:rPr>
          <w:rFonts w:ascii="Consolas" w:hAnsi="Consolas"/>
        </w:rPr>
        <w:t>Status</w:t>
      </w:r>
      <w:r>
        <w:rPr/>
        <w:t xml:space="preserve"> "Royal Assent Jan 2025" unverified; [LEG-008] BNG retired and [LEG-009] EPPS moved to [POL-111] in v29; LEG-044 is queued as an </w:t>
      </w:r>
      <w:r>
        <w:rPr>
          <w:rFonts w:ascii="Consolas" w:hAnsi="Consolas"/>
        </w:rPr>
        <w:t>investigate</w:t>
      </w:r>
      <w:r>
        <w:rPr/>
        <w:t xml:space="preserve"> row in </w:t>
      </w:r>
      <w:r>
        <w:rPr>
          <w:rFonts w:ascii="Consolas" w:hAnsi="Consolas"/>
        </w:rPr>
        <w:t>Data/pending_additions.md</w:t>
      </w:r>
      <w:r>
        <w:rPr/>
        <w:t xml:space="preserve"> (kept unchanged by decision, 6 Oct 2026); [LEG-003], [LEG-049] not yet title-checked (the gate will check them on the first networked run); [LEG-021] links to bills.parliament.uk, which the checker does not read.</w:t>
      </w:r>
    </w:p>
    <w:p>
      <w:pPr>
        <w:tabs>
          <w:tab w:pos="454" w:val="left"/>
        </w:tabs>
        <w:spacing w:after="60"/>
        <w:ind w:left="454" w:hanging="454"/>
      </w:pPr>
      <w:r>
        <w:rPr/>
        <w:t>2.</w:t>
        <w:tab/>
      </w:r>
      <w:r>
        <w:rPr>
          <w:b/>
        </w:rPr>
        <w:t xml:space="preserve">Five rows still </w:t>
      </w:r>
      <w:r>
        <w:rPr>
          <w:rFonts w:ascii="Consolas" w:hAnsi="Consolas"/>
          <w:b/>
        </w:rPr>
        <w:t>pending</w:t>
      </w:r>
      <w:r>
        <w:rPr/>
        <w:t xml:space="preserve"> from the 17 September framework-currency check: CCRA4-IA </w:t>
      </w:r>
      <w:r>
        <w:rPr>
          <w:i/>
        </w:rPr>
        <w:t>A Well-Adapted UK</w:t>
      </w:r>
      <w:r>
        <w:rPr/>
        <w:t xml:space="preserve"> (Met Office-led technical report; mark [POL-017] CCRA3 superseded), the Carbon Budget and Growth Delivery Plan (Oct 2025), the CCC 2026 progress report, NICCAP3 and Scotland's Climate Change Plan 2026–2040. </w:t>
      </w:r>
      <w:r>
        <w:rPr>
          <w:b/>
        </w:rPr>
        <w:t>The CBGDP is the most urgent:</w:t>
      </w:r>
      <w:r>
        <w:rPr/>
        <w:t xml:space="preserve"> the CCC indicator benchmarks were re-derived against it in indicators v18–v20, but the governance workbook still holds only [POL-004] CBDP 2023 (annotated as superseded), so the indicators cite a plan the governance side does not record.</w:t>
      </w:r>
    </w:p>
    <w:p>
      <w:pPr>
        <w:tabs>
          <w:tab w:pos="454" w:val="left"/>
        </w:tabs>
        <w:spacing w:after="60"/>
        <w:ind w:left="454" w:hanging="454"/>
      </w:pPr>
      <w:r>
        <w:rPr/>
        <w:t>3.</w:t>
        <w:tab/>
      </w:r>
      <w:r>
        <w:rPr>
          <w:b/>
        </w:rPr>
        <w:t xml:space="preserve">Nine </w:t>
      </w:r>
      <w:r>
        <w:rPr>
          <w:rFonts w:ascii="Consolas" w:hAnsi="Consolas"/>
          <w:b/>
        </w:rPr>
        <w:t>investigate</w:t>
      </w:r>
      <w:r>
        <w:rPr>
          <w:b/>
        </w:rPr>
        <w:t xml:space="preserve"> rows remain open</w:t>
      </w:r>
      <w:r>
        <w:rPr/>
        <w:t xml:space="preserve"> — Land Use Framework 2026 vs [POL-009], SFI26 vs [POL-054], CBGDP vs [POL-004], revised NPPF, Fisheries Act post-legislative assessment, biodiversity gain statements for NSIPs, the Interactive Story Map, JNCC Signpost Series, UKBI 2026 (below). Eight rows are </w:t>
      </w:r>
      <w:r>
        <w:rPr>
          <w:rFonts w:ascii="Consolas" w:hAnsi="Consolas"/>
        </w:rPr>
        <w:t>defer</w:t>
      </w:r>
      <w:r>
        <w:rPr/>
        <w:t>.</w:t>
      </w:r>
    </w:p>
    <w:p>
      <w:pPr>
        <w:pStyle w:val="Heading3"/>
      </w:pPr>
      <w:r>
        <w:rPr/>
        <w:t>Indicator decisions</w:t>
      </w:r>
    </w:p>
    <w:p>
      <w:pPr>
        <w:tabs>
          <w:tab w:pos="454" w:val="left"/>
        </w:tabs>
        <w:spacing w:after="60"/>
        <w:ind w:left="454" w:hanging="454"/>
      </w:pPr>
      <w:r>
        <w:rPr/>
        <w:t>4.</w:t>
        <w:tab/>
      </w:r>
      <w:r>
        <w:rPr>
          <w:b/>
        </w:rPr>
        <w:t>MCCIP indicator block — proposal awaiting judgement</w:t>
      </w:r>
      <w:r>
        <w:rPr/>
        <w:t xml:space="preserve"> (</w:t>
      </w:r>
      <w:r>
        <w:rPr>
          <w:rFonts w:ascii="Consolas" w:hAnsi="Consolas"/>
        </w:rPr>
        <w:t>Data/pending_additions.md</w:t>
      </w:r>
      <w:r>
        <w:rPr/>
        <w:t xml:space="preserve">, final section). MCCIP is held as [POL-049] with no indicator rows. Proposed: [IFW-12] on a new </w:t>
      </w:r>
      <w:r>
        <w:rPr>
          <w:rFonts w:ascii="Consolas" w:hAnsi="Consolas"/>
        </w:rPr>
        <w:t>MCCIP Indicators</w:t>
      </w:r>
      <w:r>
        <w:rPr/>
        <w:t xml:space="preserve"> sheet, a new </w:t>
      </w:r>
      <w:r>
        <w:rPr>
          <w:rFonts w:ascii="Consolas" w:hAnsi="Consolas"/>
        </w:rPr>
        <w:t>IND-M</w:t>
      </w:r>
      <w:r>
        <w:rPr/>
        <w:t xml:space="preserve"> family, modelled on [IFW-07] IPBES as an assessment-derived framework. Recommendation: the 16 physical-environment and ecosystem-change topics only, leaving the six societal-impact topics out under the level-of-generality rule. This supersedes the July 26-row topic scaffold in </w:t>
      </w:r>
      <w:r>
        <w:rPr>
          <w:rFonts w:ascii="Consolas" w:hAnsi="Consolas"/>
        </w:rPr>
        <w:t>outputs_other/MCCIP_indicators_proposed.xlsx</w:t>
      </w:r>
      <w:r>
        <w:rPr/>
        <w:t>, which was built on MCCIP's earlier topic list.</w:t>
      </w:r>
    </w:p>
    <w:p>
      <w:pPr>
        <w:tabs>
          <w:tab w:pos="454" w:val="left"/>
        </w:tabs>
        <w:spacing w:after="60"/>
        <w:ind w:left="454" w:hanging="454"/>
      </w:pPr>
      <w:r>
        <w:rPr/>
        <w:t>5.</w:t>
        <w:tab/>
      </w:r>
      <w:r>
        <w:rPr>
          <w:b/>
        </w:rPr>
        <w:t xml:space="preserve">Two new </w:t>
      </w:r>
      <w:r>
        <w:rPr>
          <w:rFonts w:ascii="Consolas" w:hAnsi="Consolas"/>
          <w:b/>
        </w:rPr>
        <w:t>Indicator_Type</w:t>
      </w:r>
      <w:r>
        <w:rPr>
          <w:b/>
        </w:rPr>
        <w:t xml:space="preserve"> terms to confirm</w:t>
      </w:r>
      <w:r>
        <w:rPr/>
        <w:t xml:space="preserve"> — "Socio-economic statistic" (52 SDG rows) and "Hazard impact" (5). Free text, so not gated, but coined without approval.</w:t>
      </w:r>
    </w:p>
    <w:p>
      <w:pPr>
        <w:tabs>
          <w:tab w:pos="454" w:val="left"/>
        </w:tabs>
        <w:spacing w:after="60"/>
        <w:ind w:left="454" w:hanging="454"/>
      </w:pPr>
      <w:r>
        <w:rPr/>
        <w:t>6.</w:t>
        <w:tab/>
      </w:r>
      <w:r>
        <w:rPr>
          <w:rFonts w:ascii="Consolas" w:hAnsi="Consolas"/>
          <w:b/>
        </w:rPr>
        <w:t>GBF_Targets_Clean</w:t>
      </w:r>
      <w:r>
        <w:rPr>
          <w:b/>
        </w:rPr>
        <w:t xml:space="preserve"> is absent</w:t>
      </w:r>
      <w:r>
        <w:rPr/>
        <w:t xml:space="preserve"> from the SDG and SoN 2023 sheets — one mapping exercise for both.</w:t>
      </w:r>
    </w:p>
    <w:p>
      <w:pPr>
        <w:tabs>
          <w:tab w:pos="454" w:val="left"/>
        </w:tabs>
        <w:spacing w:after="60"/>
        <w:ind w:left="454" w:hanging="454"/>
      </w:pPr>
      <w:r>
        <w:rPr/>
        <w:t>7.</w:t>
        <w:tab/>
      </w:r>
      <w:r>
        <w:rPr>
          <w:b/>
        </w:rPr>
        <w:t xml:space="preserve">~200 records name SDG goals or targets in </w:t>
      </w:r>
      <w:r>
        <w:rPr>
          <w:rFonts w:ascii="Consolas" w:hAnsi="Consolas"/>
          <w:b/>
        </w:rPr>
        <w:t>Policy_Goal</w:t>
      </w:r>
      <w:r>
        <w:rPr>
          <w:b/>
        </w:rPr>
        <w:t xml:space="preserve"> prose only</w:t>
      </w:r>
      <w:r>
        <w:rPr/>
        <w:t xml:space="preserve">, not in the clean columns. The dashboard export parses them at runtime; curating them into </w:t>
      </w:r>
      <w:r>
        <w:rPr>
          <w:rFonts w:ascii="Consolas" w:hAnsi="Consolas"/>
        </w:rPr>
        <w:t>SDG_Goals_Clean</w:t>
      </w:r>
      <w:r>
        <w:rPr/>
        <w:t xml:space="preserve"> / </w:t>
      </w:r>
      <w:r>
        <w:rPr>
          <w:rFonts w:ascii="Consolas" w:hAnsi="Consolas"/>
        </w:rPr>
        <w:t>SDG_Target_Code</w:t>
      </w:r>
      <w:r>
        <w:rPr/>
        <w:t xml:space="preserve"> would remove that dependency.</w:t>
      </w:r>
    </w:p>
    <w:p>
      <w:pPr>
        <w:tabs>
          <w:tab w:pos="454" w:val="left"/>
        </w:tabs>
        <w:spacing w:after="60"/>
        <w:ind w:left="454" w:hanging="454"/>
      </w:pPr>
      <w:r>
        <w:rPr/>
        <w:t>8.</w:t>
        <w:tab/>
      </w:r>
      <w:r>
        <w:rPr>
          <w:b/>
        </w:rPr>
        <w:t>[IFW-10] carries targets, not indicators</w:t>
      </w:r>
      <w:r>
        <w:rPr/>
        <w:t xml:space="preserve">, and </w:t>
      </w:r>
      <w:r>
        <w:rPr>
          <w:rFonts w:ascii="Consolas" w:hAnsi="Consolas"/>
        </w:rPr>
        <w:t>Data_Source</w:t>
      </w:r>
      <w:r>
        <w:rPr/>
        <w:t xml:space="preserve"> reads "to be confirmed" on all 38 rows. When the next CCC adaptation progress report publishes the indicators selected against those targets, revisit. Also check the objective count (20 captured, CCC states 21) before citing it.</w:t>
      </w:r>
    </w:p>
    <w:p>
      <w:pPr>
        <w:pStyle w:val="Heading3"/>
      </w:pPr>
      <w:r>
        <w:rPr/>
        <w:t>Coverage</w:t>
      </w:r>
    </w:p>
    <w:p>
      <w:pPr>
        <w:tabs>
          <w:tab w:pos="454" w:val="left"/>
        </w:tabs>
        <w:spacing w:after="60"/>
        <w:ind w:left="454" w:hanging="454"/>
      </w:pPr>
      <w:r>
        <w:rPr/>
        <w:t>9.</w:t>
        <w:tab/>
      </w:r>
      <w:r>
        <w:rPr>
          <w:b/>
        </w:rPr>
        <w:t>The 2 September scan remains partly un-enumerated</w:t>
      </w:r>
      <w:r>
        <w:rPr/>
        <w:t xml:space="preserve"> (</w:t>
      </w:r>
      <w:r>
        <w:rPr>
          <w:rFonts w:ascii="Consolas" w:hAnsi="Consolas"/>
        </w:rPr>
        <w:t>outputs_other/policy_scan_2026-09-02.md</w:t>
      </w:r>
      <w:r>
        <w:rPr/>
        <w:t xml:space="preserve">, final tables). Done: ministerial statements, Defra, NE/EA/FC/MMO, JNCC, the record-bearing types for UKHSA/DESNZ/MHCLG/DfT/HMT, UK Public General Acts 2026, CCC, OEP; gov.scot via pointer pages only. </w:t>
      </w:r>
      <w:r>
        <w:rPr>
          <w:b/>
        </w:rPr>
        <w:t>Not done:</w:t>
      </w:r>
      <w:r>
        <w:rPr/>
        <w:t xml:space="preserve"> gov.wales, DAERA, NatureScot, SEPA, NRW; the international bodies (CBD, IPBES, Ramsar, CMS, OSPAR, HELCOM, UNFCCC, EUR-Lex, EEA); UK statutory instruments; the Block 3 title sweep (~700 items); forestresearch.gov.uk; 30by30 at sea. The gov.uk and gov.scot search filters are ignored when called from this environment and return the whole corpus — use </w:t>
      </w:r>
      <w:r>
        <w:rPr>
          <w:rFonts w:ascii="Consolas" w:hAnsi="Consolas"/>
        </w:rPr>
        <w:t>.atom</w:t>
      </w:r>
      <w:r>
        <w:rPr/>
        <w:t xml:space="preserve"> feeds and pointer pages.</w:t>
      </w:r>
    </w:p>
    <w:p>
      <w:pPr>
        <w:tabs>
          <w:tab w:pos="454" w:val="left"/>
        </w:tabs>
        <w:spacing w:after="60"/>
        <w:ind w:left="454" w:hanging="454"/>
      </w:pPr>
      <w:r>
        <w:rPr/>
        <w:t>10.</w:t>
        <w:tab/>
      </w:r>
      <w:r>
        <w:rPr>
          <w:b/>
        </w:rPr>
        <w:t>Next quarterly scan</w:t>
      </w:r>
      <w:r>
        <w:rPr/>
        <w:t xml:space="preserve"> covers 2 September onwards and is due around early December 2026.</w:t>
      </w:r>
    </w:p>
    <w:p>
      <w:pPr>
        <w:tabs>
          <w:tab w:pos="454" w:val="left"/>
        </w:tabs>
        <w:spacing w:after="60"/>
        <w:ind w:left="454" w:hanging="454"/>
      </w:pPr>
      <w:r>
        <w:rPr/>
        <w:t>11.</w:t>
        <w:tab/>
      </w:r>
      <w:r>
        <w:rPr>
          <w:b/>
        </w:rPr>
        <w:t>Watch items.</w:t>
      </w:r>
      <w:r>
        <w:rPr/>
        <w:t xml:space="preserve"> JNCC UKBI 2026 ([IFW-03] still records UKBI 2025; usually an autumn release, so likely imminent); the Scottish and Welsh statutory target sets, which both 2026 Acts mandate and which will be </w:t>
      </w:r>
      <w:r>
        <w:rPr>
          <w:rFonts w:ascii="Consolas" w:hAnsi="Consolas"/>
        </w:rPr>
        <w:t>IFW</w:t>
      </w:r>
      <w:r>
        <w:rPr/>
        <w:t xml:space="preserve"> + </w:t>
      </w:r>
      <w:r>
        <w:rPr>
          <w:rFonts w:ascii="Consolas" w:hAnsi="Consolas"/>
        </w:rPr>
        <w:t>IND</w:t>
      </w:r>
      <w:r>
        <w:rPr/>
        <w:t xml:space="preserve"> candidates when published.</w:t>
      </w:r>
    </w:p>
    <w:p>
      <w:pPr>
        <w:pStyle w:val="Heading3"/>
      </w:pPr>
      <w:r>
        <w:rPr/>
        <w:t>Content and documentation</w:t>
      </w:r>
    </w:p>
    <w:p>
      <w:pPr>
        <w:tabs>
          <w:tab w:pos="454" w:val="left"/>
        </w:tabs>
        <w:spacing w:after="60"/>
        <w:ind w:left="454" w:hanging="454"/>
      </w:pPr>
      <w:r>
        <w:rPr/>
        <w:t>12.</w:t>
        <w:tab/>
      </w:r>
      <w:r>
        <w:rPr>
          <w:b/>
        </w:rPr>
        <w:t>Install and test the GitHub Copilot configuration</w:t>
      </w:r>
      <w:r>
        <w:rPr/>
        <w:t xml:space="preserve"> (§6.1, root </w:t>
      </w:r>
      <w:r>
        <w:rPr>
          <w:rFonts w:ascii="Consolas" w:hAnsi="Consolas"/>
        </w:rPr>
        <w:t>README.md</w:t>
      </w:r>
      <w:r>
        <w:rPr/>
        <w:t xml:space="preserve">). Counts, section references and the removed </w:t>
      </w:r>
      <w:r>
        <w:rPr>
          <w:rFonts w:ascii="Consolas" w:hAnsi="Consolas"/>
        </w:rPr>
        <w:t>FRAMEWORK_CTX</w:t>
      </w:r>
      <w:r>
        <w:rPr/>
        <w:t xml:space="preserve"> were corrected throughout </w:t>
      </w:r>
      <w:r>
        <w:rPr>
          <w:rFonts w:ascii="Consolas" w:hAnsi="Consolas"/>
        </w:rPr>
        <w:t>Copilot_setup/</w:t>
      </w:r>
      <w:r>
        <w:rPr/>
        <w:t xml:space="preserve"> and the root </w:t>
      </w:r>
      <w:r>
        <w:rPr>
          <w:rFonts w:ascii="Consolas" w:hAnsi="Consolas"/>
        </w:rPr>
        <w:t>README.md</w:t>
      </w:r>
      <w:r>
        <w:rPr/>
        <w:t xml:space="preserve"> on 6 October 2026, but nothing has yet run in VS Code; the tool-set names and handoff syntax are from documentation only.</w:t>
      </w:r>
    </w:p>
    <w:p>
      <w:pPr>
        <w:tabs>
          <w:tab w:pos="454" w:val="left"/>
        </w:tabs>
        <w:spacing w:after="60"/>
        <w:ind w:left="454" w:hanging="454"/>
      </w:pPr>
      <w:r>
        <w:rPr/>
        <w:t>13.</w:t>
        <w:tab/>
      </w:r>
      <w:r>
        <w:rPr>
          <w:b/>
        </w:rPr>
        <w:t>Scale the MO research→policy relevance rubric</w:t>
      </w:r>
      <w:r>
        <w:rPr/>
        <w:t xml:space="preserve"> from 5 piloted entries to the remaining ~41 policy records. Three design questions block it: the scope of </w:t>
      </w:r>
      <w:r>
        <w:rPr>
          <w:rFonts w:ascii="Consolas" w:hAnsi="Consolas"/>
        </w:rPr>
        <w:t>Cur_MO</w:t>
      </w:r>
      <w:r>
        <w:rPr/>
        <w:t>; whether Supplier entries share the main matrix or get a separate tab; the confidence floor below which a score is not reportable.</w:t>
      </w:r>
    </w:p>
    <w:p>
      <w:pPr>
        <w:tabs>
          <w:tab w:pos="454" w:val="left"/>
        </w:tabs>
        <w:spacing w:after="60"/>
        <w:ind w:left="454" w:hanging="454"/>
      </w:pPr>
      <w:r>
        <w:rPr/>
        <w:t>14.</w:t>
        <w:tab/>
      </w:r>
      <w:r>
        <w:rPr>
          <w:b/>
        </w:rPr>
        <w:t>Dashboard user guide unwritten</w:t>
      </w:r>
      <w:r>
        <w:rPr/>
        <w:t xml:space="preserve"> — what each dashboard shows, data vintage, search, deep-link and export. The in-page Help modals partly cover it. (The canonical-files guide is written: </w:t>
      </w:r>
      <w:r>
        <w:rPr>
          <w:rFonts w:ascii="Consolas" w:hAnsi="Consolas"/>
        </w:rPr>
        <w:t>Data/CANONICAL_FILES_GUIDE.md</w:t>
      </w:r>
      <w:r>
        <w:rPr/>
        <w:t>.)</w:t>
      </w:r>
    </w:p>
    <w:p>
      <w:pPr>
        <w:tabs>
          <w:tab w:pos="454" w:val="left"/>
        </w:tabs>
        <w:spacing w:after="60"/>
        <w:ind w:left="454" w:hanging="454"/>
      </w:pPr>
      <w:r>
        <w:rPr/>
        <w:t>15.</w:t>
        <w:tab/>
      </w:r>
      <w:r>
        <w:rPr>
          <w:b/>
        </w:rPr>
        <w:t>Add the two missing completed configs</w:t>
      </w:r>
      <w:r>
        <w:rPr/>
        <w:t xml:space="preserve"> (biosecurity, LST) to </w:t>
      </w:r>
      <w:r>
        <w:rPr>
          <w:rFonts w:ascii="Consolas" w:hAnsi="Consolas"/>
        </w:rPr>
        <w:t>PA_toolkit/completed_assessments/</w:t>
      </w:r>
      <w:r>
        <w:rPr/>
        <w:t xml:space="preserve"> so all four rendered assessments are reproducible from source. Only </w:t>
      </w:r>
      <w:r>
        <w:rPr>
          <w:rFonts w:ascii="Consolas" w:hAnsi="Consolas"/>
        </w:rPr>
        <w:t>config_dailysun.yaml</w:t>
      </w:r>
      <w:r>
        <w:rPr/>
        <w:t xml:space="preserve"> and </w:t>
      </w:r>
      <w:r>
        <w:rPr>
          <w:rFonts w:ascii="Consolas" w:hAnsi="Consolas"/>
        </w:rPr>
        <w:t>config_ocean_heatwaves.yaml</w:t>
      </w:r>
      <w:r>
        <w:rPr/>
        <w:t xml:space="preserve"> exist.</w:t>
      </w:r>
    </w:p>
    <w:p>
      <w:pPr>
        <w:tabs>
          <w:tab w:pos="454" w:val="left"/>
        </w:tabs>
        <w:spacing w:after="60"/>
        <w:ind w:left="454" w:hanging="454"/>
      </w:pPr>
      <w:r>
        <w:rPr/>
        <w:t>16.</w:t>
        <w:tab/>
      </w:r>
      <w:r>
        <w:rPr>
          <w:b/>
        </w:rPr>
        <w:t>CHECK-row judgement calls</w:t>
      </w:r>
      <w:r>
        <w:rPr/>
        <w:t xml:space="preserve"> left from the orphan-code promotion (</w:t>
      </w:r>
      <w:r>
        <w:rPr>
          <w:rFonts w:ascii="Consolas" w:hAnsi="Consolas"/>
        </w:rPr>
        <w:t>outputs_other/ORPHAN_CODES_promotion_analysis.md</w:t>
      </w:r>
      <w:r>
        <w:rPr/>
        <w:t>).</w:t>
      </w:r>
    </w:p>
    <w:p>
      <w:pPr>
        <w:pStyle w:val="Heading3"/>
      </w:pPr>
      <w:r>
        <w:rPr/>
        <w:t>Housekeeping</w:t>
      </w:r>
    </w:p>
    <w:p>
      <w:pPr>
        <w:tabs>
          <w:tab w:pos="454" w:val="left"/>
        </w:tabs>
        <w:spacing w:after="60"/>
        <w:ind w:left="454" w:hanging="454"/>
      </w:pPr>
      <w:r>
        <w:rPr/>
        <w:t>17.</w:t>
        <w:tab/>
      </w:r>
      <w:r>
        <w:rPr>
          <w:rFonts w:ascii="Consolas" w:hAnsi="Consolas"/>
          <w:b/>
        </w:rPr>
        <w:t>pending_additions.md</w:t>
      </w:r>
      <w:r>
        <w:rPr>
          <w:b/>
        </w:rPr>
        <w:t xml:space="preserve"> status vocabulary — fixed 6 October 2026.</w:t>
      </w:r>
      <w:r>
        <w:rPr/>
        <w:t xml:space="preserve"> </w:t>
      </w:r>
      <w:r>
        <w:rPr>
          <w:rFonts w:ascii="Consolas" w:hAnsi="Consolas"/>
        </w:rPr>
        <w:t>add</w:t>
      </w:r>
      <w:r>
        <w:rPr/>
        <w:t xml:space="preserve">, </w:t>
      </w:r>
      <w:r>
        <w:rPr>
          <w:rFonts w:ascii="Consolas" w:hAnsi="Consolas"/>
        </w:rPr>
        <w:t>defer</w:t>
      </w:r>
      <w:r>
        <w:rPr/>
        <w:t xml:space="preserve">, </w:t>
      </w:r>
      <w:r>
        <w:rPr>
          <w:rFonts w:ascii="Consolas" w:hAnsi="Consolas"/>
        </w:rPr>
        <w:t>investigate</w:t>
      </w:r>
      <w:r>
        <w:rPr/>
        <w:t xml:space="preserve"> and </w:t>
      </w:r>
      <w:r>
        <w:rPr>
          <w:rFonts w:ascii="Consolas" w:hAnsi="Consolas"/>
        </w:rPr>
        <w:t>done</w:t>
      </w:r>
      <w:r>
        <w:rPr/>
        <w:t xml:space="preserve"> are now defined in the header, and the rows written or closed before v27 are resolved. Two rows still carry bold-wrapped statuses (</w:t>
      </w:r>
      <w:r>
        <w:rPr>
          <w:rFonts w:ascii="Consolas" w:hAnsi="Consolas"/>
        </w:rPr>
        <w:t>**done**</w:t>
      </w:r>
      <w:r>
        <w:rPr/>
        <w:t xml:space="preserve">, </w:t>
      </w:r>
      <w:r>
        <w:rPr>
          <w:rFonts w:ascii="Consolas" w:hAnsi="Consolas"/>
        </w:rPr>
        <w:t>**rejected**</w:t>
      </w:r>
      <w:r>
        <w:rPr/>
        <w:t>) — cosmetic.</w:t>
      </w:r>
    </w:p>
    <w:p>
      <w:pPr>
        <w:tabs>
          <w:tab w:pos="454" w:val="left"/>
        </w:tabs>
        <w:spacing w:after="60"/>
        <w:ind w:left="454" w:hanging="454"/>
      </w:pPr>
      <w:r>
        <w:rPr/>
        <w:t>18.</w:t>
        <w:tab/>
      </w:r>
      <w:r>
        <w:rPr>
          <w:rFonts w:ascii="Consolas" w:hAnsi="Consolas"/>
          <w:b/>
        </w:rPr>
        <w:t>governance_diagram_v12.html</w:t>
      </w:r>
      <w:r>
        <w:rPr>
          <w:b/>
        </w:rPr>
        <w:t xml:space="preserve"> is arguably due a </w:t>
      </w:r>
      <w:r>
        <w:rPr>
          <w:rFonts w:ascii="Consolas" w:hAnsi="Consolas"/>
          <w:b/>
        </w:rPr>
        <w:t>_vN</w:t>
      </w:r>
      <w:r>
        <w:rPr>
          <w:b/>
        </w:rPr>
        <w:t xml:space="preserve"> bump</w:t>
      </w:r>
      <w:r>
        <w:rPr/>
        <w:t xml:space="preserve"> — a link type and the detail-panel semantics changed on 17 September, and the data again on 28 September.</w:t>
      </w:r>
    </w:p>
    <w:p>
      <w:pPr>
        <w:tabs>
          <w:tab w:pos="454" w:val="left"/>
        </w:tabs>
        <w:spacing w:after="60"/>
        <w:ind w:left="454" w:hanging="454"/>
      </w:pPr>
      <w:r>
        <w:rPr/>
        <w:t>19.</w:t>
        <w:tab/>
      </w:r>
      <w:r>
        <w:rPr>
          <w:b/>
        </w:rPr>
        <w:t xml:space="preserve">The governance diagram's detail panel is </w:t>
      </w:r>
      <w:r>
        <w:rPr>
          <w:rFonts w:ascii="Consolas" w:hAnsi="Consolas"/>
          <w:b/>
        </w:rPr>
        <w:t>clamp(118px, 20vh, 200px)</w:t>
      </w:r>
      <w:r>
        <w:rPr>
          <w:b/>
        </w:rPr>
        <w:t xml:space="preserve"> tall.</w:t>
      </w:r>
      <w:r>
        <w:rPr/>
        <w:t xml:space="preserve"> The longest framework </w:t>
      </w:r>
      <w:r>
        <w:rPr>
          <w:rFonts w:ascii="Consolas" w:hAnsi="Consolas"/>
        </w:rPr>
        <w:t>Policy_Purpose</w:t>
      </w:r>
      <w:r>
        <w:rPr/>
        <w:t xml:space="preserve"> now runs to 1,343 characters and scrolls. One CSS line in the </w:t>
      </w:r>
      <w:r>
        <w:rPr>
          <w:rFonts w:ascii="Consolas" w:hAnsi="Consolas"/>
        </w:rPr>
        <w:t>TEMPLATE</w:t>
      </w:r>
      <w:r>
        <w:rPr/>
        <w:t xml:space="preserve"> string of </w:t>
      </w:r>
      <w:r>
        <w:rPr>
          <w:rFonts w:ascii="Consolas" w:hAnsi="Consolas"/>
        </w:rPr>
        <w:t>build_governance_diagram.py</w:t>
      </w:r>
      <w:r>
        <w:rPr/>
        <w:t xml:space="preserve"> (not the HTML).</w:t>
      </w:r>
    </w:p>
    <w:p>
      <w:pPr>
        <w:tabs>
          <w:tab w:pos="454" w:val="left"/>
        </w:tabs>
        <w:spacing w:after="60"/>
        <w:ind w:left="454" w:hanging="454"/>
      </w:pPr>
      <w:r>
        <w:rPr/>
        <w:t>20.</w:t>
        <w:tab/>
      </w:r>
      <w:r>
        <w:rPr>
          <w:rFonts w:ascii="Consolas" w:hAnsi="Consolas"/>
          <w:b/>
        </w:rPr>
        <w:t>SDG Target Lookup</w:t>
      </w:r>
      <w:r>
        <w:rPr>
          <w:b/>
        </w:rPr>
        <w:t xml:space="preserve"> holds 129 of 169 official targets.</w:t>
      </w:r>
      <w:r>
        <w:rPr/>
        <w:t xml:space="preserve"> SDG-3, SDG-4, SDG-16 and SDG-5.1–5.6 are out of scope by decision, but </w:t>
      </w:r>
      <w:r>
        <w:rPr>
          <w:b/>
        </w:rPr>
        <w:t>SDG-11.c is an unexplained singleton gap</w:t>
      </w:r>
      <w:r>
        <w:rPr/>
        <w:t xml:space="preserve"> — confirm whether its deletion from the global framework is the reason.</w:t>
      </w:r>
    </w:p>
    <w:p>
      <w:pPr>
        <w:pBdr>
          <w:bottom w:val="single" w:sz="6" w:space="1" w:color="A0A8AD"/>
        </w:pBdr>
      </w:pPr>
    </w:p>
    <w:p>
      <w:pPr>
        <w:pStyle w:val="Heading2"/>
      </w:pPr>
      <w:r>
        <w:rPr/>
        <w:t>10. Standing risks</w:t>
      </w:r>
    </w:p>
    <w:p>
      <w:r>
        <w:rPr/>
        <w:t>Three failure modes, none of which fails loudly.</w:t>
      </w:r>
    </w:p>
    <w:p>
      <w:pPr>
        <w:tabs>
          <w:tab w:pos="454" w:val="left"/>
        </w:tabs>
        <w:spacing w:after="60"/>
        <w:ind w:left="454" w:hanging="454"/>
      </w:pPr>
      <w:r>
        <w:rPr/>
        <w:t>1.</w:t>
        <w:tab/>
      </w:r>
      <w:r>
        <w:rPr>
          <w:b/>
        </w:rPr>
        <w:t>Silent join failures in the finder.</w:t>
      </w:r>
      <w:r>
        <w:rPr/>
        <w:t xml:space="preserve"> Policy context is now derived from the register, which removed the hardcoded </w:t>
      </w:r>
      <w:r>
        <w:rPr>
          <w:rFonts w:ascii="Consolas" w:hAnsi="Consolas"/>
        </w:rPr>
        <w:t>FRAMEWORK_CTX</w:t>
      </w:r>
      <w:r>
        <w:rPr/>
        <w:t xml:space="preserve"> risk, but it moved the fragility to the </w:t>
      </w:r>
      <w:r>
        <w:rPr>
          <w:rFonts w:ascii="Consolas" w:hAnsi="Consolas"/>
        </w:rPr>
        <w:t>Source_Framework</w:t>
      </w:r>
      <w:r>
        <w:rPr/>
        <w:t xml:space="preserve"> join: a renamed framework or a new sheet whose rows do not match their register row renders with an empty policy-context panel. The builder warns and names the offending values, but a warning does not stop </w:t>
      </w:r>
      <w:r>
        <w:rPr>
          <w:rFonts w:ascii="Consolas" w:hAnsi="Consolas"/>
        </w:rPr>
        <w:t>finalise.py</w:t>
      </w:r>
      <w:r>
        <w:rPr/>
        <w:t xml:space="preserve">. Read the build output after any change to the </w:t>
      </w:r>
      <w:r>
        <w:rPr>
          <w:rFonts w:ascii="Consolas" w:hAnsi="Consolas"/>
        </w:rPr>
        <w:t>Indicator Framework</w:t>
      </w:r>
      <w:r>
        <w:rPr/>
        <w:t xml:space="preserve"> sheet or to </w:t>
      </w:r>
      <w:r>
        <w:rPr>
          <w:rFonts w:ascii="Consolas" w:hAnsi="Consolas"/>
        </w:rPr>
        <w:t>Source_Framework</w:t>
      </w:r>
      <w:r>
        <w:rPr/>
        <w:t xml:space="preserve"> values; promoting the warning to a build failure would close this.</w:t>
      </w:r>
    </w:p>
    <w:p>
      <w:pPr>
        <w:tabs>
          <w:tab w:pos="454" w:val="left"/>
        </w:tabs>
        <w:spacing w:after="60"/>
        <w:ind w:left="454" w:hanging="454"/>
      </w:pPr>
      <w:r>
        <w:rPr/>
        <w:t>2.</w:t>
        <w:tab/>
      </w:r>
      <w:r>
        <w:rPr>
          <w:b/>
        </w:rPr>
        <w:t>Completeness decay.</w:t>
      </w:r>
      <w:r>
        <w:rPr/>
        <w:t xml:space="preserve"> The knowledge base does not decay visibly — a workbook six months stale passes every check and builds every dashboard. The only symptom is an absence. Mitigated by the quarterly policy scan and </w:t>
      </w:r>
      <w:r>
        <w:rPr>
          <w:rFonts w:ascii="Consolas" w:hAnsi="Consolas"/>
        </w:rPr>
        <w:t>Data/pending_additions.md</w:t>
      </w:r>
      <w:r>
        <w:rPr/>
        <w:t xml:space="preserve">, but the scan is manual and depends on someone remembering; §8 of the scan protocol says what scheduling it would take. </w:t>
      </w:r>
      <w:r>
        <w:rPr>
          <w:b/>
        </w:rPr>
        <w:t>An approved queue is not a written one:</w:t>
      </w:r>
      <w:r>
        <w:rPr/>
        <w:t xml:space="preserve"> rows at </w:t>
      </w:r>
      <w:r>
        <w:rPr>
          <w:rFonts w:ascii="Consolas" w:hAnsi="Consolas"/>
        </w:rPr>
        <w:t>add</w:t>
      </w:r>
      <w:r>
        <w:rPr/>
        <w:t xml:space="preserve"> in the queue are invisible to every gate.</w:t>
      </w:r>
    </w:p>
    <w:p>
      <w:pPr>
        <w:tabs>
          <w:tab w:pos="454" w:val="left"/>
        </w:tabs>
        <w:spacing w:after="60"/>
        <w:ind w:left="454" w:hanging="454"/>
      </w:pPr>
      <w:r>
        <w:rPr/>
        <w:t>3.</w:t>
        <w:tab/>
      </w:r>
      <w:r>
        <w:rPr>
          <w:b/>
        </w:rPr>
        <w:t>Documentation drift.</w:t>
      </w:r>
      <w:r>
        <w:rPr/>
        <w:t xml:space="preserve"> A protocol or guide referencing tooling, counts or conventions that no longer hold causes bad edits, because a diligent reader assumes it is current. It recurs whenever code or workbooks change without the documents being re-checked; §6.1 lists which configuration files to re-check.</w:t>
      </w:r>
    </w:p>
    <w:p>
      <w:pPr>
        <w:pBdr>
          <w:bottom w:val="single" w:sz="6" w:space="1" w:color="A0A8AD"/>
        </w:pBdr>
      </w:pPr>
    </w:p>
    <w:p>
      <w:pPr>
        <w:pStyle w:val="Heading2"/>
      </w:pPr>
      <w:r>
        <w:rPr/>
        <w:t>Self-review (6 October 2026)</w:t>
      </w:r>
    </w:p>
    <w:p>
      <w:r>
        <w:rPr>
          <w:b/>
        </w:rPr>
        <w:t>Verified on 6 October against the live files:</w:t>
      </w:r>
      <w:r>
        <w:rPr/>
        <w:t xml:space="preserve"> workbook versions (</w:t>
      </w:r>
      <w:r>
        <w:rPr>
          <w:rFonts w:ascii="Consolas" w:hAnsi="Consolas"/>
        </w:rPr>
        <w:t>Changelog!B2</w:t>
      </w:r>
      <w:r>
        <w:rPr/>
        <w:t xml:space="preserve">); record counts per sheet (Record_ID and Indicator_Name both non-empty: 985; naive count 989); eleven register rows; Climate_Score distribution; ORG/LEG/POL counts and highest IDs; </w:t>
      </w:r>
      <w:r>
        <w:rPr>
          <w:rFonts w:ascii="Consolas" w:hAnsi="Consolas"/>
        </w:rPr>
        <w:t>check_links.py</w:t>
      </w:r>
      <w:r>
        <w:rPr/>
        <w:t xml:space="preserve"> run clean (registry 1,186 after v29, six invariants pass); </w:t>
      </w:r>
      <w:r>
        <w:rPr>
          <w:rFonts w:ascii="Consolas" w:hAnsi="Consolas"/>
        </w:rPr>
        <w:t>finalise.py</w:t>
      </w:r>
      <w:r>
        <w:rPr/>
        <w:t xml:space="preserve"> step order; diagram node, edge and key-instrument edge counts from the built HTML; finder footer; lookup-sheet code counts and the SDG-11.c gap; indicator ID prefixes; </w:t>
      </w:r>
      <w:r>
        <w:rPr>
          <w:rFonts w:ascii="Consolas" w:hAnsi="Consolas"/>
        </w:rPr>
        <w:t>orphan_codes.py</w:t>
      </w:r>
      <w:r>
        <w:rPr/>
        <w:t xml:space="preserve"> output location; queue statuses, and absence from the workbooks of every </w:t>
      </w:r>
      <w:r>
        <w:rPr>
          <w:rFonts w:ascii="Consolas" w:hAnsi="Consolas"/>
        </w:rPr>
        <w:t>add</w:t>
      </w:r>
      <w:r>
        <w:rPr/>
        <w:t xml:space="preserve"> row listed in §9 item 1; the "Operational service / System" term missing from the Data Dictionary; which completed configs exist; stale counts in the root README and the GitHub Copilot configuration (corrected 6 October; §6.1).</w:t>
      </w:r>
    </w:p>
    <w:p>
      <w:r>
        <w:rPr>
          <w:b/>
        </w:rPr>
        <w:t>Inherited, not re-checked:</w:t>
      </w:r>
      <w:r>
        <w:rPr/>
        <w:t xml:space="preserve"> "676 of 947" enriched export records (§4; predates v23); the ~200 prose-only SDG records; the MCCIP topic structure and the scan-coverage tables, taken from the scan note and queue rather than re-enumerated; the next-scan date, which assumes the quarterly cadence. Confidence: high on the verified items, medium on the inherited ones.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5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55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5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B55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Climate Indicators — project reference</dc:title>
  <dc:subject>Management/PROJECT_HANDOVER_Nature_Climate_Indicators.md</dc:subject>
  <dc:creator>export_release.py</dc:creator>
  <cp:keywords>generated; do not edit</cp:keywords>
  <dc:description>1ef444424d6b7b83e34c87518e4761c862e7fd715094a9755b9eb35e8ea0c29e</dc:description>
  <cp:lastModifiedBy/>
  <cp:revision>1</cp:revision>
  <dcterms:created xsi:type="dcterms:W3CDTF">2013-12-23T23:15:00Z</dcterms:created>
  <dcterms:modified xsi:type="dcterms:W3CDTF">2013-12-23T23:15:00Z</dcterms:modified>
  <cp:category/>
</cp:coreProperties>
</file>