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Management/protocols/WORKBOOK_WRITE_PROTOCOL.md by Management/export_release.py. Do not edit this file: edit the Markdown source and re-run finalise.py.</w:t>
      </w:r>
    </w:p>
    <w:p>
      <w:pPr>
        <w:pStyle w:val="Heading1"/>
      </w:pPr>
      <w:r>
        <w:rPr/>
        <w:t>WORKBOOK_WRITE_PROTOCOL.md</w:t>
      </w:r>
    </w:p>
    <w:p>
      <w:r>
        <w:rPr/>
        <w:t>Standard operating procedure for any change to the climate–nature governance workbook suite. Follow it in order. Steps 1–3 are proposal/verification; nothing is written until Step 4.</w:t>
      </w:r>
    </w:p>
    <w:p>
      <w:pPr>
        <w:pStyle w:val="Heading2"/>
      </w:pPr>
      <w:r>
        <w:rPr/>
        <w:t>0. Scope and canonical files</w:t>
      </w:r>
    </w:p>
    <w:p>
      <w:r>
        <w:rPr/>
        <w:t xml:space="preserve">Three interlinked workbooks in </w:t>
      </w:r>
      <w:r>
        <w:rPr>
          <w:rFonts w:ascii="Consolas" w:hAnsi="Consolas"/>
        </w:rPr>
        <w:t>Data/canonical_files/</w:t>
      </w:r>
      <w:r>
        <w:rPr/>
        <w:t xml:space="preserve">, referred to by </w:t>
      </w:r>
      <w:r>
        <w:rPr>
          <w:b/>
        </w:rPr>
        <w:t>stable canonical filenames</w:t>
      </w:r>
      <w:r>
        <w:rPr/>
        <w:t xml:space="preserve"> (no version integer):</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Role</w:t>
            </w:r>
          </w:p>
        </w:tc>
        <w:tc>
          <w:tcPr>
            <w:tcW w:type="dxa" w:w="4819"/>
            <w:shd w:val="clear" w:color="auto" w:fill="DCE6E8"/>
          </w:tcPr>
          <w:p>
            <w:r>
              <w:rPr>
                <w:b/>
                <w:sz w:val="18"/>
              </w:rPr>
              <w:t>Canonical filename</w:t>
            </w:r>
          </w:p>
        </w:tc>
      </w:tr>
      <w:tr>
        <w:tc>
          <w:tcPr>
            <w:tcW w:type="dxa" w:w="4819"/>
          </w:tcPr>
          <w:p>
            <w:r>
              <w:rPr>
                <w:sz w:val="18"/>
              </w:rPr>
              <w:t>UK governance</w:t>
            </w:r>
          </w:p>
        </w:tc>
        <w:tc>
          <w:tcPr>
            <w:tcW w:type="dxa" w:w="4819"/>
          </w:tcPr>
          <w:p>
            <w:r>
              <w:rPr>
                <w:rFonts w:ascii="Consolas" w:hAnsi="Consolas"/>
                <w:sz w:val="18"/>
              </w:rPr>
              <w:t>uk_climate_nature_governance.xlsx</w:t>
            </w:r>
          </w:p>
        </w:tc>
      </w:tr>
      <w:tr>
        <w:tc>
          <w:tcPr>
            <w:tcW w:type="dxa" w:w="4819"/>
          </w:tcPr>
          <w:p>
            <w:r>
              <w:rPr>
                <w:sz w:val="18"/>
              </w:rPr>
              <w:t>International governance</w:t>
            </w:r>
          </w:p>
        </w:tc>
        <w:tc>
          <w:tcPr>
            <w:tcW w:type="dxa" w:w="4819"/>
          </w:tcPr>
          <w:p>
            <w:r>
              <w:rPr>
                <w:rFonts w:ascii="Consolas" w:hAnsi="Consolas"/>
                <w:sz w:val="18"/>
              </w:rPr>
              <w:t>international_climate_nature_governance.xlsx</w:t>
            </w:r>
          </w:p>
        </w:tc>
      </w:tr>
      <w:tr>
        <w:tc>
          <w:tcPr>
            <w:tcW w:type="dxa" w:w="4819"/>
          </w:tcPr>
          <w:p>
            <w:r>
              <w:rPr>
                <w:sz w:val="18"/>
              </w:rPr>
              <w:t>Indicators</w:t>
            </w:r>
          </w:p>
        </w:tc>
        <w:tc>
          <w:tcPr>
            <w:tcW w:type="dxa" w:w="4819"/>
          </w:tcPr>
          <w:p>
            <w:r>
              <w:rPr>
                <w:rFonts w:ascii="Consolas" w:hAnsi="Consolas"/>
                <w:sz w:val="18"/>
              </w:rPr>
              <w:t>indicators_climate_nature.xlsx</w:t>
            </w:r>
          </w:p>
        </w:tc>
      </w:tr>
    </w:tbl>
    <w:p/>
    <w:p>
      <w:r>
        <w:rPr/>
        <w:t xml:space="preserve">The version integer now lives </w:t>
      </w:r>
      <w:r>
        <w:rPr>
          <w:b/>
        </w:rPr>
        <w:t>inside</w:t>
      </w:r>
      <w:r>
        <w:rPr/>
        <w:t xml:space="preserve"> each workbook (a </w:t>
      </w:r>
      <w:r>
        <w:rPr>
          <w:rFonts w:ascii="Consolas" w:hAnsi="Consolas"/>
        </w:rPr>
        <w:t>Changelog</w:t>
      </w:r>
      <w:r>
        <w:rPr/>
        <w:t xml:space="preserve"> sheet with a </w:t>
      </w:r>
      <w:r>
        <w:rPr>
          <w:rFonts w:ascii="Consolas" w:hAnsi="Consolas"/>
        </w:rPr>
        <w:t>Version</w:t>
      </w:r>
      <w:r>
        <w:rPr/>
        <w:t xml:space="preserve"> cell at B2), not in the filename. Superseded copies are archived to </w:t>
      </w:r>
      <w:r>
        <w:rPr>
          <w:rFonts w:ascii="Consolas" w:hAnsi="Consolas"/>
        </w:rPr>
        <w:t>Data/outdated_files/</w:t>
      </w:r>
      <w:r>
        <w:rPr/>
        <w:t xml:space="preserve">. </w:t>
      </w:r>
      <w:r>
        <w:rPr>
          <w:b/>
        </w:rPr>
        <w:t>The workbooks contain no formula cells and must stay that way</w:t>
      </w:r>
      <w:r>
        <w:rPr/>
        <w:t xml:space="preserve"> — every build script opens them with </w:t>
      </w:r>
      <w:r>
        <w:rPr>
          <w:rFonts w:ascii="Consolas" w:hAnsi="Consolas"/>
        </w:rPr>
        <w:t>data_only=True</w:t>
      </w:r>
      <w:r>
        <w:rPr/>
        <w:t>, and openpyxl does not compute formulas it writes, so a formula would read back empty downstream. The filename is stable so downstream scripts, SOPs and the render kit never need editing when a workbook is updated.</w:t>
      </w:r>
    </w:p>
    <w:p>
      <w:r>
        <w:rPr/>
        <w:t>Record-ID families and the workbook each is defined in:</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Family</w:t>
            </w:r>
          </w:p>
        </w:tc>
        <w:tc>
          <w:tcPr>
            <w:tcW w:type="dxa" w:w="3213"/>
            <w:shd w:val="clear" w:color="auto" w:fill="DCE6E8"/>
          </w:tcPr>
          <w:p>
            <w:r>
              <w:rPr>
                <w:b/>
                <w:sz w:val="18"/>
              </w:rPr>
              <w:t>Defined in</w:t>
            </w:r>
          </w:p>
        </w:tc>
        <w:tc>
          <w:tcPr>
            <w:tcW w:type="dxa" w:w="3213"/>
            <w:shd w:val="clear" w:color="auto" w:fill="DCE6E8"/>
          </w:tcPr>
          <w:p>
            <w:r>
              <w:rPr>
                <w:b/>
                <w:sz w:val="18"/>
              </w:rPr>
              <w:t>Column</w:t>
            </w:r>
          </w:p>
        </w:tc>
      </w:tr>
      <w:tr>
        <w:tc>
          <w:tcPr>
            <w:tcW w:type="dxa" w:w="3213"/>
          </w:tcPr>
          <w:p>
            <w:r>
              <w:rPr>
                <w:rFonts w:ascii="Consolas" w:hAnsi="Consolas"/>
                <w:sz w:val="18"/>
              </w:rPr>
              <w:t>LEG-NNN</w:t>
            </w:r>
            <w:r>
              <w:rPr>
                <w:sz w:val="18"/>
              </w:rPr>
              <w:t xml:space="preserve">, </w:t>
            </w:r>
            <w:r>
              <w:rPr>
                <w:rFonts w:ascii="Consolas" w:hAnsi="Consolas"/>
                <w:sz w:val="18"/>
              </w:rPr>
              <w:t>ORG-NNN</w:t>
            </w:r>
            <w:r>
              <w:rPr>
                <w:sz w:val="18"/>
              </w:rPr>
              <w:t xml:space="preserve">, </w:t>
            </w:r>
            <w:r>
              <w:rPr>
                <w:rFonts w:ascii="Consolas" w:hAnsi="Consolas"/>
                <w:sz w:val="18"/>
              </w:rPr>
              <w:t>POL-NNN</w:t>
            </w:r>
          </w:p>
        </w:tc>
        <w:tc>
          <w:tcPr>
            <w:tcW w:type="dxa" w:w="3213"/>
          </w:tcPr>
          <w:p>
            <w:r>
              <w:rPr>
                <w:sz w:val="18"/>
              </w:rPr>
              <w:t>UK</w:t>
            </w:r>
          </w:p>
        </w:tc>
        <w:tc>
          <w:tcPr>
            <w:tcW w:type="dxa" w:w="3213"/>
          </w:tcPr>
          <w:p>
            <w:r>
              <w:rPr>
                <w:rFonts w:ascii="Consolas" w:hAnsi="Consolas"/>
                <w:sz w:val="18"/>
              </w:rPr>
              <w:t>Record_ID</w:t>
            </w:r>
          </w:p>
        </w:tc>
      </w:tr>
      <w:tr>
        <w:tc>
          <w:tcPr>
            <w:tcW w:type="dxa" w:w="3213"/>
          </w:tcPr>
          <w:p>
            <w:r>
              <w:rPr>
                <w:rFonts w:ascii="Consolas" w:hAnsi="Consolas"/>
                <w:sz w:val="18"/>
              </w:rPr>
              <w:t>INT-L-NNN</w:t>
            </w:r>
            <w:r>
              <w:rPr>
                <w:sz w:val="18"/>
              </w:rPr>
              <w:t xml:space="preserve">, </w:t>
            </w:r>
            <w:r>
              <w:rPr>
                <w:rFonts w:ascii="Consolas" w:hAnsi="Consolas"/>
                <w:sz w:val="18"/>
              </w:rPr>
              <w:t>INT-O-NNN</w:t>
            </w:r>
            <w:r>
              <w:rPr>
                <w:sz w:val="18"/>
              </w:rPr>
              <w:t xml:space="preserve">, </w:t>
            </w:r>
            <w:r>
              <w:rPr>
                <w:rFonts w:ascii="Consolas" w:hAnsi="Consolas"/>
                <w:sz w:val="18"/>
              </w:rPr>
              <w:t>INT-P-NNN</w:t>
            </w:r>
            <w:r>
              <w:rPr>
                <w:sz w:val="18"/>
              </w:rPr>
              <w:t xml:space="preserve">, </w:t>
            </w:r>
            <w:r>
              <w:rPr>
                <w:rFonts w:ascii="Consolas" w:hAnsi="Consolas"/>
                <w:sz w:val="18"/>
              </w:rPr>
              <w:t>EU-L-NNN</w:t>
            </w:r>
          </w:p>
        </w:tc>
        <w:tc>
          <w:tcPr>
            <w:tcW w:type="dxa" w:w="3213"/>
          </w:tcPr>
          <w:p>
            <w:r>
              <w:rPr>
                <w:sz w:val="18"/>
              </w:rPr>
              <w:t>International</w:t>
            </w:r>
          </w:p>
        </w:tc>
        <w:tc>
          <w:tcPr>
            <w:tcW w:type="dxa" w:w="3213"/>
          </w:tcPr>
          <w:p>
            <w:r>
              <w:rPr>
                <w:rFonts w:ascii="Consolas" w:hAnsi="Consolas"/>
                <w:sz w:val="18"/>
              </w:rPr>
              <w:t>Record_ID</w:t>
            </w:r>
          </w:p>
        </w:tc>
      </w:tr>
      <w:tr>
        <w:tc>
          <w:tcPr>
            <w:tcW w:type="dxa" w:w="3213"/>
          </w:tcPr>
          <w:p>
            <w:r>
              <w:rPr>
                <w:rFonts w:ascii="Consolas" w:hAnsi="Consolas"/>
                <w:sz w:val="18"/>
              </w:rPr>
              <w:t>IND-x-NNN</w:t>
            </w:r>
          </w:p>
        </w:tc>
        <w:tc>
          <w:tcPr>
            <w:tcW w:type="dxa" w:w="3213"/>
          </w:tcPr>
          <w:p>
            <w:r>
              <w:rPr>
                <w:sz w:val="18"/>
              </w:rPr>
              <w:t>Indicators</w:t>
            </w:r>
          </w:p>
        </w:tc>
        <w:tc>
          <w:tcPr>
            <w:tcW w:type="dxa" w:w="3213"/>
          </w:tcPr>
          <w:p>
            <w:r>
              <w:rPr>
                <w:rFonts w:ascii="Consolas" w:hAnsi="Consolas"/>
                <w:sz w:val="18"/>
              </w:rPr>
              <w:t>Record_ID</w:t>
            </w:r>
          </w:p>
        </w:tc>
      </w:tr>
      <w:tr>
        <w:tc>
          <w:tcPr>
            <w:tcW w:type="dxa" w:w="3213"/>
          </w:tcPr>
          <w:p>
            <w:r>
              <w:rPr>
                <w:rFonts w:ascii="Consolas" w:hAnsi="Consolas"/>
                <w:sz w:val="18"/>
              </w:rPr>
              <w:t>IFW-NN</w:t>
            </w:r>
          </w:p>
        </w:tc>
        <w:tc>
          <w:tcPr>
            <w:tcW w:type="dxa" w:w="3213"/>
          </w:tcPr>
          <w:p>
            <w:r>
              <w:rPr>
                <w:sz w:val="18"/>
              </w:rPr>
              <w:t>Indicators</w:t>
            </w:r>
          </w:p>
        </w:tc>
        <w:tc>
          <w:tcPr>
            <w:tcW w:type="dxa" w:w="3213"/>
          </w:tcPr>
          <w:p>
            <w:r>
              <w:rPr>
                <w:rFonts w:ascii="Consolas" w:hAnsi="Consolas"/>
                <w:sz w:val="18"/>
              </w:rPr>
              <w:t>Framework_ID</w:t>
            </w:r>
          </w:p>
        </w:tc>
      </w:tr>
    </w:tbl>
    <w:p/>
    <w:p>
      <w:pPr>
        <w:pStyle w:val="Heading2"/>
      </w:pPr>
      <w:r>
        <w:rPr/>
        <w:t>1. Propose</w:t>
      </w:r>
    </w:p>
    <w:p>
      <w:r>
        <w:rPr/>
        <w:t>State the intended change as a table for sign-off before touching anything:</w:t>
      </w:r>
    </w:p>
    <w:p>
      <w:pPr>
        <w:pStyle w:val="ListBullet"/>
      </w:pPr>
      <w:r>
        <w:rPr>
          <w:b/>
        </w:rPr>
        <w:t>New records</w:t>
      </w:r>
      <w:r>
        <w:rPr/>
        <w:t xml:space="preserve">: proposed </w:t>
      </w:r>
      <w:r>
        <w:rPr>
          <w:rFonts w:ascii="Consolas" w:hAnsi="Consolas"/>
        </w:rPr>
        <w:t>Record_ID</w:t>
      </w:r>
      <w:r>
        <w:rPr/>
        <w:t xml:space="preserve">, </w:t>
      </w:r>
      <w:r>
        <w:rPr>
          <w:rFonts w:ascii="Consolas" w:hAnsi="Consolas"/>
        </w:rPr>
        <w:t>Name</w:t>
      </w:r>
      <w:r>
        <w:rPr/>
        <w:t>, and every column value. Blank cell over guess.</w:t>
      </w:r>
    </w:p>
    <w:p>
      <w:pPr>
        <w:pStyle w:val="ListBullet"/>
      </w:pPr>
      <w:r>
        <w:rPr>
          <w:b/>
        </w:rPr>
        <w:t>Edits</w:t>
      </w:r>
      <w:r>
        <w:rPr/>
        <w:t>: the exact cells, old value → new value.</w:t>
      </w:r>
    </w:p>
    <w:p>
      <w:pPr>
        <w:pStyle w:val="ListBullet"/>
      </w:pPr>
      <w:r>
        <w:rPr/>
        <w:t xml:space="preserve">Identify the </w:t>
      </w:r>
      <w:r>
        <w:rPr>
          <w:b/>
        </w:rPr>
        <w:t>link map</w:t>
      </w:r>
      <w:r>
        <w:rPr/>
        <w:t xml:space="preserve"> — every </w:t>
      </w:r>
      <w:r>
        <w:rPr>
          <w:i/>
        </w:rPr>
        <w:t>other</w:t>
      </w:r>
      <w:r>
        <w:rPr/>
        <w:t xml:space="preserve"> record and workbook the change touches (Step 3).</w:t>
      </w:r>
    </w:p>
    <w:p>
      <w:r>
        <w:rPr/>
        <w:t>Do not proceed to write on an unreviewed proposal. Higher-risk operations (structural rewrites, global regex passes, column additions) require explicit authorisation.</w:t>
      </w:r>
    </w:p>
    <w:p>
      <w:pPr>
        <w:pStyle w:val="Heading2"/>
      </w:pPr>
      <w:r>
        <w:rPr/>
        <w:t>2. Verify</w:t>
      </w:r>
    </w:p>
    <w:p>
      <w:pPr>
        <w:pStyle w:val="ListBullet"/>
      </w:pPr>
      <w:r>
        <w:rPr>
          <w:b/>
        </w:rPr>
        <w:t>Sources</w:t>
      </w:r>
      <w:r>
        <w:rPr/>
        <w:t>: confirm against primary/official sources (gov.uk, legislation.gov.uk, CBD, nature.scot, official treaty texts). State a confidence level per record; flag anything unverified rather than writing an assumed value.</w:t>
      </w:r>
    </w:p>
    <w:p>
      <w:pPr>
        <w:pStyle w:val="ListBullet"/>
      </w:pPr>
      <w:r>
        <w:rPr>
          <w:b/>
        </w:rPr>
        <w:t>Links</w:t>
      </w:r>
      <w:r>
        <w:rPr/>
        <w:t xml:space="preserve">: open every </w:t>
      </w:r>
      <w:r>
        <w:rPr>
          <w:rFonts w:ascii="Consolas" w:hAnsi="Consolas"/>
        </w:rPr>
        <w:t>Link</w:t>
      </w:r>
      <w:r>
        <w:rPr/>
        <w:t xml:space="preserve"> you write and confirm the page is the instrument or document the record names — not merely a page that loads. Four Legislation records carried a working link to the wrong Act until October 2026. For legislation.gov.uk links the gate re-checks this (§6), but only after the write.</w:t>
      </w:r>
    </w:p>
    <w:p>
      <w:pPr>
        <w:pStyle w:val="ListBullet"/>
      </w:pPr>
      <w:r>
        <w:rPr>
          <w:b/>
        </w:rPr>
        <w:t>ID allocation</w:t>
      </w:r>
      <w:r>
        <w:rPr/>
        <w:t xml:space="preserve">: next free integer in the family. </w:t>
      </w:r>
      <w:r>
        <w:rPr>
          <w:b/>
        </w:rPr>
        <w:t>Never reuse a retired ID</w:t>
      </w:r>
      <w:r>
        <w:rPr/>
        <w:t xml:space="preserve"> — </w:t>
      </w:r>
      <w:r>
        <w:rPr>
          <w:rFonts w:ascii="Consolas" w:hAnsi="Consolas"/>
        </w:rPr>
        <w:t>POL-023</w:t>
      </w:r>
      <w:r>
        <w:rPr/>
        <w:t xml:space="preserve">, </w:t>
      </w:r>
      <w:r>
        <w:rPr>
          <w:rFonts w:ascii="Consolas" w:hAnsi="Consolas"/>
        </w:rPr>
        <w:t>POL-024</w:t>
      </w:r>
      <w:r>
        <w:rPr/>
        <w:t xml:space="preserve">, </w:t>
      </w:r>
      <w:r>
        <w:rPr>
          <w:rFonts w:ascii="Consolas" w:hAnsi="Consolas"/>
        </w:rPr>
        <w:t>LEG-008</w:t>
      </w:r>
      <w:r>
        <w:rPr/>
        <w:t xml:space="preserve"> and </w:t>
      </w:r>
      <w:r>
        <w:rPr>
          <w:rFonts w:ascii="Consolas" w:hAnsi="Consolas"/>
        </w:rPr>
        <w:t>LEG-009</w:t>
      </w:r>
      <w:r>
        <w:rPr/>
        <w:t xml:space="preserve"> are permanently retired (the list lives in </w:t>
      </w:r>
      <w:r>
        <w:rPr>
          <w:rFonts w:ascii="Consolas" w:hAnsi="Consolas"/>
        </w:rPr>
        <w:t>check_links.py</w:t>
      </w:r>
      <w:r>
        <w:rPr/>
        <w:t>).</w:t>
      </w:r>
    </w:p>
    <w:p>
      <w:pPr>
        <w:pStyle w:val="ListBullet"/>
      </w:pPr>
      <w:r>
        <w:rPr>
          <w:b/>
        </w:rPr>
        <w:t>Controlled vocabulary</w:t>
      </w:r>
      <w:r>
        <w:rPr/>
        <w:t xml:space="preserve">: any new </w:t>
      </w:r>
      <w:r>
        <w:rPr>
          <w:rFonts w:ascii="Consolas" w:hAnsi="Consolas"/>
        </w:rPr>
        <w:t>General_Type</w:t>
      </w:r>
      <w:r>
        <w:rPr/>
        <w:t xml:space="preserve">, </w:t>
      </w:r>
      <w:r>
        <w:rPr>
          <w:rFonts w:ascii="Consolas" w:hAnsi="Consolas"/>
        </w:rPr>
        <w:t>Policy_Sector</w:t>
      </w:r>
      <w:r>
        <w:rPr/>
        <w:t xml:space="preserve"> token, etc. must be flagged for approval, never silently coined. Max 3 </w:t>
      </w:r>
      <w:r>
        <w:rPr>
          <w:rFonts w:ascii="Consolas" w:hAnsi="Consolas"/>
        </w:rPr>
        <w:t>Policy_Sector</w:t>
      </w:r>
      <w:r>
        <w:rPr/>
        <w:t xml:space="preserve"> codes per indicator; governance records uncapped. </w:t>
      </w:r>
      <w:r>
        <w:rPr>
          <w:rFonts w:ascii="Consolas" w:hAnsi="Consolas"/>
        </w:rPr>
        <w:t>Policy_Sector</w:t>
      </w:r>
      <w:r>
        <w:rPr/>
        <w:t xml:space="preserve"> is </w:t>
      </w:r>
      <w:r>
        <w:rPr>
          <w:b/>
        </w:rPr>
        <w:t>one vocabulary of 14 classes shared by all three workbooks</w:t>
      </w:r>
      <w:r>
        <w:rPr/>
        <w:t xml:space="preserve"> — indicators and governance alike. Do not fork it per workbook: the indicator finder and the governance diagram both filter on it, and </w:t>
      </w:r>
      <w:r>
        <w:rPr>
          <w:rFonts w:ascii="Consolas" w:hAnsi="Consolas"/>
        </w:rPr>
        <w:t>Health</w:t>
      </w:r>
      <w:r>
        <w:rPr/>
        <w:t xml:space="preserve"> / </w:t>
      </w:r>
      <w:r>
        <w:rPr>
          <w:rFonts w:ascii="Consolas" w:hAnsi="Consolas"/>
        </w:rPr>
        <w:t>Trade &amp; Industry</w:t>
      </w:r>
      <w:r>
        <w:rPr/>
        <w:t xml:space="preserve"> are indicator-only in </w:t>
      </w:r>
      <w:r>
        <w:rPr>
          <w:i/>
        </w:rPr>
        <w:t>use</w:t>
      </w:r>
      <w:r>
        <w:rPr/>
        <w:t xml:space="preserve">, not indicator-only in </w:t>
      </w:r>
      <w:r>
        <w:rPr>
          <w:i/>
        </w:rPr>
        <w:t>scope</w:t>
      </w:r>
      <w:r>
        <w:rPr/>
        <w:t>. The authoritative list is handover §5.</w:t>
      </w:r>
    </w:p>
    <w:p>
      <w:pPr>
        <w:pStyle w:val="Heading2"/>
      </w:pPr>
      <w:r>
        <w:rPr/>
        <w:t>3. Link map — what a change touches</w:t>
      </w:r>
    </w:p>
    <w:p>
      <w:r>
        <w:rPr/>
        <w:t>A single record rarely lives in one cell. Before writing, enumerate every reciprocal touch.</w:t>
      </w:r>
    </w:p>
    <w:p>
      <w:r>
        <w:rPr>
          <w:b/>
        </w:rPr>
        <w:t>New UK policy (</w:t>
      </w:r>
      <w:r>
        <w:rPr>
          <w:rFonts w:ascii="Consolas" w:hAnsi="Consolas"/>
          <w:b/>
        </w:rPr>
        <w:t>POL-</w:t>
      </w:r>
      <w:r>
        <w:rPr>
          <w:b/>
        </w:rPr>
        <w:t>)</w:t>
      </w:r>
    </w:p>
    <w:p>
      <w:pPr>
        <w:pStyle w:val="ListBullet"/>
      </w:pPr>
      <w:r>
        <w:rPr>
          <w:rFonts w:ascii="Consolas" w:hAnsi="Consolas"/>
        </w:rPr>
        <w:t>Policies &amp; Activities</w:t>
      </w:r>
      <w:r>
        <w:rPr/>
        <w:t xml:space="preserve"> row (all columns).</w:t>
      </w:r>
    </w:p>
    <w:p>
      <w:pPr>
        <w:pStyle w:val="ListBullet"/>
      </w:pPr>
      <w:r>
        <w:rPr>
          <w:rFonts w:ascii="Consolas" w:hAnsi="Consolas"/>
        </w:rPr>
        <w:t>Enabling_Legislation</w:t>
      </w:r>
      <w:r>
        <w:rPr/>
        <w:t xml:space="preserve"> → confirm the </w:t>
      </w:r>
      <w:r>
        <w:rPr>
          <w:rFonts w:ascii="Consolas" w:hAnsi="Consolas"/>
        </w:rPr>
        <w:t>[LEG-NNN]</w:t>
      </w:r>
      <w:r>
        <w:rPr/>
        <w:t xml:space="preserve"> exists; if not, propose a new LEG record too.</w:t>
      </w:r>
    </w:p>
    <w:p>
      <w:pPr>
        <w:pStyle w:val="ListBullet"/>
      </w:pPr>
      <w:r>
        <w:rPr>
          <w:rFonts w:ascii="Consolas" w:hAnsi="Consolas"/>
        </w:rPr>
        <w:t>Lead_Organisation</w:t>
      </w:r>
      <w:r>
        <w:rPr/>
        <w:t xml:space="preserve"> / </w:t>
      </w:r>
      <w:r>
        <w:rPr>
          <w:rFonts w:ascii="Consolas" w:hAnsi="Consolas"/>
        </w:rPr>
        <w:t>Lead_Department</w:t>
      </w:r>
      <w:r>
        <w:rPr/>
        <w:t xml:space="preserve"> → confirm the </w:t>
      </w:r>
      <w:r>
        <w:rPr>
          <w:rFonts w:ascii="Consolas" w:hAnsi="Consolas"/>
        </w:rPr>
        <w:t>[ORG-NNN]</w:t>
      </w:r>
      <w:r>
        <w:rPr/>
        <w:t xml:space="preserve"> exists; if not, propose a new ORG record.</w:t>
      </w:r>
    </w:p>
    <w:p>
      <w:pPr>
        <w:pStyle w:val="ListBullet"/>
      </w:pPr>
      <w:r>
        <w:rPr>
          <w:rFonts w:ascii="Consolas" w:hAnsi="Consolas"/>
        </w:rPr>
        <w:t>Related_Policy_Links</w:t>
      </w:r>
      <w:r>
        <w:rPr/>
        <w:t xml:space="preserve">, </w:t>
      </w:r>
      <w:r>
        <w:rPr>
          <w:rFonts w:ascii="Consolas" w:hAnsi="Consolas"/>
        </w:rPr>
        <w:t>Parent_Programme</w:t>
      </w:r>
      <w:r>
        <w:rPr/>
        <w:t xml:space="preserve">, </w:t>
      </w:r>
      <w:r>
        <w:rPr>
          <w:rFonts w:ascii="Consolas" w:hAnsi="Consolas"/>
        </w:rPr>
        <w:t>Funded_By</w:t>
      </w:r>
      <w:r>
        <w:rPr/>
        <w:t xml:space="preserve"> → bracketed codes, each must resolve.</w:t>
      </w:r>
    </w:p>
    <w:p>
      <w:pPr>
        <w:pStyle w:val="ListBullet"/>
      </w:pPr>
      <w:r>
        <w:rPr>
          <w:rFonts w:ascii="Consolas" w:hAnsi="Consolas"/>
        </w:rPr>
        <w:t>Indicator_Frameworks</w:t>
      </w:r>
      <w:r>
        <w:rPr/>
        <w:t xml:space="preserve"> → </w:t>
      </w:r>
      <w:r>
        <w:rPr>
          <w:rFonts w:ascii="Consolas" w:hAnsi="Consolas"/>
        </w:rPr>
        <w:t>[IFW-NN]</w:t>
      </w:r>
      <w:r>
        <w:rPr/>
        <w:t xml:space="preserve"> (bracketed).</w:t>
      </w:r>
    </w:p>
    <w:p>
      <w:pPr>
        <w:pStyle w:val="ListBullet"/>
      </w:pPr>
      <w:r>
        <w:rPr>
          <w:rFonts w:ascii="Consolas" w:hAnsi="Consolas"/>
        </w:rPr>
        <w:t>Cross-Reference Index</w:t>
      </w:r>
      <w:r>
        <w:rPr/>
        <w:t xml:space="preserve"> → new row.</w:t>
      </w:r>
    </w:p>
    <w:p>
      <w:pPr>
        <w:pStyle w:val="ListBullet"/>
      </w:pPr>
      <w:r>
        <w:rPr/>
        <w:t>Any existing record it names → add the reciprocal link on that record.</w:t>
      </w:r>
    </w:p>
    <w:p>
      <w:r>
        <w:rPr>
          <w:b/>
        </w:rPr>
        <w:t>New / edited UK public body (</w:t>
      </w:r>
      <w:r>
        <w:rPr>
          <w:rFonts w:ascii="Consolas" w:hAnsi="Consolas"/>
          <w:b/>
        </w:rPr>
        <w:t>ORG-</w:t>
      </w:r>
      <w:r>
        <w:rPr>
          <w:b/>
        </w:rPr>
        <w:t>)</w:t>
      </w:r>
    </w:p>
    <w:p>
      <w:pPr>
        <w:pStyle w:val="ListBullet"/>
      </w:pPr>
      <w:r>
        <w:rPr>
          <w:rFonts w:ascii="Consolas" w:hAnsi="Consolas"/>
        </w:rPr>
        <w:t>Lead_Department</w:t>
      </w:r>
      <w:r>
        <w:rPr/>
        <w:t xml:space="preserve"> → </w:t>
      </w:r>
      <w:r>
        <w:rPr>
          <w:rFonts w:ascii="Consolas" w:hAnsi="Consolas"/>
        </w:rPr>
        <w:t>[ORG-NNN]</w:t>
      </w:r>
      <w:r>
        <w:rPr/>
        <w:t xml:space="preserve"> sponsoring department.</w:t>
      </w:r>
    </w:p>
    <w:p>
      <w:pPr>
        <w:pStyle w:val="ListBullet"/>
      </w:pPr>
      <w:r>
        <w:rPr>
          <w:rFonts w:ascii="Consolas" w:hAnsi="Consolas"/>
        </w:rPr>
        <w:t>Statutory_Role</w:t>
      </w:r>
      <w:r>
        <w:rPr/>
        <w:t xml:space="preserve"> → </w:t>
      </w:r>
      <w:r>
        <w:rPr>
          <w:rFonts w:ascii="Consolas" w:hAnsi="Consolas"/>
        </w:rPr>
        <w:t>[LEG-NNN]</w:t>
      </w:r>
      <w:r>
        <w:rPr/>
        <w:t xml:space="preserve"> legislation establishing/empowering the body.</w:t>
      </w:r>
    </w:p>
    <w:p>
      <w:pPr>
        <w:pStyle w:val="ListBullet"/>
      </w:pPr>
      <w:r>
        <w:rPr>
          <w:rFonts w:ascii="Consolas" w:hAnsi="Consolas"/>
        </w:rPr>
        <w:t>Related_Bodies</w:t>
      </w:r>
      <w:r>
        <w:rPr/>
        <w:t xml:space="preserve"> → </w:t>
      </w:r>
      <w:r>
        <w:rPr>
          <w:rFonts w:ascii="Consolas" w:hAnsi="Consolas"/>
        </w:rPr>
        <w:t>[ORG-NNN]</w:t>
      </w:r>
      <w:r>
        <w:rPr/>
        <w:t xml:space="preserve"> peer / national-analogue bodies across the four UK administrations (soft, undirected — add on </w:t>
      </w:r>
      <w:r>
        <w:rPr>
          <w:b/>
        </w:rPr>
        <w:t>one</w:t>
      </w:r>
      <w:r>
        <w:rPr/>
        <w:t xml:space="preserve"> side only).</w:t>
      </w:r>
    </w:p>
    <w:p>
      <w:pPr>
        <w:pStyle w:val="ListBullet"/>
      </w:pPr>
      <w:r>
        <w:rPr>
          <w:rFonts w:ascii="Consolas" w:hAnsi="Consolas"/>
        </w:rPr>
        <w:t>Affecting_Policies</w:t>
      </w:r>
      <w:r>
        <w:rPr/>
        <w:t xml:space="preserve"> → </w:t>
      </w:r>
      <w:r>
        <w:rPr>
          <w:rFonts w:ascii="Consolas" w:hAnsi="Consolas"/>
        </w:rPr>
        <w:t>[POL-NNN]</w:t>
      </w:r>
      <w:r>
        <w:rPr/>
        <w:t xml:space="preserve"> policies whose provisions materially affect the body (soft). Use this only for genuine effect; weaker "within scope of" mentions stay in </w:t>
      </w:r>
      <w:r>
        <w:rPr>
          <w:rFonts w:ascii="Consolas" w:hAnsi="Consolas"/>
        </w:rPr>
        <w:t>Remit_And_Powers</w:t>
      </w:r>
      <w:r>
        <w:rPr/>
        <w:t xml:space="preserve"> prose.</w:t>
      </w:r>
    </w:p>
    <w:p>
      <w:r>
        <w:rPr>
          <w:b/>
        </w:rPr>
        <w:t>International link (convention / body / EU law ↔ UK)</w:t>
      </w:r>
    </w:p>
    <w:p>
      <w:pPr>
        <w:pStyle w:val="ListBullet"/>
      </w:pPr>
      <w:r>
        <w:rPr/>
        <w:t xml:space="preserve">International record </w:t>
      </w:r>
      <w:r>
        <w:rPr>
          <w:rFonts w:ascii="Consolas" w:hAnsi="Consolas"/>
        </w:rPr>
        <w:t>UK_Links</w:t>
      </w:r>
      <w:r>
        <w:rPr/>
        <w:t xml:space="preserve"> → add the </w:t>
      </w:r>
      <w:r>
        <w:rPr>
          <w:rFonts w:ascii="Consolas" w:hAnsi="Consolas"/>
        </w:rPr>
        <w:t>[UK code]</w:t>
      </w:r>
      <w:r>
        <w:rPr/>
        <w:t>.</w:t>
      </w:r>
    </w:p>
    <w:p>
      <w:pPr>
        <w:pStyle w:val="ListBullet"/>
      </w:pPr>
      <w:r>
        <w:rPr/>
        <w:t xml:space="preserve">Matching UK record </w:t>
      </w:r>
      <w:r>
        <w:rPr>
          <w:rFonts w:ascii="Consolas" w:hAnsi="Consolas"/>
        </w:rPr>
        <w:t>Intl_Links</w:t>
      </w:r>
      <w:r>
        <w:rPr/>
        <w:t xml:space="preserve"> → add the reciprocal </w:t>
      </w:r>
      <w:r>
        <w:rPr>
          <w:rFonts w:ascii="Consolas" w:hAnsi="Consolas"/>
        </w:rPr>
        <w:t>[INT-/EU- code]</w:t>
      </w:r>
      <w:r>
        <w:rPr/>
        <w:t xml:space="preserve">. </w:t>
      </w:r>
      <w:r>
        <w:rPr>
          <w:b/>
        </w:rPr>
        <w:t>Both directions are mandatory</w:t>
      </w:r>
      <w:r>
        <w:rPr/>
        <w:t xml:space="preserve"> (see Step 6 invariants).</w:t>
      </w:r>
    </w:p>
    <w:p>
      <w:pPr>
        <w:pStyle w:val="ListBullet"/>
      </w:pPr>
      <w:r>
        <w:rPr/>
        <w:t xml:space="preserve">Intl↔intl thematic links go in </w:t>
      </w:r>
      <w:r>
        <w:rPr>
          <w:rFonts w:ascii="Consolas" w:hAnsi="Consolas"/>
        </w:rPr>
        <w:t>Intl_Links</w:t>
      </w:r>
      <w:r>
        <w:rPr/>
        <w:t xml:space="preserve"> (soft, undirected — add once).</w:t>
      </w:r>
    </w:p>
    <w:p>
      <w:r>
        <w:rPr>
          <w:b/>
        </w:rPr>
        <w:t>Indicator link</w:t>
      </w:r>
    </w:p>
    <w:p>
      <w:pPr>
        <w:pStyle w:val="ListBullet"/>
      </w:pPr>
      <w:r>
        <w:rPr/>
        <w:t xml:space="preserve">Governance </w:t>
      </w:r>
      <w:r>
        <w:rPr>
          <w:rFonts w:ascii="Consolas" w:hAnsi="Consolas"/>
        </w:rPr>
        <w:t>Indicator_Frameworks</w:t>
      </w:r>
      <w:r>
        <w:rPr/>
        <w:t xml:space="preserve"> ↔ indicators </w:t>
      </w:r>
      <w:r>
        <w:rPr>
          <w:rFonts w:ascii="Consolas" w:hAnsi="Consolas"/>
        </w:rPr>
        <w:t>Framework_ID</w:t>
      </w:r>
      <w:r>
        <w:rPr/>
        <w:t xml:space="preserve"> (</w:t>
      </w:r>
      <w:r>
        <w:rPr>
          <w:rFonts w:ascii="Consolas" w:hAnsi="Consolas"/>
        </w:rPr>
        <w:t>[IFW-NN]</w:t>
      </w:r>
      <w:r>
        <w:rPr/>
        <w:t>).</w:t>
      </w:r>
    </w:p>
    <w:p>
      <w:pPr>
        <w:pStyle w:val="Heading2"/>
      </w:pPr>
      <w:r>
        <w:rPr/>
        <w:t>4. Build — write mechanics (openpyxl)</w:t>
      </w:r>
    </w:p>
    <w:p>
      <w:pPr>
        <w:pStyle w:val="ListBullet"/>
      </w:pPr>
      <w:r>
        <w:rPr>
          <w:b/>
        </w:rPr>
        <w:t>Read canonical first.</w:t>
      </w:r>
      <w:r>
        <w:rPr/>
        <w:t xml:space="preserve"> Two loads when hyperlinks are needed: </w:t>
      </w:r>
      <w:r>
        <w:rPr>
          <w:rFonts w:ascii="Consolas" w:hAnsi="Consolas"/>
        </w:rPr>
        <w:t>data_only=True</w:t>
      </w:r>
      <w:r>
        <w:rPr/>
        <w:t xml:space="preserve"> for values, and a second plain load for </w:t>
      </w:r>
      <w:r>
        <w:rPr>
          <w:rFonts w:ascii="Consolas" w:hAnsi="Consolas"/>
        </w:rPr>
        <w:t>.hyperlink.target</w:t>
      </w:r>
      <w:r>
        <w:rPr/>
        <w:t>.</w:t>
      </w:r>
    </w:p>
    <w:p>
      <w:pPr>
        <w:pStyle w:val="ListBullet"/>
      </w:pPr>
      <w:r>
        <w:rPr>
          <w:b/>
        </w:rPr>
        <w:t xml:space="preserve">Never </w:t>
      </w:r>
      <w:r>
        <w:rPr>
          <w:rFonts w:ascii="Consolas" w:hAnsi="Consolas"/>
          <w:b/>
        </w:rPr>
        <w:t>insert_rows</w:t>
      </w:r>
      <w:r>
        <w:rPr>
          <w:b/>
        </w:rPr>
        <w:t xml:space="preserve"> on a striped sheet</w:t>
      </w:r>
      <w:r>
        <w:rPr/>
        <w:t xml:space="preserve"> — it corrupts alternating-fill parity. For row insertion or structural change, rewrite the full region and re-stripe deterministically by final row position: even rows </w:t>
      </w:r>
      <w:r>
        <w:rPr>
          <w:rFonts w:ascii="Consolas" w:hAnsi="Consolas"/>
        </w:rPr>
        <w:t>FFFDFEFE</w:t>
      </w:r>
      <w:r>
        <w:rPr/>
        <w:t xml:space="preserve">, odd rows </w:t>
      </w:r>
      <w:r>
        <w:rPr>
          <w:rFonts w:ascii="Consolas" w:hAnsi="Consolas"/>
        </w:rPr>
        <w:t>FFF4F6F7</w:t>
      </w:r>
      <w:r>
        <w:rPr/>
        <w:t>.</w:t>
      </w:r>
    </w:p>
    <w:p>
      <w:pPr>
        <w:pStyle w:val="ListBullet"/>
      </w:pPr>
      <w:r>
        <w:rPr>
          <w:b/>
        </w:rPr>
        <w:t>Appending a trailing row/column</w:t>
      </w:r>
      <w:r>
        <w:rPr/>
        <w:t xml:space="preserve"> is safe (no existing rows move); copy style from a same-parity template (row 2 even, row 3 odd) or from the sibling cell in the same row.</w:t>
      </w:r>
    </w:p>
    <w:p>
      <w:pPr>
        <w:pStyle w:val="ListBullet"/>
      </w:pPr>
      <w:r>
        <w:rPr>
          <w:b/>
        </w:rPr>
        <w:t>Style inheritance</w:t>
      </w:r>
      <w:r>
        <w:rPr/>
        <w:t>: copy font, fill, border, alignment and number_format — never leave a new cell unstyled or copy from the header/adjacent-column.</w:t>
      </w:r>
    </w:p>
    <w:p>
      <w:pPr>
        <w:pStyle w:val="ListBullet"/>
      </w:pPr>
      <w:r>
        <w:rPr>
          <w:b/>
        </w:rPr>
        <w:t xml:space="preserve">Exclude the </w:t>
      </w:r>
      <w:r>
        <w:rPr>
          <w:rFonts w:ascii="Consolas" w:hAnsi="Consolas"/>
          <w:b/>
        </w:rPr>
        <w:t>Record_ID</w:t>
      </w:r>
      <w:r>
        <w:rPr>
          <w:b/>
        </w:rPr>
        <w:t xml:space="preserve"> / </w:t>
      </w:r>
      <w:r>
        <w:rPr>
          <w:rFonts w:ascii="Consolas" w:hAnsi="Consolas"/>
          <w:b/>
        </w:rPr>
        <w:t>Framework_ID</w:t>
      </w:r>
      <w:r>
        <w:rPr>
          <w:b/>
        </w:rPr>
        <w:t xml:space="preserve"> column from any global bracket/regex pass.</w:t>
      </w:r>
      <w:r>
        <w:rPr/>
        <w:t xml:space="preserve"> Bracketing a primary key breaks every </w:t>
      </w:r>
      <w:r>
        <w:rPr>
          <w:rFonts w:ascii="Consolas" w:hAnsi="Consolas"/>
        </w:rPr>
        <w:t>.isin()</w:t>
      </w:r>
      <w:r>
        <w:rPr/>
        <w:t xml:space="preserve"> join. Inspect </w:t>
      </w:r>
      <w:r>
        <w:rPr>
          <w:rFonts w:ascii="Consolas" w:hAnsi="Consolas"/>
        </w:rPr>
        <w:t>.head()</w:t>
      </w:r>
      <w:r>
        <w:rPr/>
        <w:t xml:space="preserve"> immediately after any rewrite that touches IDs.</w:t>
      </w:r>
    </w:p>
    <w:p>
      <w:pPr>
        <w:pStyle w:val="ListBullet"/>
      </w:pPr>
      <w:r>
        <w:rPr>
          <w:b/>
        </w:rPr>
        <w:t>Bracketing convention</w:t>
      </w:r>
      <w:r>
        <w:rPr/>
        <w:t xml:space="preserve">: every cross-reference code is wrapped in square brackets — </w:t>
      </w:r>
      <w:r>
        <w:rPr>
          <w:rFonts w:ascii="Consolas" w:hAnsi="Consolas"/>
        </w:rPr>
        <w:t>[LEG-NNN]</w:t>
      </w:r>
      <w:r>
        <w:rPr/>
        <w:t xml:space="preserve">, </w:t>
      </w:r>
      <w:r>
        <w:rPr>
          <w:rFonts w:ascii="Consolas" w:hAnsi="Consolas"/>
        </w:rPr>
        <w:t>[ORG-NNN]</w:t>
      </w:r>
      <w:r>
        <w:rPr/>
        <w:t xml:space="preserve">, </w:t>
      </w:r>
      <w:r>
        <w:rPr>
          <w:rFonts w:ascii="Consolas" w:hAnsi="Consolas"/>
        </w:rPr>
        <w:t>[POL-NNN]</w:t>
      </w:r>
      <w:r>
        <w:rPr/>
        <w:t xml:space="preserve">, </w:t>
      </w:r>
      <w:r>
        <w:rPr>
          <w:rFonts w:ascii="Consolas" w:hAnsi="Consolas"/>
        </w:rPr>
        <w:t>[INT-L/INT-O/INT-P-NNN]</w:t>
      </w:r>
      <w:r>
        <w:rPr/>
        <w:t xml:space="preserve">, </w:t>
      </w:r>
      <w:r>
        <w:rPr>
          <w:rFonts w:ascii="Consolas" w:hAnsi="Consolas"/>
        </w:rPr>
        <w:t>[EU-L-NNN]</w:t>
      </w:r>
      <w:r>
        <w:rPr/>
        <w:t xml:space="preserve">, </w:t>
      </w:r>
      <w:r>
        <w:rPr>
          <w:rFonts w:ascii="Consolas" w:hAnsi="Consolas"/>
        </w:rPr>
        <w:t>[IFW-NN]</w:t>
      </w:r>
      <w:r>
        <w:rPr/>
        <w:t xml:space="preserve"> — regardless of surrounding text. The only exception is the </w:t>
      </w:r>
      <w:r>
        <w:rPr>
          <w:rFonts w:ascii="Consolas" w:hAnsi="Consolas"/>
        </w:rPr>
        <w:t>Record_ID</w:t>
      </w:r>
      <w:r>
        <w:rPr/>
        <w:t xml:space="preserve"> / </w:t>
      </w:r>
      <w:r>
        <w:rPr>
          <w:rFonts w:ascii="Consolas" w:hAnsi="Consolas"/>
        </w:rPr>
        <w:t>Framework_ID</w:t>
      </w:r>
      <w:r>
        <w:rPr/>
        <w:t xml:space="preserve"> key columns, which are never bracketed.</w:t>
      </w:r>
    </w:p>
    <w:p>
      <w:pPr>
        <w:pStyle w:val="Heading2"/>
      </w:pPr>
      <w:r>
        <w:rPr/>
        <w:t>5. Version, changelog, save, archive</w:t>
      </w:r>
    </w:p>
    <w:p>
      <w:pPr>
        <w:tabs>
          <w:tab w:pos="454" w:val="left"/>
        </w:tabs>
        <w:spacing w:after="60"/>
        <w:ind w:left="454" w:hanging="454"/>
      </w:pPr>
      <w:r>
        <w:rPr/>
        <w:t>1.</w:t>
        <w:tab/>
      </w:r>
      <w:r>
        <w:rPr/>
        <w:t xml:space="preserve">Bump the internal </w:t>
      </w:r>
      <w:r>
        <w:rPr>
          <w:rFonts w:ascii="Consolas" w:hAnsi="Consolas"/>
        </w:rPr>
        <w:t>Version</w:t>
      </w:r>
      <w:r>
        <w:rPr/>
        <w:t xml:space="preserve"> (Changelog!B2) by one.</w:t>
      </w:r>
    </w:p>
    <w:p>
      <w:pPr>
        <w:tabs>
          <w:tab w:pos="454" w:val="left"/>
        </w:tabs>
        <w:spacing w:after="60"/>
        <w:ind w:left="454" w:hanging="454"/>
      </w:pPr>
      <w:r>
        <w:rPr/>
        <w:t>2.</w:t>
        <w:tab/>
      </w:r>
      <w:r>
        <w:rPr/>
        <w:t xml:space="preserve">Append one </w:t>
      </w:r>
      <w:r>
        <w:rPr>
          <w:rFonts w:ascii="Consolas" w:hAnsi="Consolas"/>
        </w:rPr>
        <w:t>Changelog</w:t>
      </w:r>
      <w:r>
        <w:rPr/>
        <w:t xml:space="preserve"> row: </w:t>
      </w:r>
      <w:r>
        <w:rPr>
          <w:rFonts w:ascii="Consolas" w:hAnsi="Consolas"/>
        </w:rPr>
        <w:t>Version | Date (YYYY-MM-DD) | Summary | Author</w:t>
      </w:r>
      <w:r>
        <w:rPr/>
        <w:t>.</w:t>
      </w:r>
    </w:p>
    <w:p>
      <w:pPr>
        <w:tabs>
          <w:tab w:pos="454" w:val="left"/>
        </w:tabs>
        <w:spacing w:after="60"/>
        <w:ind w:left="454" w:hanging="454"/>
      </w:pPr>
      <w:r>
        <w:rPr/>
        <w:t>3.</w:t>
        <w:tab/>
      </w:r>
      <w:r>
        <w:rPr/>
        <w:t xml:space="preserve">Save to the </w:t>
      </w:r>
      <w:r>
        <w:rPr>
          <w:b/>
        </w:rPr>
        <w:t>canonical filename</w:t>
      </w:r>
      <w:r>
        <w:rPr/>
        <w:t xml:space="preserve"> (overwriting the live file).</w:t>
      </w:r>
    </w:p>
    <w:p>
      <w:pPr>
        <w:tabs>
          <w:tab w:pos="454" w:val="left"/>
        </w:tabs>
        <w:spacing w:after="60"/>
        <w:ind w:left="454" w:hanging="454"/>
      </w:pPr>
      <w:r>
        <w:rPr/>
        <w:t>4.</w:t>
        <w:tab/>
      </w:r>
      <w:r>
        <w:rPr>
          <w:b/>
        </w:rPr>
        <w:t>Archive the prior canonical file</w:t>
      </w:r>
      <w:r>
        <w:rPr/>
        <w:t xml:space="preserve"> before it is overwritten, as </w:t>
      </w:r>
      <w:r>
        <w:rPr>
          <w:rFonts w:ascii="Consolas" w:hAnsi="Consolas"/>
        </w:rPr>
        <w:t>&lt;name&gt;_v&lt;oldVersion&gt;_superseded_&lt;YYYY-MM-DD&gt;.xlsx</w:t>
      </w:r>
      <w:r>
        <w:rPr/>
        <w:t xml:space="preserve"> — the date it became redundant. Never overwrite an archive; never reuse a superseded name.</w:t>
      </w:r>
    </w:p>
    <w:p>
      <w:pPr>
        <w:pStyle w:val="Heading2"/>
      </w:pPr>
      <w:r>
        <w:rPr/>
        <w:t>6. Verify after writing — mandatory gate</w:t>
      </w:r>
    </w:p>
    <w:p>
      <w:r>
        <w:rPr>
          <w:b/>
        </w:rPr>
        <w:t xml:space="preserve">Run </w:t>
      </w:r>
      <w:r>
        <w:rPr>
          <w:rFonts w:ascii="Consolas" w:hAnsi="Consolas"/>
          <w:b/>
        </w:rPr>
        <w:t>finalise.py</w:t>
      </w:r>
      <w:r>
        <w:rPr>
          <w:b/>
        </w:rPr>
        <w:t>. It regenerates the derived index, then gates, then rebuilds, then exports — in one command — and it will not rebuild or export anything from workbooks that fail the check.</w:t>
      </w:r>
    </w:p>
    <w:p>
      <w:pPr>
        <w:pStyle w:val="IntenseQuote"/>
      </w:pPr>
      <w:r>
        <w:rPr>
          <w:b/>
        </w:rPr>
        <w:t xml:space="preserve">Step 1 of 4 regenerates the </w:t>
      </w:r>
      <w:r>
        <w:rPr>
          <w:rFonts w:ascii="Consolas" w:hAnsi="Consolas"/>
          <w:b/>
        </w:rPr>
        <w:t>Cross-Reference Index</w:t>
      </w:r>
      <w:r>
        <w:rPr/>
        <w:t xml:space="preserve"> in both governance workbooks from their record sheets (</w:t>
      </w:r>
      <w:r>
        <w:rPr>
          <w:rFonts w:ascii="Consolas" w:hAnsi="Consolas"/>
        </w:rPr>
        <w:t>Data/code/rebuild_xref.py</w:t>
      </w:r>
      <w:r>
        <w:rPr/>
        <w:t xml:space="preserve">). That sheet is derived and nothing reads it, so hand-maintaining it guarantees drift — by September 2026 it had 228 stale values and four missing records across the two workbooks. </w:t>
      </w:r>
      <w:r>
        <w:rPr>
          <w:b/>
        </w:rPr>
        <w:t>Do not edit it by hand</w:t>
      </w:r>
      <w:r>
        <w:rPr/>
        <w:t>: add or edit the record on its own sheet and let the rebuild follow. This is the only step that writes to a canonical workbook, and it writes only when the index disagrees with the records.</w:t>
      </w:r>
    </w:p>
    <w:p>
      <w:pPr>
        <w:spacing w:before="60" w:after="120"/>
        <w:ind w:left="227"/>
        <w:shd w:val="clear" w:color="auto" w:fill="F2F4F5"/>
      </w:pPr>
      <w:r>
        <w:rPr>
          <w:rFonts w:ascii="Consolas" w:hAnsi="Consolas"/>
          <w:sz w:val="17"/>
        </w:rPr>
        <w:t>python3 Management/finalise.py               # rebuild_xref.py, check_links.py, check_legislation_links.py, then (only if clean) build_all.py, then export_release.py</w:t>
        <w:br/>
      </w:r>
      <w:r>
        <w:rPr>
          <w:rFonts w:ascii="Consolas" w:hAnsi="Consolas"/>
          <w:sz w:val="17"/>
        </w:rPr>
        <w:t>python3 Management/finalise.py --check       # index rebuild + the check alone, e.g. before you start writing</w:t>
      </w:r>
    </w:p>
    <w:p>
      <w:r>
        <w:rPr/>
        <w:t xml:space="preserve">Under the hood it runs, from </w:t>
      </w:r>
      <w:r>
        <w:rPr>
          <w:rFonts w:ascii="Consolas" w:hAnsi="Consolas"/>
        </w:rPr>
        <w:t>Data/canonical_files/</w:t>
      </w:r>
      <w:r>
        <w:rPr/>
        <w:t>:</w:t>
      </w:r>
    </w:p>
    <w:p>
      <w:pPr>
        <w:spacing w:before="60" w:after="120"/>
        <w:ind w:left="227"/>
        <w:shd w:val="clear" w:color="auto" w:fill="F2F4F5"/>
      </w:pPr>
      <w:r>
        <w:rPr>
          <w:rFonts w:ascii="Consolas" w:hAnsi="Consolas"/>
          <w:sz w:val="17"/>
        </w:rPr>
        <w:t>python3 ../code/check_links.py               # auto-detects the canonical files; exit 0 required</w:t>
      </w:r>
    </w:p>
    <w:p>
      <w:r>
        <w:rPr>
          <w:rFonts w:ascii="Consolas" w:hAnsi="Consolas"/>
        </w:rPr>
        <w:t>check_links.py</w:t>
      </w:r>
      <w:r>
        <w:rPr/>
        <w:t xml:space="preserve"> enforces the invariants (a new vocabulary breach is the most likely reason a previously clean workbook now fails):</w:t>
      </w:r>
    </w:p>
    <w:p>
      <w:pPr>
        <w:tabs>
          <w:tab w:pos="454" w:val="left"/>
        </w:tabs>
        <w:spacing w:after="60"/>
        <w:ind w:left="454" w:hanging="454"/>
      </w:pPr>
      <w:r>
        <w:rPr/>
        <w:t>1.</w:t>
        <w:tab/>
      </w:r>
      <w:r>
        <w:rPr>
          <w:b/>
        </w:rPr>
        <w:t>Orphan references</w:t>
      </w:r>
      <w:r>
        <w:rPr/>
        <w:t xml:space="preserve"> — every bracketed </w:t>
      </w:r>
      <w:r>
        <w:rPr>
          <w:rFonts w:ascii="Consolas" w:hAnsi="Consolas"/>
        </w:rPr>
        <w:t>[CODE]</w:t>
      </w:r>
      <w:r>
        <w:rPr/>
        <w:t xml:space="preserve"> resolves to a real </w:t>
      </w:r>
      <w:r>
        <w:rPr>
          <w:rFonts w:ascii="Consolas" w:hAnsi="Consolas"/>
        </w:rPr>
        <w:t>Record_ID</w:t>
      </w:r>
      <w:r>
        <w:rPr/>
        <w:t xml:space="preserve"> / </w:t>
      </w:r>
      <w:r>
        <w:rPr>
          <w:rFonts w:ascii="Consolas" w:hAnsi="Consolas"/>
        </w:rPr>
        <w:t>Framework_ID</w:t>
      </w:r>
      <w:r>
        <w:rPr/>
        <w:t>.</w:t>
      </w:r>
    </w:p>
    <w:p>
      <w:pPr>
        <w:tabs>
          <w:tab w:pos="454" w:val="left"/>
        </w:tabs>
        <w:spacing w:after="60"/>
        <w:ind w:left="454" w:hanging="454"/>
      </w:pPr>
      <w:r>
        <w:rPr/>
        <w:t>2.</w:t>
        <w:tab/>
      </w:r>
      <w:r>
        <w:rPr>
          <w:b/>
        </w:rPr>
        <w:t>Placement</w:t>
      </w:r>
      <w:r>
        <w:rPr/>
        <w:t xml:space="preserve"> — </w:t>
      </w:r>
      <w:r>
        <w:rPr>
          <w:rFonts w:ascii="Consolas" w:hAnsi="Consolas"/>
        </w:rPr>
        <w:t>UK_Links</w:t>
      </w:r>
      <w:r>
        <w:rPr/>
        <w:t xml:space="preserve"> holds only UK codes; </w:t>
      </w:r>
      <w:r>
        <w:rPr>
          <w:rFonts w:ascii="Consolas" w:hAnsi="Consolas"/>
        </w:rPr>
        <w:t>Intl_Links</w:t>
      </w:r>
      <w:r>
        <w:rPr/>
        <w:t xml:space="preserve"> holds only international codes.</w:t>
      </w:r>
    </w:p>
    <w:p>
      <w:pPr>
        <w:tabs>
          <w:tab w:pos="454" w:val="left"/>
        </w:tabs>
        <w:spacing w:after="60"/>
        <w:ind w:left="454" w:hanging="454"/>
      </w:pPr>
      <w:r>
        <w:rPr/>
        <w:t>3.</w:t>
        <w:tab/>
      </w:r>
      <w:r>
        <w:rPr>
          <w:b/>
        </w:rPr>
        <w:t>Bidirectional completeness</w:t>
      </w:r>
      <w:r>
        <w:rPr/>
        <w:t xml:space="preserve"> — every international→UK link has its UK→international reverse.</w:t>
      </w:r>
    </w:p>
    <w:p>
      <w:pPr>
        <w:tabs>
          <w:tab w:pos="454" w:val="left"/>
        </w:tabs>
        <w:spacing w:after="60"/>
        <w:ind w:left="454" w:hanging="454"/>
      </w:pPr>
      <w:r>
        <w:rPr/>
        <w:t>4.</w:t>
        <w:tab/>
      </w:r>
      <w:r>
        <w:rPr>
          <w:b/>
        </w:rPr>
        <w:t>No extra reverse</w:t>
      </w:r>
      <w:r>
        <w:rPr/>
        <w:t xml:space="preserve"> — no reverse link without a forward.</w:t>
      </w:r>
    </w:p>
    <w:p>
      <w:pPr>
        <w:tabs>
          <w:tab w:pos="454" w:val="left"/>
        </w:tabs>
        <w:spacing w:after="60"/>
        <w:ind w:left="454" w:hanging="454"/>
      </w:pPr>
      <w:r>
        <w:rPr/>
        <w:t>5.</w:t>
        <w:tab/>
      </w:r>
      <w:r>
        <w:rPr>
          <w:b/>
        </w:rPr>
        <w:t>Controlled vocabulary</w:t>
      </w:r>
      <w:r>
        <w:rPr/>
        <w:t xml:space="preserve"> — every value in a column the Data Dictionary marks </w:t>
      </w:r>
      <w:r>
        <w:rPr>
          <w:rFonts w:ascii="Consolas" w:hAnsi="Consolas"/>
        </w:rPr>
        <w:t>Data_Type: Controlled</w:t>
      </w:r>
      <w:r>
        <w:rPr/>
        <w:t xml:space="preserve"> appears in that column's declared vocabulary, per workbook and per sheet. Multi-valued cells are split on </w:t>
      </w:r>
      <w:r>
        <w:rPr>
          <w:rFonts w:ascii="Consolas" w:hAnsi="Consolas"/>
        </w:rPr>
        <w:t>|</w:t>
      </w:r>
      <w:r>
        <w:rPr/>
        <w:t xml:space="preserve"> and each token checked; a declared term containing a </w:t>
      </w:r>
      <w:r>
        <w:rPr>
          <w:rFonts w:ascii="Consolas" w:hAnsi="Consolas"/>
        </w:rPr>
        <w:t>[placeholder]</w:t>
      </w:r>
      <w:r>
        <w:rPr/>
        <w:t xml:space="preserve"> (e.g. </w:t>
      </w:r>
      <w:r>
        <w:rPr>
          <w:rFonts w:ascii="Consolas" w:hAnsi="Consolas"/>
        </w:rPr>
        <w:t>In force [qualifier]</w:t>
      </w:r>
      <w:r>
        <w:rPr/>
        <w:t xml:space="preserve">) matches on its stem. Vocabulary cells that describe a pattern rather than enumerate terms are skipped. Columns listed in </w:t>
      </w:r>
      <w:r>
        <w:rPr>
          <w:rFonts w:ascii="Consolas" w:hAnsi="Consolas"/>
        </w:rPr>
        <w:t>VOCAB_WARN_ONLY</w:t>
      </w:r>
      <w:r>
        <w:rPr/>
        <w:t xml:space="preserve"> report as a </w:t>
      </w:r>
      <w:r>
        <w:rPr>
          <w:b/>
        </w:rPr>
        <w:t>warning</w:t>
      </w:r>
      <w:r>
        <w:rPr/>
        <w:t xml:space="preserve"> and do not fail the gate — that list is a debt register with a stated reason per entry, not a permanent exemption, and it should be emptied.</w:t>
      </w:r>
    </w:p>
    <w:p>
      <w:pPr>
        <w:tabs>
          <w:tab w:pos="454" w:val="left"/>
        </w:tabs>
        <w:spacing w:after="60"/>
        <w:ind w:left="454" w:hanging="454"/>
      </w:pPr>
      <w:r>
        <w:rPr/>
        <w:t>6.</w:t>
        <w:tab/>
      </w:r>
      <w:r>
        <w:rPr>
          <w:b/>
        </w:rPr>
        <w:t>Retired IDs</w:t>
      </w:r>
      <w:r>
        <w:rPr/>
        <w:t xml:space="preserve"> — </w:t>
      </w:r>
      <w:r>
        <w:rPr>
          <w:rFonts w:ascii="Consolas" w:hAnsi="Consolas"/>
        </w:rPr>
        <w:t>POL-023</w:t>
      </w:r>
      <w:r>
        <w:rPr/>
        <w:t xml:space="preserve">, </w:t>
      </w:r>
      <w:r>
        <w:rPr>
          <w:rFonts w:ascii="Consolas" w:hAnsi="Consolas"/>
        </w:rPr>
        <w:t>POL-024</w:t>
      </w:r>
      <w:r>
        <w:rPr/>
        <w:t xml:space="preserve">, </w:t>
      </w:r>
      <w:r>
        <w:rPr>
          <w:rFonts w:ascii="Consolas" w:hAnsi="Consolas"/>
        </w:rPr>
        <w:t>LEG-008</w:t>
      </w:r>
      <w:r>
        <w:rPr/>
        <w:t xml:space="preserve">, </w:t>
      </w:r>
      <w:r>
        <w:rPr>
          <w:rFonts w:ascii="Consolas" w:hAnsi="Consolas"/>
        </w:rPr>
        <w:t>LEG-009</w:t>
      </w:r>
      <w:r>
        <w:rPr/>
        <w:t xml:space="preserve"> never reappear as records.</w:t>
      </w:r>
    </w:p>
    <w:p>
      <w:r>
        <w:rPr>
          <w:b/>
        </w:rPr>
        <w:t xml:space="preserve">Link titles — </w:t>
      </w:r>
      <w:r>
        <w:rPr>
          <w:rFonts w:ascii="Consolas" w:hAnsi="Consolas"/>
          <w:b/>
        </w:rPr>
        <w:t>Data/code/check_legislation_links.py</w:t>
      </w:r>
      <w:r>
        <w:rPr>
          <w:b/>
        </w:rPr>
        <w:t>, step 3 of 5.</w:t>
      </w:r>
      <w:r>
        <w:rPr/>
        <w:t xml:space="preserve"> For each </w:t>
      </w:r>
      <w:r>
        <w:rPr>
          <w:rFonts w:ascii="Consolas" w:hAnsi="Consolas"/>
        </w:rPr>
        <w:t>Legislation</w:t>
      </w:r>
      <w:r>
        <w:rPr/>
        <w:t xml:space="preserve"> record linked to legislation.gov.uk, compares the instrument's official title with the record's </w:t>
      </w:r>
      <w:r>
        <w:rPr>
          <w:rFonts w:ascii="Consolas" w:hAnsi="Consolas"/>
        </w:rPr>
        <w:t>Name</w:t>
      </w:r>
      <w:r>
        <w:rPr/>
        <w:t xml:space="preserve">. A mismatch fails the gate (exit 1, nothing rebuilt); a revoked or repealed title, or an unreachable site, is a warning. Titles are cached for 30 days, so a release made offline still reports the last known result. A record deliberately named otherwise than its instrument (e.g. a family of Orders) goes in the script's </w:t>
      </w:r>
      <w:r>
        <w:rPr>
          <w:rFonts w:ascii="Consolas" w:hAnsi="Consolas"/>
        </w:rPr>
        <w:t>EXPECTED</w:t>
      </w:r>
      <w:r>
        <w:rPr/>
        <w:t xml:space="preserve"> table with its reason — never weaken the match to make a record pass.</w:t>
      </w:r>
    </w:p>
    <w:p>
      <w:r>
        <w:rPr/>
        <w:t xml:space="preserve">Run </w:t>
      </w:r>
      <w:r>
        <w:rPr>
          <w:rFonts w:ascii="Consolas" w:hAnsi="Consolas"/>
        </w:rPr>
        <w:t>finalise.py --check</w:t>
      </w:r>
      <w:r>
        <w:rPr/>
        <w:t xml:space="preserve"> </w:t>
      </w:r>
      <w:r>
        <w:rPr>
          <w:b/>
        </w:rPr>
        <w:t>before</w:t>
      </w:r>
      <w:r>
        <w:rPr/>
        <w:t xml:space="preserve"> the write too, to confirm you started from a clean baseline.</w:t>
      </w:r>
    </w:p>
    <w:p>
      <w:pPr>
        <w:pStyle w:val="Heading2"/>
      </w:pPr>
      <w:r>
        <w:rPr/>
        <w:t>7. Sync downstream artefacts (dashboards)</w:t>
      </w:r>
    </w:p>
    <w:p>
      <w:r>
        <w:rPr>
          <w:rFonts w:ascii="Consolas" w:hAnsi="Consolas"/>
        </w:rPr>
        <w:t>finalise.py</w:t>
      </w:r>
      <w:r>
        <w:rPr/>
        <w:t xml:space="preserve"> (§6) already regenerated both dashboards — this section explains </w:t>
      </w:r>
      <w:r>
        <w:rPr>
          <w:i/>
        </w:rPr>
        <w:t>what</w:t>
      </w:r>
      <w:r>
        <w:rPr/>
        <w:t xml:space="preserve"> it regenerated and what remains yours to do. To rebuild without the gate, from </w:t>
      </w:r>
      <w:r>
        <w:rPr>
          <w:rFonts w:ascii="Consolas" w:hAnsi="Consolas"/>
        </w:rPr>
        <w:t>Dashboards/code/</w:t>
      </w:r>
      <w:r>
        <w:rPr/>
        <w:t>:</w:t>
      </w:r>
    </w:p>
    <w:p>
      <w:pPr>
        <w:spacing w:before="60" w:after="120"/>
        <w:ind w:left="227"/>
        <w:shd w:val="clear" w:color="auto" w:fill="F2F4F5"/>
      </w:pPr>
      <w:r>
        <w:rPr>
          <w:rFonts w:ascii="Consolas" w:hAnsi="Consolas"/>
          <w:sz w:val="17"/>
        </w:rPr>
        <w:t>python3 build_all.py            # governance diagram, then indicator finder</w:t>
      </w:r>
    </w:p>
    <w:p>
      <w:pPr>
        <w:pStyle w:val="IntenseQuote"/>
      </w:pPr>
      <w:r>
        <w:rPr/>
        <w:t xml:space="preserve">⚠ </w:t>
      </w:r>
      <w:r>
        <w:rPr>
          <w:rFonts w:ascii="Consolas" w:hAnsi="Consolas"/>
          <w:b/>
        </w:rPr>
        <w:t>governance_diagram_v*.html</w:t>
      </w:r>
      <w:r>
        <w:rPr>
          <w:b/>
        </w:rPr>
        <w:t xml:space="preserve"> and </w:t>
      </w:r>
      <w:r>
        <w:rPr>
          <w:rFonts w:ascii="Consolas" w:hAnsi="Consolas"/>
          <w:b/>
        </w:rPr>
        <w:t>indicator_finder_v4.html</w:t>
      </w:r>
      <w:r>
        <w:rPr>
          <w:b/>
        </w:rPr>
        <w:t xml:space="preserve"> must stay in the same directory</w:t>
      </w:r>
      <w:r>
        <w:rPr/>
        <w:t xml:space="preserve"> (</w:t>
      </w:r>
      <w:r>
        <w:rPr>
          <w:rFonts w:ascii="Consolas" w:hAnsi="Consolas"/>
        </w:rPr>
        <w:t>Dashboards/</w:t>
      </w:r>
      <w:r>
        <w:rPr/>
        <w:t xml:space="preserve">). The finder holds </w:t>
      </w:r>
      <w:r>
        <w:rPr>
          <w:rFonts w:ascii="Consolas" w:hAnsi="Consolas"/>
        </w:rPr>
        <w:t>const GOV_DIAGRAM = "governance_diagram_v12.html"</w:t>
      </w:r>
      <w:r>
        <w:rPr/>
        <w:t xml:space="preserve"> as a bare filename and resolves its </w:t>
      </w:r>
      <w:r>
        <w:rPr>
          <w:rFonts w:ascii="Consolas" w:hAnsi="Consolas"/>
        </w:rPr>
        <w:t>⬡ diagram</w:t>
      </w:r>
      <w:r>
        <w:rPr/>
        <w:t xml:space="preserve"> deep-links relative to itself. Separate them and every deep-link breaks silently — the finder still renders, the links just go nowhere. The builder re-points that constant at the newest diagram </w:t>
      </w:r>
      <w:r>
        <w:rPr>
          <w:b/>
        </w:rPr>
        <w:t>in its own output directory</w:t>
      </w:r>
      <w:r>
        <w:rPr/>
        <w:t>, so it cannot repair a separation either.</w:t>
      </w:r>
    </w:p>
    <w:p>
      <w:r>
        <w:rPr>
          <w:b/>
        </w:rPr>
        <w:t xml:space="preserve">Governance diagram — </w:t>
      </w:r>
      <w:r>
        <w:rPr>
          <w:rFonts w:ascii="Consolas" w:hAnsi="Consolas"/>
          <w:b/>
        </w:rPr>
        <w:t>Dashboards/code/build_governance_diagram.py</w:t>
      </w:r>
      <w:r>
        <w:rPr>
          <w:b/>
        </w:rPr>
        <w:t xml:space="preserve"> → </w:t>
      </w:r>
      <w:r>
        <w:rPr>
          <w:rFonts w:ascii="Consolas" w:hAnsi="Consolas"/>
          <w:b/>
        </w:rPr>
        <w:t>Dashboards/governance_diagram_vN.html</w:t>
      </w:r>
      <w:r>
        <w:rPr>
          <w:b/>
        </w:rPr>
        <w:t>.</w:t>
      </w:r>
      <w:r>
        <w:rPr/>
        <w:t xml:space="preserve"> Reads all three canonical workbooks directly (auto-detects the canonical filenames) — </w:t>
      </w:r>
      <w:r>
        <w:rPr>
          <w:b/>
        </w:rPr>
        <w:t>no hardcoded governance to maintain.</w:t>
      </w:r>
      <w:r>
        <w:rPr/>
        <w:t xml:space="preserve"> It picks up new records, links and narrative automatically. When the design </w:t>
      </w:r>
      <w:r>
        <w:rPr>
          <w:i/>
        </w:rPr>
        <w:t>or</w:t>
      </w:r>
      <w:r>
        <w:rPr/>
        <w:t xml:space="preserve"> the data changes materially, bump the </w:t>
      </w:r>
      <w:r>
        <w:rPr>
          <w:rFonts w:ascii="Consolas" w:hAnsi="Consolas"/>
        </w:rPr>
        <w:t>out = …_vN.html</w:t>
      </w:r>
      <w:r>
        <w:rPr/>
        <w:t xml:space="preserve"> integer in the script and archive the prior HTML to </w:t>
      </w:r>
      <w:r>
        <w:rPr>
          <w:rFonts w:ascii="Consolas" w:hAnsi="Consolas"/>
        </w:rPr>
        <w:t>Data/outdated_files/</w:t>
      </w:r>
      <w:r>
        <w:rPr/>
        <w:t xml:space="preserve"> (same discipline as the workbooks).</w:t>
      </w:r>
    </w:p>
    <w:p>
      <w:r>
        <w:rPr/>
        <w:t xml:space="preserve">Which columns become which typed edge (arrow points </w:t>
      </w:r>
      <w:r>
        <w:rPr>
          <w:b/>
        </w:rPr>
        <w:t>from the governing entity to what it governs</w:t>
      </w:r>
      <w:r>
        <w:rPr/>
        <w:t>):</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Column(s)</w:t>
            </w:r>
          </w:p>
        </w:tc>
        <w:tc>
          <w:tcPr>
            <w:tcW w:type="dxa" w:w="3213"/>
            <w:shd w:val="clear" w:color="auto" w:fill="DCE6E8"/>
          </w:tcPr>
          <w:p>
            <w:r>
              <w:rPr>
                <w:b/>
                <w:sz w:val="18"/>
              </w:rPr>
              <w:t>Edge type</w:t>
            </w:r>
          </w:p>
        </w:tc>
        <w:tc>
          <w:tcPr>
            <w:tcW w:type="dxa" w:w="3213"/>
            <w:shd w:val="clear" w:color="auto" w:fill="DCE6E8"/>
          </w:tcPr>
          <w:p>
            <w:r>
              <w:rPr>
                <w:b/>
                <w:sz w:val="18"/>
              </w:rPr>
              <w:t>Style / direction</w:t>
            </w:r>
          </w:p>
        </w:tc>
      </w:tr>
      <w:tr>
        <w:tc>
          <w:tcPr>
            <w:tcW w:type="dxa" w:w="3213"/>
          </w:tcPr>
          <w:p>
            <w:r>
              <w:rPr>
                <w:rFonts w:ascii="Consolas" w:hAnsi="Consolas"/>
                <w:sz w:val="18"/>
              </w:rPr>
              <w:t>Enabling_Legislation</w:t>
            </w:r>
            <w:r>
              <w:rPr>
                <w:sz w:val="18"/>
              </w:rPr>
              <w:t xml:space="preserve">, </w:t>
            </w:r>
            <w:r>
              <w:rPr>
                <w:rFonts w:ascii="Consolas" w:hAnsi="Consolas"/>
                <w:sz w:val="18"/>
              </w:rPr>
              <w:t>Statutory_Role</w:t>
            </w:r>
            <w:r>
              <w:rPr>
                <w:sz w:val="18"/>
              </w:rPr>
              <w:t xml:space="preserve"> (LEG only)</w:t>
            </w:r>
          </w:p>
        </w:tc>
        <w:tc>
          <w:tcPr>
            <w:tcW w:type="dxa" w:w="3213"/>
          </w:tcPr>
          <w:p>
            <w:r>
              <w:rPr>
                <w:sz w:val="18"/>
              </w:rPr>
              <w:t>enabling</w:t>
            </w:r>
          </w:p>
        </w:tc>
        <w:tc>
          <w:tcPr>
            <w:tcW w:type="dxa" w:w="3213"/>
          </w:tcPr>
          <w:p>
            <w:r>
              <w:rPr>
                <w:sz w:val="18"/>
              </w:rPr>
              <w:t>solid (hard) · LEG → record</w:t>
            </w:r>
          </w:p>
        </w:tc>
      </w:tr>
      <w:tr>
        <w:tc>
          <w:tcPr>
            <w:tcW w:type="dxa" w:w="3213"/>
          </w:tcPr>
          <w:p>
            <w:r>
              <w:rPr>
                <w:rFonts w:ascii="Consolas" w:hAnsi="Consolas"/>
                <w:sz w:val="18"/>
              </w:rPr>
              <w:t>Lead_Department</w:t>
            </w:r>
            <w:r>
              <w:rPr>
                <w:sz w:val="18"/>
              </w:rPr>
              <w:t xml:space="preserve">, </w:t>
            </w:r>
            <w:r>
              <w:rPr>
                <w:rFonts w:ascii="Consolas" w:hAnsi="Consolas"/>
                <w:sz w:val="18"/>
              </w:rPr>
              <w:t>Lead_Organisation</w:t>
            </w:r>
            <w:r>
              <w:rPr>
                <w:sz w:val="18"/>
              </w:rPr>
              <w:t xml:space="preserve">, </w:t>
            </w:r>
            <w:r>
              <w:rPr>
                <w:rFonts w:ascii="Consolas" w:hAnsi="Consolas"/>
                <w:sz w:val="18"/>
              </w:rPr>
              <w:t>Lead_Body</w:t>
            </w:r>
          </w:p>
        </w:tc>
        <w:tc>
          <w:tcPr>
            <w:tcW w:type="dxa" w:w="3213"/>
          </w:tcPr>
          <w:p>
            <w:r>
              <w:rPr>
                <w:sz w:val="18"/>
              </w:rPr>
              <w:t>lead</w:t>
            </w:r>
          </w:p>
        </w:tc>
        <w:tc>
          <w:tcPr>
            <w:tcW w:type="dxa" w:w="3213"/>
          </w:tcPr>
          <w:p>
            <w:r>
              <w:rPr>
                <w:sz w:val="18"/>
              </w:rPr>
              <w:t>solid (hard) · leader → led</w:t>
            </w:r>
          </w:p>
        </w:tc>
      </w:tr>
      <w:tr>
        <w:tc>
          <w:tcPr>
            <w:tcW w:type="dxa" w:w="3213"/>
          </w:tcPr>
          <w:p>
            <w:r>
              <w:rPr>
                <w:rFonts w:ascii="Consolas" w:hAnsi="Consolas"/>
                <w:sz w:val="18"/>
              </w:rPr>
              <w:t>Parent_Programme</w:t>
            </w:r>
            <w:r>
              <w:rPr>
                <w:sz w:val="18"/>
              </w:rPr>
              <w:t xml:space="preserve">, </w:t>
            </w:r>
            <w:r>
              <w:rPr>
                <w:rFonts w:ascii="Consolas" w:hAnsi="Consolas"/>
                <w:sz w:val="18"/>
              </w:rPr>
              <w:t>Parent_Convention</w:t>
            </w:r>
          </w:p>
        </w:tc>
        <w:tc>
          <w:tcPr>
            <w:tcW w:type="dxa" w:w="3213"/>
          </w:tcPr>
          <w:p>
            <w:r>
              <w:rPr>
                <w:sz w:val="18"/>
              </w:rPr>
              <w:t>parent</w:t>
            </w:r>
          </w:p>
        </w:tc>
        <w:tc>
          <w:tcPr>
            <w:tcW w:type="dxa" w:w="3213"/>
          </w:tcPr>
          <w:p>
            <w:r>
              <w:rPr>
                <w:sz w:val="18"/>
              </w:rPr>
              <w:t>solid (hard) · parent → child</w:t>
            </w:r>
          </w:p>
        </w:tc>
      </w:tr>
      <w:tr>
        <w:tc>
          <w:tcPr>
            <w:tcW w:type="dxa" w:w="3213"/>
          </w:tcPr>
          <w:p>
            <w:r>
              <w:rPr>
                <w:rFonts w:ascii="Consolas" w:hAnsi="Consolas"/>
                <w:sz w:val="18"/>
              </w:rPr>
              <w:t>Funded_By</w:t>
            </w:r>
          </w:p>
        </w:tc>
        <w:tc>
          <w:tcPr>
            <w:tcW w:type="dxa" w:w="3213"/>
          </w:tcPr>
          <w:p>
            <w:r>
              <w:rPr>
                <w:sz w:val="18"/>
              </w:rPr>
              <w:t>funding</w:t>
            </w:r>
          </w:p>
        </w:tc>
        <w:tc>
          <w:tcPr>
            <w:tcW w:type="dxa" w:w="3213"/>
          </w:tcPr>
          <w:p>
            <w:r>
              <w:rPr>
                <w:sz w:val="18"/>
              </w:rPr>
              <w:t>dashed (soft) · funder → funded</w:t>
            </w:r>
          </w:p>
        </w:tc>
      </w:tr>
      <w:tr>
        <w:tc>
          <w:tcPr>
            <w:tcW w:type="dxa" w:w="3213"/>
          </w:tcPr>
          <w:p>
            <w:r>
              <w:rPr>
                <w:rFonts w:ascii="Consolas" w:hAnsi="Consolas"/>
                <w:sz w:val="18"/>
              </w:rPr>
              <w:t>Related_Legislation</w:t>
            </w:r>
            <w:r>
              <w:rPr>
                <w:sz w:val="18"/>
              </w:rPr>
              <w:t xml:space="preserve">, </w:t>
            </w:r>
            <w:r>
              <w:rPr>
                <w:rFonts w:ascii="Consolas" w:hAnsi="Consolas"/>
                <w:sz w:val="18"/>
              </w:rPr>
              <w:t>Related_Policy_Links</w:t>
            </w:r>
            <w:r>
              <w:rPr>
                <w:sz w:val="18"/>
              </w:rPr>
              <w:t xml:space="preserve">, </w:t>
            </w:r>
            <w:r>
              <w:rPr>
                <w:rFonts w:ascii="Consolas" w:hAnsi="Consolas"/>
                <w:sz w:val="18"/>
              </w:rPr>
              <w:t>Related_Bodies</w:t>
            </w:r>
            <w:r>
              <w:rPr>
                <w:sz w:val="18"/>
              </w:rPr>
              <w:t xml:space="preserve">, </w:t>
            </w:r>
            <w:r>
              <w:rPr>
                <w:rFonts w:ascii="Consolas" w:hAnsi="Consolas"/>
                <w:sz w:val="18"/>
              </w:rPr>
              <w:t>Affecting_Policies</w:t>
            </w:r>
          </w:p>
        </w:tc>
        <w:tc>
          <w:tcPr>
            <w:tcW w:type="dxa" w:w="3213"/>
          </w:tcPr>
          <w:p>
            <w:r>
              <w:rPr>
                <w:sz w:val="18"/>
              </w:rPr>
              <w:t>related</w:t>
            </w:r>
          </w:p>
        </w:tc>
        <w:tc>
          <w:tcPr>
            <w:tcW w:type="dxa" w:w="3213"/>
          </w:tcPr>
          <w:p>
            <w:r>
              <w:rPr>
                <w:sz w:val="18"/>
              </w:rPr>
              <w:t>dashed (soft) · undirected</w:t>
            </w:r>
          </w:p>
        </w:tc>
      </w:tr>
      <w:tr>
        <w:tc>
          <w:tcPr>
            <w:tcW w:type="dxa" w:w="3213"/>
          </w:tcPr>
          <w:p>
            <w:r>
              <w:rPr>
                <w:rFonts w:ascii="Consolas" w:hAnsi="Consolas"/>
                <w:sz w:val="18"/>
              </w:rPr>
              <w:t>Intl_Links</w:t>
            </w:r>
            <w:r>
              <w:rPr>
                <w:sz w:val="18"/>
              </w:rPr>
              <w:t xml:space="preserve"> / </w:t>
            </w:r>
            <w:r>
              <w:rPr>
                <w:rFonts w:ascii="Consolas" w:hAnsi="Consolas"/>
                <w:sz w:val="18"/>
              </w:rPr>
              <w:t>UK_Links</w:t>
            </w:r>
            <w:r>
              <w:rPr>
                <w:sz w:val="18"/>
              </w:rPr>
              <w:t xml:space="preserve"> / </w:t>
            </w:r>
            <w:r>
              <w:rPr>
                <w:rFonts w:ascii="Consolas" w:hAnsi="Consolas"/>
                <w:sz w:val="18"/>
              </w:rPr>
              <w:t>UK_Ratification</w:t>
            </w:r>
          </w:p>
        </w:tc>
        <w:tc>
          <w:tcPr>
            <w:tcW w:type="dxa" w:w="3213"/>
          </w:tcPr>
          <w:p>
            <w:r>
              <w:rPr>
                <w:sz w:val="18"/>
              </w:rPr>
              <w:t>intl bridge</w:t>
            </w:r>
          </w:p>
        </w:tc>
        <w:tc>
          <w:tcPr>
            <w:tcW w:type="dxa" w:w="3213"/>
          </w:tcPr>
          <w:p>
            <w:r>
              <w:rPr>
                <w:sz w:val="18"/>
              </w:rPr>
              <w:t>double line · hard if UK-ratified/retained, else soft</w:t>
            </w:r>
          </w:p>
        </w:tc>
      </w:tr>
      <w:tr>
        <w:tc>
          <w:tcPr>
            <w:tcW w:type="dxa" w:w="3213"/>
          </w:tcPr>
          <w:p>
            <w:r>
              <w:rPr>
                <w:rFonts w:ascii="Consolas" w:hAnsi="Consolas"/>
                <w:sz w:val="18"/>
              </w:rPr>
              <w:t>Key_Instruments</w:t>
            </w:r>
            <w:r>
              <w:rPr>
                <w:sz w:val="18"/>
              </w:rPr>
              <w:t xml:space="preserve"> (Indicator Framework sheet)</w:t>
            </w:r>
          </w:p>
        </w:tc>
        <w:tc>
          <w:tcPr>
            <w:tcW w:type="dxa" w:w="3213"/>
          </w:tcPr>
          <w:p>
            <w:r>
              <w:rPr>
                <w:sz w:val="18"/>
              </w:rPr>
              <w:t>key instrument</w:t>
            </w:r>
          </w:p>
        </w:tc>
        <w:tc>
          <w:tcPr>
            <w:tcW w:type="dxa" w:w="3213"/>
          </w:tcPr>
          <w:p>
            <w:r>
              <w:rPr>
                <w:b/>
                <w:sz w:val="18"/>
              </w:rPr>
              <w:t>solid</w:t>
            </w:r>
            <w:r>
              <w:rPr>
                <w:sz w:val="18"/>
              </w:rPr>
              <w:t xml:space="preserve"> · IFW → instrument</w:t>
            </w:r>
          </w:p>
        </w:tc>
      </w:tr>
      <w:tr>
        <w:tc>
          <w:tcPr>
            <w:tcW w:type="dxa" w:w="3213"/>
          </w:tcPr>
          <w:p>
            <w:r>
              <w:rPr>
                <w:rFonts w:ascii="Consolas" w:hAnsi="Consolas"/>
                <w:sz w:val="18"/>
              </w:rPr>
              <w:t>Indicator_Frameworks</w:t>
            </w:r>
            <w:r>
              <w:rPr>
                <w:sz w:val="18"/>
              </w:rPr>
              <w:t xml:space="preserve">, </w:t>
            </w:r>
            <w:r>
              <w:rPr>
                <w:rFonts w:ascii="Consolas" w:hAnsi="Consolas"/>
                <w:sz w:val="18"/>
              </w:rPr>
              <w:t>Indirect_Policy_Links</w:t>
            </w:r>
          </w:p>
        </w:tc>
        <w:tc>
          <w:tcPr>
            <w:tcW w:type="dxa" w:w="3213"/>
          </w:tcPr>
          <w:p>
            <w:r>
              <w:rPr>
                <w:sz w:val="18"/>
              </w:rPr>
              <w:t>indicator</w:t>
            </w:r>
          </w:p>
        </w:tc>
        <w:tc>
          <w:tcPr>
            <w:tcW w:type="dxa" w:w="3213"/>
          </w:tcPr>
          <w:p>
            <w:r>
              <w:rPr>
                <w:sz w:val="18"/>
              </w:rPr>
              <w:t>dotted</w:t>
            </w:r>
          </w:p>
        </w:tc>
      </w:tr>
    </w:tbl>
    <w:p/>
    <w:p>
      <w:r>
        <w:rPr>
          <w:b/>
        </w:rPr>
        <w:t xml:space="preserve">Precedence on an </w:t>
      </w:r>
      <w:r>
        <w:rPr>
          <w:rFonts w:ascii="Consolas" w:hAnsi="Consolas"/>
          <w:b/>
        </w:rPr>
        <w:t>IFW</w:t>
      </w:r>
      <w:r>
        <w:rPr>
          <w:b/>
        </w:rPr>
        <w:t xml:space="preserve"> row.</w:t>
      </w:r>
      <w:r>
        <w:rPr/>
        <w:t xml:space="preserve"> A code carrying a </w:t>
      </w:r>
      <w:r>
        <w:rPr>
          <w:rFonts w:ascii="Consolas" w:hAnsi="Consolas"/>
        </w:rPr>
        <w:t>lead</w:t>
      </w:r>
      <w:r>
        <w:rPr/>
        <w:t xml:space="preserve"> edge keeps it (already solid). Remaining </w:t>
      </w:r>
      <w:r>
        <w:rPr>
          <w:rFonts w:ascii="Consolas" w:hAnsi="Consolas"/>
        </w:rPr>
        <w:t>Key_Instruments</w:t>
      </w:r>
      <w:r>
        <w:rPr/>
        <w:t xml:space="preserve"> codes take precedence over the dotted </w:t>
      </w:r>
      <w:r>
        <w:rPr>
          <w:rFonts w:ascii="Consolas" w:hAnsi="Consolas"/>
        </w:rPr>
        <w:t>indicator</w:t>
      </w:r>
      <w:r>
        <w:rPr/>
        <w:t xml:space="preserve"> edge. Anything left in </w:t>
      </w:r>
      <w:r>
        <w:rPr>
          <w:rFonts w:ascii="Consolas" w:hAnsi="Consolas"/>
        </w:rPr>
        <w:t>Indirect_Policy_Links</w:t>
      </w:r>
      <w:r>
        <w:rPr/>
        <w:t xml:space="preserve"> stays dotted. </w:t>
      </w:r>
      <w:r>
        <w:rPr>
          <w:rFonts w:ascii="Consolas" w:hAnsi="Consolas"/>
        </w:rPr>
        <w:t>Key_Instruments</w:t>
      </w:r>
      <w:r>
        <w:rPr/>
        <w:t xml:space="preserve"> holds bracketed codes ONLY — no names — for the instruments named in that framework’s </w:t>
      </w:r>
      <w:r>
        <w:rPr>
          <w:rFonts w:ascii="Consolas" w:hAnsi="Consolas"/>
        </w:rPr>
        <w:t>Policy_Purpose</w:t>
      </w:r>
      <w:r>
        <w:rPr/>
        <w:t>.</w:t>
      </w:r>
    </w:p>
    <w:p>
      <w:r>
        <w:rPr/>
        <w:t xml:space="preserve">Narrative columns are surfaced verbatim in the detail panel (so editing them updates the panel with no code change): </w:t>
      </w:r>
      <w:r>
        <w:rPr>
          <w:rFonts w:ascii="Consolas" w:hAnsi="Consolas"/>
        </w:rPr>
        <w:t>Remit_And_Powers</w:t>
      </w:r>
      <w:r>
        <w:rPr/>
        <w:t xml:space="preserve">, </w:t>
      </w:r>
      <w:r>
        <w:rPr>
          <w:rFonts w:ascii="Consolas" w:hAnsi="Consolas"/>
        </w:rPr>
        <w:t>Scope_And_Commitments</w:t>
      </w:r>
      <w:r>
        <w:rPr/>
        <w:t xml:space="preserve">, </w:t>
      </w:r>
      <w:r>
        <w:rPr>
          <w:rFonts w:ascii="Consolas" w:hAnsi="Consolas"/>
        </w:rPr>
        <w:t>Key_Provisions</w:t>
      </w:r>
      <w:r>
        <w:rPr/>
        <w:t xml:space="preserve"> / </w:t>
      </w:r>
      <w:r>
        <w:rPr>
          <w:rFonts w:ascii="Consolas" w:hAnsi="Consolas"/>
        </w:rPr>
        <w:t>Key_Commitments</w:t>
      </w:r>
      <w:r>
        <w:rPr/>
        <w:t xml:space="preserve">, </w:t>
      </w:r>
      <w:r>
        <w:rPr>
          <w:rFonts w:ascii="Consolas" w:hAnsi="Consolas"/>
        </w:rPr>
        <w:t>Statutory_Duties</w:t>
      </w:r>
      <w:r>
        <w:rPr/>
        <w:t xml:space="preserve">, </w:t>
      </w:r>
      <w:r>
        <w:rPr>
          <w:rFonts w:ascii="Consolas" w:hAnsi="Consolas"/>
        </w:rPr>
        <w:t>Regulatory_Powers_Keywords</w:t>
      </w:r>
      <w:r>
        <w:rPr/>
        <w:t xml:space="preserve">, </w:t>
      </w:r>
      <w:r>
        <w:rPr>
          <w:rFonts w:ascii="Consolas" w:hAnsi="Consolas"/>
        </w:rPr>
        <w:t>Statutory_Enabling_Basis</w:t>
      </w:r>
      <w:r>
        <w:rPr/>
        <w:t xml:space="preserve">, </w:t>
      </w:r>
      <w:r>
        <w:rPr>
          <w:rFonts w:ascii="Consolas" w:hAnsi="Consolas"/>
        </w:rPr>
        <w:t>UK_Ratification</w:t>
      </w:r>
      <w:r>
        <w:rPr/>
        <w:t xml:space="preserve">, </w:t>
      </w:r>
      <w:r>
        <w:rPr>
          <w:rFonts w:ascii="Consolas" w:hAnsi="Consolas"/>
        </w:rPr>
        <w:t>UK_Representation</w:t>
      </w:r>
      <w:r>
        <w:rPr/>
        <w:t xml:space="preserve">, </w:t>
      </w:r>
      <w:r>
        <w:rPr>
          <w:rFonts w:ascii="Consolas" w:hAnsi="Consolas"/>
        </w:rPr>
        <w:t>UK_Engagement</w:t>
      </w:r>
      <w:r>
        <w:rPr/>
        <w:t xml:space="preserve">, plus </w:t>
      </w:r>
      <w:r>
        <w:rPr>
          <w:rFonts w:ascii="Consolas" w:hAnsi="Consolas"/>
        </w:rPr>
        <w:t>General_Type</w:t>
      </w:r>
      <w:r>
        <w:rPr/>
        <w:t xml:space="preserve"> / </w:t>
      </w:r>
      <w:r>
        <w:rPr>
          <w:rFonts w:ascii="Consolas" w:hAnsi="Consolas"/>
        </w:rPr>
        <w:t>Year</w:t>
      </w:r>
      <w:r>
        <w:rPr/>
        <w:t xml:space="preserve"> / </w:t>
      </w:r>
      <w:r>
        <w:rPr>
          <w:rFonts w:ascii="Consolas" w:hAnsi="Consolas"/>
        </w:rPr>
        <w:t>Status</w:t>
      </w:r>
      <w:r>
        <w:rPr/>
        <w:t xml:space="preserve">. </w:t>
      </w:r>
      <w:r>
        <w:rPr>
          <w:rFonts w:ascii="Consolas" w:hAnsi="Consolas"/>
        </w:rPr>
        <w:t>[CODE]</w:t>
      </w:r>
      <w:r>
        <w:rPr/>
        <w:t xml:space="preserve"> tokens in any of them render with the full name on hover. To add a </w:t>
      </w:r>
      <w:r>
        <w:rPr>
          <w:b/>
        </w:rPr>
        <w:t>new</w:t>
      </w:r>
      <w:r>
        <w:rPr/>
        <w:t xml:space="preserve"> narrative column to the panel, add it to </w:t>
      </w:r>
      <w:r>
        <w:rPr>
          <w:rFonts w:ascii="Consolas" w:hAnsi="Consolas"/>
        </w:rPr>
        <w:t>add_node(..., extra=[...])</w:t>
      </w:r>
      <w:r>
        <w:rPr/>
        <w:t xml:space="preserve"> at the relevant sheet loop.</w:t>
      </w:r>
    </w:p>
    <w:p>
      <w:r>
        <w:rPr>
          <w:b/>
        </w:rPr>
        <w:t xml:space="preserve">Indicator finder — </w:t>
      </w:r>
      <w:r>
        <w:rPr>
          <w:rFonts w:ascii="Consolas" w:hAnsi="Consolas"/>
          <w:b/>
        </w:rPr>
        <w:t>Dashboards/code/build_indicator_finder.py</w:t>
      </w:r>
      <w:r>
        <w:rPr>
          <w:b/>
        </w:rPr>
        <w:t xml:space="preserve"> → </w:t>
      </w:r>
      <w:r>
        <w:rPr>
          <w:rFonts w:ascii="Consolas" w:hAnsi="Consolas"/>
          <w:b/>
        </w:rPr>
        <w:t>Dashboards/indicator_finder_v4.html</w:t>
      </w:r>
      <w:r>
        <w:rPr>
          <w:b/>
        </w:rPr>
        <w:t xml:space="preserve"> (rewritten in place).</w:t>
      </w:r>
      <w:r>
        <w:rPr/>
        <w:t xml:space="preserve"> Reads the canonical indicators workbook by header name. </w:t>
      </w:r>
      <w:r>
        <w:rPr>
          <w:b/>
        </w:rPr>
        <w:t>It holds no hardcoded governance</w:t>
      </w:r>
      <w:r>
        <w:rPr/>
        <w:t xml:space="preserve"> (the former </w:t>
      </w:r>
      <w:r>
        <w:rPr>
          <w:rFonts w:ascii="Consolas" w:hAnsi="Consolas"/>
        </w:rPr>
        <w:t>FRAMEWORK_CTX</w:t>
      </w:r>
      <w:r>
        <w:rPr/>
        <w:t xml:space="preserve"> table was removed on 28 September 2026). Each framework's policy-context chain is derived from the register sheet: </w:t>
      </w:r>
      <w:r>
        <w:rPr>
          <w:rFonts w:ascii="Consolas" w:hAnsi="Consolas"/>
        </w:rPr>
        <w:t>Key_Instruments</w:t>
      </w:r>
      <w:r>
        <w:rPr/>
        <w:t xml:space="preserve"> becomes the designated-monitoring links and </w:t>
      </w:r>
      <w:r>
        <w:rPr>
          <w:rFonts w:ascii="Consolas" w:hAnsi="Consolas"/>
        </w:rPr>
        <w:t>Indirect_Policy_Links</w:t>
      </w:r>
      <w:r>
        <w:rPr/>
        <w:t xml:space="preserve"> the policy-relevant ones, resolved against both governance workbooks. </w:t>
      </w:r>
      <w:r>
        <w:rPr>
          <w:b/>
        </w:rPr>
        <w:t>To change what a chain shows, edit the register row.</w:t>
      </w:r>
    </w:p>
    <w:p>
      <w:pPr>
        <w:pStyle w:val="IntenseQuote"/>
      </w:pPr>
      <w:r>
        <w:rPr/>
        <w:t xml:space="preserve">⚠ </w:t>
      </w:r>
      <w:r>
        <w:rPr>
          <w:b/>
        </w:rPr>
        <w:t xml:space="preserve">The join key is </w:t>
      </w:r>
      <w:r>
        <w:rPr>
          <w:rFonts w:ascii="Consolas" w:hAnsi="Consolas"/>
          <w:b/>
        </w:rPr>
        <w:t>Source_Framework</w:t>
      </w:r>
      <w:r>
        <w:rPr/>
        <w:t xml:space="preserve">, matched between each indicator row and its register row, so that frameworks sharing a sheet (IFW-02, IFW-10 and IFW-11 all live on </w:t>
      </w:r>
      <w:r>
        <w:rPr>
          <w:rFonts w:ascii="Consolas" w:hAnsi="Consolas"/>
        </w:rPr>
        <w:t>CCC Indicators</w:t>
      </w:r>
      <w:r>
        <w:rPr/>
        <w:t xml:space="preserve">) get their own chains. A row whose </w:t>
      </w:r>
      <w:r>
        <w:rPr>
          <w:rFonts w:ascii="Consolas" w:hAnsi="Consolas"/>
        </w:rPr>
        <w:t>Source_Framework</w:t>
      </w:r>
      <w:r>
        <w:rPr/>
        <w:t xml:space="preserve"> does not match any register row renders with an </w:t>
      </w:r>
      <w:r>
        <w:rPr>
          <w:b/>
        </w:rPr>
        <w:t>empty</w:t>
      </w:r>
      <w:r>
        <w:rPr/>
        <w:t xml:space="preserve"> policy context panel — the builder warns and names the value. Keep the two in step: when you rename a framework in the register, rename it on its rows. It also re-points its "⬡ diagram" deep-links at the newest </w:t>
      </w:r>
      <w:r>
        <w:rPr>
          <w:rFonts w:ascii="Consolas" w:hAnsi="Consolas"/>
        </w:rPr>
        <w:t>governance_diagram_v*.html</w:t>
      </w:r>
      <w:r>
        <w:rPr/>
        <w:t xml:space="preserve">, so build the diagram first (which </w:t>
      </w:r>
      <w:r>
        <w:rPr>
          <w:rFonts w:ascii="Consolas" w:hAnsi="Consolas"/>
        </w:rPr>
        <w:t>build_all.py</w:t>
      </w:r>
      <w:r>
        <w:rPr/>
        <w:t xml:space="preserve"> does).</w:t>
      </w:r>
    </w:p>
    <w:p>
      <w:r>
        <w:rPr>
          <w:b/>
        </w:rPr>
        <w:t>Parsers:</w:t>
      </w:r>
      <w:r>
        <w:rPr/>
        <w:t xml:space="preserve"> every cross-reference is bracketed (</w:t>
      </w:r>
      <w:r>
        <w:rPr>
          <w:rFonts w:ascii="Consolas" w:hAnsi="Consolas"/>
        </w:rPr>
        <w:t>[IFW-NN]</w:t>
      </w:r>
      <w:r>
        <w:rPr/>
        <w:t xml:space="preserve">, </w:t>
      </w:r>
      <w:r>
        <w:rPr>
          <w:rFonts w:ascii="Consolas" w:hAnsi="Consolas"/>
        </w:rPr>
        <w:t>[LEG-NNN]</w:t>
      </w:r>
      <w:r>
        <w:rPr/>
        <w:t xml:space="preserve">, …); strip brackets when parsing, e.g. </w:t>
      </w:r>
      <w:r>
        <w:rPr>
          <w:rFonts w:ascii="Consolas" w:hAnsi="Consolas"/>
        </w:rPr>
        <w:t>re.findall(r'\[(IFW-\d+)\]', cell)</w:t>
      </w:r>
      <w:r>
        <w:rPr/>
        <w:t xml:space="preserve">, and always exclude the </w:t>
      </w:r>
      <w:r>
        <w:rPr>
          <w:rFonts w:ascii="Consolas" w:hAnsi="Consolas"/>
        </w:rPr>
        <w:t>Record_ID</w:t>
      </w:r>
      <w:r>
        <w:rPr/>
        <w:t xml:space="preserve"> / </w:t>
      </w:r>
      <w:r>
        <w:rPr>
          <w:rFonts w:ascii="Consolas" w:hAnsi="Consolas"/>
        </w:rPr>
        <w:t>Framework_ID</w:t>
      </w:r>
      <w:r>
        <w:rPr/>
        <w:t xml:space="preserve"> key columns.</w:t>
      </w:r>
    </w:p>
    <w:p>
      <w:r>
        <w:rPr>
          <w:b/>
        </w:rPr>
        <w:t xml:space="preserve">Exports — </w:t>
      </w:r>
      <w:r>
        <w:rPr>
          <w:rFonts w:ascii="Consolas" w:hAnsi="Consolas"/>
          <w:b/>
        </w:rPr>
        <w:t>Management/export_release.py</w:t>
      </w:r>
      <w:r>
        <w:rPr>
          <w:b/>
        </w:rPr>
        <w:t xml:space="preserve"> → </w:t>
      </w:r>
      <w:r>
        <w:rPr>
          <w:rFonts w:ascii="Consolas" w:hAnsi="Consolas"/>
          <w:b/>
        </w:rPr>
        <w:t>Exports/</w:t>
      </w:r>
      <w:r>
        <w:rPr>
          <w:b/>
        </w:rPr>
        <w:t>.</w:t>
      </w:r>
      <w:r>
        <w:rPr/>
        <w:t xml:space="preserve"> </w:t>
      </w:r>
      <w:r>
        <w:rPr>
          <w:rFonts w:ascii="Consolas" w:hAnsi="Consolas"/>
        </w:rPr>
        <w:t>finalise.py</w:t>
      </w:r>
      <w:r>
        <w:rPr/>
        <w:t xml:space="preserve"> runs this last. It writes one CSV per sheet of each canonical workbook (</w:t>
      </w:r>
      <w:r>
        <w:rPr>
          <w:rFonts w:ascii="Consolas" w:hAnsi="Consolas"/>
        </w:rPr>
        <w:t>Exports/csv/&lt;workbook&gt;/&lt;Sheet_Name&gt;.csv</w:t>
      </w:r>
      <w:r>
        <w:rPr/>
        <w:t xml:space="preserve">, plus </w:t>
      </w:r>
      <w:r>
        <w:rPr>
          <w:rFonts w:ascii="Consolas" w:hAnsi="Consolas"/>
        </w:rPr>
        <w:t>_manifest.csv</w:t>
      </w:r>
      <w:r>
        <w:rPr/>
        <w:t xml:space="preserve"> with versions, row and record counts), converts the protocols, </w:t>
      </w:r>
      <w:r>
        <w:rPr>
          <w:rFonts w:ascii="Consolas" w:hAnsi="Consolas"/>
        </w:rPr>
        <w:t>METHOD_AND_SCORING.md</w:t>
      </w:r>
      <w:r>
        <w:rPr/>
        <w:t xml:space="preserve">, the assessment user guide, the handover, </w:t>
      </w:r>
      <w:r>
        <w:rPr>
          <w:rFonts w:ascii="Consolas" w:hAnsi="Consolas"/>
        </w:rPr>
        <w:t>Data/pending_additions.md</w:t>
      </w:r>
      <w:r>
        <w:rPr/>
        <w:t xml:space="preserve"> and </w:t>
      </w:r>
      <w:r>
        <w:rPr>
          <w:rFonts w:ascii="Consolas" w:hAnsi="Consolas"/>
        </w:rPr>
        <w:t>outputs_other/CLIMATE_SCORE_METHOD.md</w:t>
      </w:r>
      <w:r>
        <w:rPr/>
        <w:t xml:space="preserve"> to </w:t>
      </w:r>
      <w:r>
        <w:rPr>
          <w:rFonts w:ascii="Consolas" w:hAnsi="Consolas"/>
        </w:rPr>
        <w:t>.docx</w:t>
      </w:r>
      <w:r>
        <w:rPr/>
        <w:t xml:space="preserve"> (</w:t>
      </w:r>
      <w:r>
        <w:rPr>
          <w:rFonts w:ascii="Consolas" w:hAnsi="Consolas"/>
        </w:rPr>
        <w:t>Exports/docx/</w:t>
      </w:r>
      <w:r>
        <w:rPr/>
        <w:t xml:space="preserve">), and writes </w:t>
      </w:r>
      <w:r>
        <w:rPr>
          <w:rFonts w:ascii="Consolas" w:hAnsi="Consolas"/>
        </w:rPr>
        <w:t>Exports/README.txt</w:t>
      </w:r>
      <w:r>
        <w:rPr/>
        <w:t xml:space="preserve">. The CSVs let GitHub Copilot, pandas and a git diff read workbook content without opening an </w:t>
      </w:r>
      <w:r>
        <w:rPr>
          <w:rFonts w:ascii="Consolas" w:hAnsi="Consolas"/>
        </w:rPr>
        <w:t>.xlsx</w:t>
      </w:r>
      <w:r>
        <w:rPr/>
        <w:t xml:space="preserve">; the DOCX copies are for colleagues who read Word rather than Markdown. </w:t>
      </w:r>
      <w:r>
        <w:rPr>
          <w:b/>
        </w:rPr>
        <w:t>Never edit an export</w:t>
      </w:r>
      <w:r>
        <w:rPr/>
        <w:t xml:space="preserve">: it changes nothing upstream and is overwritten at the next release. Files are rewritten only when their content changes, and exports whose source sheet or document has gone are removed. After editing only a protocol, </w:t>
      </w:r>
      <w:r>
        <w:rPr>
          <w:rFonts w:ascii="Consolas" w:hAnsi="Consolas"/>
        </w:rPr>
        <w:t>python3 Management/export_release.py</w:t>
      </w:r>
      <w:r>
        <w:rPr/>
        <w:t xml:space="preserve"> refreshes the DOCX without a full release.</w:t>
      </w:r>
    </w:p>
    <w:p>
      <w:pPr>
        <w:pBdr>
          <w:bottom w:val="single" w:sz="6" w:space="1" w:color="A0A8AD"/>
        </w:pBdr>
      </w:pPr>
    </w:p>
    <w:p>
      <w:r>
        <w:rPr>
          <w:i/>
        </w:rPr>
        <w:t>The render kit (</w:t>
      </w:r>
      <w:r>
        <w:rPr>
          <w:rFonts w:ascii="Consolas" w:hAnsi="Consolas"/>
          <w:i/>
        </w:rPr>
        <w:t>PA_toolkit/code/render.py</w:t>
      </w:r>
      <w:r>
        <w:rPr>
          <w:i/>
        </w:rPr>
        <w:t>) deliberately never opens the workbooks — policy hyperlinks are copied into the YAML during the research step. Adding records to a workbook and rendering an assessment are separate operations; this protocol governs the former only.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WORKBOOK_WRITE_PROTOCOL.md</dc:title>
  <dc:subject>Management/protocols/WORKBOOK_WRITE_PROTOCOL.md</dc:subject>
  <dc:creator>export_release.py</dc:creator>
  <cp:keywords>generated; do not edit</cp:keywords>
  <dc:description>290b4932201531d86c99111629970a6da60d643051e36a0505f12d41421d41de</dc:description>
  <cp:lastModifiedBy/>
  <cp:revision>1</cp:revision>
  <dcterms:created xsi:type="dcterms:W3CDTF">2013-12-23T23:15:00Z</dcterms:created>
  <dcterms:modified xsi:type="dcterms:W3CDTF">2013-12-23T23:15:00Z</dcterms:modified>
  <cp:category/>
</cp:coreProperties>
</file>