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6 October 2026</w:t>
      </w:r>
      <w:r>
        <w:rPr/>
        <w:t xml:space="preserve"> (workbooks UK governance v33, international v18, indicators v28).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Data/CANONICAL_FILES_GUIDE.md</w:t>
            </w:r>
          </w:p>
        </w:tc>
        <w:tc>
          <w:tcPr>
            <w:tcW w:type="dxa" w:w="4819"/>
          </w:tcPr>
          <w:p>
            <w:r>
              <w:rPr>
                <w:sz w:val="18"/>
              </w:rPr>
              <w:t>Short guide to the three workbooks: contents, linking, versions and archives, reading and changing them.</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code/</w:t>
            </w:r>
            <w:r>
              <w:rPr>
                <w:sz w:val="18"/>
              </w:rPr>
              <w:t xml:space="preserve"> holds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 xml:space="preserve">Analysis by-products and method records: </w:t>
            </w:r>
            <w:r>
              <w:rPr>
                <w:rFonts w:ascii="Consolas" w:hAnsi="Consolas"/>
                <w:sz w:val="18"/>
              </w:rPr>
              <w:t>CLIMATE_SCORE_METHOD.md</w:t>
            </w:r>
            <w:r>
              <w:rPr>
                <w:sz w:val="18"/>
              </w:rPr>
              <w:t xml:space="preserve"> and the v27 harmonisation review, the export scoping note, MCCIP draft, orphan-code analysis, policy-scan notes and triage workbooks.</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The GitHub Copilot configuration (</w:t>
            </w:r>
            <w:r>
              <w:rPr>
                <w:rFonts w:ascii="Consolas" w:hAnsi="Consolas"/>
                <w:sz w:val="18"/>
              </w:rPr>
              <w:t>AGENTS.md</w:t>
            </w:r>
            <w:r>
              <w:rPr>
                <w:sz w:val="18"/>
              </w:rPr>
              <w:t xml:space="preserve">, </w:t>
            </w:r>
            <w:r>
              <w:rPr>
                <w:rFonts w:ascii="Consolas" w:hAnsi="Consolas"/>
                <w:sz w:val="18"/>
              </w:rPr>
              <w:t>.github/</w:t>
            </w:r>
            <w:r>
              <w:rPr>
                <w:sz w:val="18"/>
              </w:rPr>
              <w:t>), staged for installation at the repository root (§6.1).</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v33</w:t>
            </w:r>
            <w:r>
              <w:rPr>
                <w:sz w:val="18"/>
              </w:rPr>
              <w:t xml:space="preserve"> (2026-10-06)</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v18</w:t>
            </w:r>
            <w:r>
              <w:rPr>
                <w:sz w:val="18"/>
              </w:rPr>
              <w:t xml:space="preserve"> (2026-10-06)</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v28</w:t>
            </w:r>
            <w:r>
              <w:rPr>
                <w:sz w:val="18"/>
              </w:rPr>
              <w:t xml:space="preserve"> (2026-10-06)</w:t>
            </w:r>
          </w:p>
        </w:tc>
      </w:tr>
    </w:tbl>
    <w:p/>
    <w:p>
      <w:r>
        <w:rPr/>
        <w:t xml:space="preserve">UK governance holds 49 </w:t>
      </w:r>
      <w:r>
        <w:rPr>
          <w:rFonts w:ascii="Consolas" w:hAnsi="Consolas"/>
        </w:rPr>
        <w:t>ORG</w:t>
      </w:r>
      <w:r>
        <w:rPr/>
        <w:t xml:space="preserve">, 69 </w:t>
      </w:r>
      <w:r>
        <w:rPr>
          <w:rFonts w:ascii="Consolas" w:hAnsi="Consolas"/>
        </w:rPr>
        <w:t>LEG</w:t>
      </w:r>
      <w:r>
        <w:rPr/>
        <w:t xml:space="preserve"> and 114 </w:t>
      </w:r>
      <w:r>
        <w:rPr>
          <w:rFonts w:ascii="Consolas" w:hAnsi="Consolas"/>
        </w:rPr>
        <w:t>POL</w:t>
      </w:r>
      <w:r>
        <w:rPr/>
        <w:t xml:space="preserve"> records (highest IDs ORG-049, LEG-071, POL-116; POL-023, POL-024, LEG-008 and LEG-009 retired).</w:t>
      </w:r>
    </w:p>
    <w:p>
      <w:r>
        <w:rPr>
          <w:b/>
        </w:rPr>
        <w:t>Indicator content: 1,001 records</w:t>
      </w:r>
      <w:r>
        <w:rPr/>
        <w:t xml:space="preserve"> across ten framework sheets and </w:t>
      </w:r>
      <w:r>
        <w:rPr>
          <w:b/>
        </w:rPr>
        <w:t>twelve register frameworks</w:t>
      </w:r>
      <w:r>
        <w:rPr/>
        <w:t xml:space="preserve"> — EIF 66, CCC 149, JNCC UKBI 77, SoN 2023 32, EEA 62, BIP 81, IPBES 143, CBD GBF 202, UN SDG 173, MCCIP 16. The CCC sheet carries three frameworks: [IFW-02] Mitigation Monitoring Framework (79), [IFW-10] Adaptation Monitoring Framework 2026 (38 proposed targets, IND-C-147 to IND-C-184, added v23) and [IFW-11] Adaptation Monitoring Framework 2023–2025, superseded but retained (32). The figure was 947 until v23 and 985 until v28; documents citing either predate those versions. [IFW-12] MCCIP (added v28) holds 16 Impacts Hub topic reviews (IND-M family) — assessment-derived like [IFW-07]; MCCIP's separate observed and projection confidence ratings are kept in </w:t>
      </w:r>
      <w:r>
        <w:rPr>
          <w:rFonts w:ascii="Consolas" w:hAnsi="Consolas"/>
        </w:rPr>
        <w:t>Framework_Classification</w:t>
      </w:r>
      <w:r>
        <w:rPr/>
        <w:t>.</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1,005</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1,208</w:t>
      </w:r>
      <w:r>
        <w:rPr/>
        <w:t xml:space="preserve"> Record_IDs / Framework_IDs and enforces six invariants (the sixth, added September 2026, validates every </w:t>
      </w:r>
      <w:r>
        <w:rPr>
          <w:rFonts w:ascii="Consolas" w:hAnsi="Consolas"/>
        </w:rPr>
        <w:t>Controlled</w:t>
      </w:r>
      <w:r>
        <w:rPr/>
        <w:t xml:space="preserve"> column against the values declared in the Data Dictionary). It must pass clean before any version is finalised. It is sufficient for referential integrity because the workbooks contain </w:t>
      </w:r>
      <w:r>
        <w:rPr>
          <w:b/>
        </w:rPr>
        <w:t>no formula cells</w:t>
      </w:r>
      <w:r>
        <w:rPr/>
        <w:t xml:space="preserve"> — every value is static. It cannot tell whether a URL opens the instrument a record names: that is </w:t>
      </w:r>
      <w:r>
        <w:rPr>
          <w:rFonts w:ascii="Consolas" w:hAnsi="Consolas"/>
        </w:rPr>
        <w:t>check_legislation_links.py</w:t>
      </w:r>
      <w:r>
        <w:rPr/>
        <w:t xml:space="preserve">, the second automated check (§6).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Cross-Reference Index</w:t>
      </w:r>
      <w:r>
        <w:rPr>
          <w:b/>
        </w:rPr>
        <w:t xml:space="preserve"> sheet in each governance workbook is derived.</w:t>
      </w:r>
      <w:r>
        <w:rPr/>
        <w:t xml:space="preserve"> </w:t>
      </w:r>
      <w:r>
        <w:rPr>
          <w:rFonts w:ascii="Consolas" w:hAnsi="Consolas"/>
        </w:rPr>
        <w:t>rebuild_xref.py</w:t>
      </w:r>
      <w:r>
        <w:rPr/>
        <w:t xml:space="preserve"> regenerates it from the record sheets as step 1 of </w:t>
      </w:r>
      <w:r>
        <w:rPr>
          <w:rFonts w:ascii="Consolas" w:hAnsi="Consolas"/>
        </w:rPr>
        <w:t>finalise.py</w:t>
      </w:r>
      <w:r>
        <w:rPr/>
        <w:t>; hand edits are overwritten and nothing reads it.</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IFW-12</w:t>
      </w:r>
      <w:r>
        <w:rPr/>
        <w:t xml:space="preserve">; twelve rows over ten sheets). The finder joins indicator rows to this register on </w:t>
      </w:r>
      <w:r>
        <w:rPr>
          <w:rFonts w:ascii="Consolas" w:hAnsi="Consolas"/>
        </w:rPr>
        <w:t>Source_Framework</w:t>
      </w:r>
      <w:r>
        <w:rPr/>
        <w:t xml:space="preserve">, so a row's </w:t>
      </w:r>
      <w:r>
        <w:rPr>
          <w:rFonts w:ascii="Consolas" w:hAnsi="Consolas"/>
        </w:rPr>
        <w:t>Source_Framework</w:t>
      </w:r>
      <w:r>
        <w:rPr/>
        <w:t xml:space="preserve"> must match its register row exactly (§4).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ListBullet"/>
      </w:pPr>
      <w:r>
        <w:rPr>
          <w:rFonts w:ascii="Consolas" w:hAnsi="Consolas"/>
          <w:b/>
        </w:rPr>
        <w:t>Legend</w:t>
      </w:r>
      <w:r>
        <w:rPr/>
        <w:t xml:space="preserve"> — the 0–3 </w:t>
      </w:r>
      <w:r>
        <w:rPr>
          <w:rFonts w:ascii="Consolas" w:hAnsi="Consolas"/>
        </w:rPr>
        <w:t>Climate_Score</w:t>
      </w:r>
      <w:r>
        <w:rPr/>
        <w:t xml:space="preserve"> scale, its core principle and Rules A–H.</w:t>
      </w:r>
    </w:p>
    <w:p>
      <w:pPr>
        <w:pStyle w:val="Heading3"/>
      </w:pPr>
      <w:r>
        <w:rPr/>
        <w:t>Climate_Score</w:t>
      </w:r>
    </w:p>
    <w:p>
      <w:r>
        <w:rPr/>
        <w:t xml:space="preserve">A </w:t>
      </w:r>
      <w:r>
        <w:rPr>
          <w:b/>
        </w:rPr>
        <w:t>data-dependency</w:t>
      </w:r>
      <w:r>
        <w:rPr/>
        <w:t xml:space="preserve"> score, not a climate-relevance score: does weather or climate data enter the indicator's calculation, or does inter-annual weather move its published value? Topical climate relevance is carried by </w:t>
      </w:r>
      <w:r>
        <w:rPr>
          <w:rFonts w:ascii="Consolas" w:hAnsi="Consolas"/>
        </w:rPr>
        <w:t>Policy_Sector = Climate</w:t>
      </w:r>
      <w:r>
        <w:rPr/>
        <w:t xml:space="preserve"> instead. Harmonised across all nine sheets in v27 (162 of 985 records changed); distribution 0/1/2/3 = 435/269/201/80. Blank means </w:t>
      </w:r>
      <w:r>
        <w:rPr>
          <w:i/>
        </w:rPr>
        <w:t>not assessed</w:t>
      </w:r>
      <w:r>
        <w:rPr/>
        <w:t xml:space="preserve"> and renders as a hatched badge that never satisfies a score filter. Full method, provenance, borderline cases and maintenance rules: </w:t>
      </w:r>
      <w:r>
        <w:rPr>
          <w:rFonts w:ascii="Consolas" w:hAnsi="Consolas"/>
        </w:rPr>
        <w:t>outputs_other/CLIMATE_SCORE_METHOD.md</w:t>
      </w:r>
      <w:r>
        <w:rPr/>
        <w:t xml:space="preserve">; the review record is in </w:t>
      </w:r>
      <w:r>
        <w:rPr>
          <w:rFonts w:ascii="Consolas" w:hAnsi="Consolas"/>
        </w:rPr>
        <w:t>outputs_other/climate_score_harmonisation/</w:t>
      </w:r>
      <w:r>
        <w:rPr/>
        <w:t>. Score new records against the Legend rules, not by analogy with neighbouring rows.</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345 nodes, 1,164 edges (build of 6 October 2026).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(28).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b/>
        </w:rPr>
        <w:t>Policy context is derived, not hardcoded.</w:t>
      </w:r>
      <w:r>
        <w:rPr/>
        <w:t xml:space="preserve"> Each indicator's right-hand "Policy context" panel is built from its framework's register row — </w:t>
      </w:r>
      <w:r>
        <w:rPr>
          <w:rFonts w:ascii="Consolas" w:hAnsi="Consolas"/>
        </w:rPr>
        <w:t>Key_Instruments</w:t>
      </w:r>
      <w:r>
        <w:rPr/>
        <w:t xml:space="preserve"> for designated-monitoring links, </w:t>
      </w:r>
      <w:r>
        <w:rPr>
          <w:rFonts w:ascii="Consolas" w:hAnsi="Consolas"/>
        </w:rPr>
        <w:t>Indirect_Policy_Links</w:t>
      </w:r>
      <w:r>
        <w:rPr/>
        <w:t xml:space="preserve"> for policy-relevant ones — resolved against both governance workbooks. The old </w:t>
      </w:r>
      <w:r>
        <w:rPr>
          <w:rFonts w:ascii="Consolas" w:hAnsi="Consolas"/>
        </w:rPr>
        <w:t>FRAMEWORK_CTX</w:t>
      </w:r>
      <w:r>
        <w:rPr/>
        <w:t xml:space="preserve"> table was removed on 28 September 2026 after it was found to be keyed on the sheet (so all 149 CCC rows shared the mitigation chain, including the 38 adaptation targets), to still cite the superseded CBDP 2023, and to be invisible to </w:t>
      </w:r>
      <w:r>
        <w:rPr>
          <w:rFonts w:ascii="Consolas" w:hAnsi="Consolas"/>
        </w:rPr>
        <w:t>check_links.py</w:t>
      </w:r>
      <w:r>
        <w:rPr/>
        <w:t>. Chains now change when the register changes.</w:t>
      </w:r>
    </w:p>
    <w:p>
      <w:pPr>
        <w:pStyle w:val="IntenseQuote"/>
      </w:pPr>
      <w:r>
        <w:rPr/>
        <w:t xml:space="preserve">⚠ </w:t>
      </w:r>
      <w:r>
        <w:rPr>
          <w:b/>
        </w:rPr>
        <w:t xml:space="preserve">The join is on </w:t>
      </w:r>
      <w:r>
        <w:rPr>
          <w:rFonts w:ascii="Consolas" w:hAnsi="Consolas"/>
          <w:b/>
        </w:rPr>
        <w:t>Source_Framework</w:t>
      </w:r>
      <w:r>
        <w:rPr/>
        <w:t xml:space="preserve">, row against register row. A mismatch yields an empty panel, silently. Fixing the join exposed that </w:t>
      </w:r>
      <w:r>
        <w:rPr>
          <w:b/>
        </w:rPr>
        <w:t>486 of 985 rows</w:t>
      </w:r>
      <w:r>
        <w:rPr/>
        <w:t xml:space="preserve"> did not match — the CCC rows after the v17 rename, and the GBF and SDG rows which carried the frameworks' own fuller titles. All are aligned as of indicators v26, and the builder now warns and names any value that does not match.</w:t>
      </w:r>
    </w:p>
    <w:p>
      <w:r>
        <w:rPr>
          <w:b/>
        </w:rPr>
        <w:t>Hovering a relationship tag</w:t>
      </w:r>
      <w:r>
        <w:rPr/>
        <w:t xml:space="preserve"> ("Designated monitoring" / "Policy-relevant") names the indicator set the relationship belongs to, because that claim is about a </w:t>
      </w:r>
      <w:r>
        <w:rPr>
          <w:i/>
        </w:rPr>
        <w:t>framework</w:t>
      </w:r>
      <w:r>
        <w:rPr/>
        <w:t>, not about the single indicator on screen, and the panel previously never said which framework was meant.</w:t>
      </w:r>
    </w:p>
    <w:p>
      <w:r>
        <w:rPr/>
        <w:t xml:space="preserve">Searchable, filterable catalogue of all 1,001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 The Help modal explains the climate score (scale table, not-assessed badge) and exporting; the footer's workbook versions are filled from each workbook's </w:t>
      </w:r>
      <w:r>
        <w:rPr>
          <w:rFonts w:ascii="Consolas" w:hAnsi="Consolas"/>
        </w:rPr>
        <w:t>Changelog</w:t>
      </w:r>
      <w:r>
        <w:rPr/>
        <w:t xml:space="preserve"> at build, so they cannot go stale.</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at the 17 September build; not recounted since v23).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rFonts w:ascii="Consolas" w:hAnsi="Consolas"/>
        </w:rPr>
        <w:t>ASSESSMENT_TOOLKIT_USER_GUIDE.md</w:t>
      </w:r>
      <w:r>
        <w:rPr/>
        <w:t xml:space="preserve"> is the task-oriented companion for a first-time user.</w:t>
      </w:r>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six invariants — orphan references, column placement, UK↔intl forward and reverse reciprocity, controlled vocabulary against the Data Dictionary, retired-ID reuse. Read-only.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Data/code/check_legislation_links.py</w:t>
            </w:r>
          </w:p>
        </w:tc>
        <w:tc>
          <w:tcPr>
            <w:tcW w:type="dxa" w:w="4819"/>
          </w:tcPr>
          <w:p>
            <w:r>
              <w:rPr>
                <w:b/>
                <w:sz w:val="18"/>
              </w:rPr>
              <w:t>The link-title check.</w:t>
            </w:r>
            <w:r>
              <w:rPr>
                <w:sz w:val="18"/>
              </w:rPr>
              <w:t xml:space="preserve"> For every </w:t>
            </w:r>
            <w:r>
              <w:rPr>
                <w:rFonts w:ascii="Consolas" w:hAnsi="Consolas"/>
                <w:sz w:val="18"/>
              </w:rPr>
              <w:t>Legislation</w:t>
            </w:r>
            <w:r>
              <w:rPr>
                <w:sz w:val="18"/>
              </w:rPr>
              <w:t xml:space="preserve"> record whose Link is on legislation.gov.uk, reads the instrument's title from </w:t>
            </w:r>
            <w:r>
              <w:rPr>
                <w:rFonts w:ascii="Consolas" w:hAnsi="Consolas"/>
                <w:sz w:val="18"/>
              </w:rPr>
              <w:t>&lt;base&gt;/data.xml</w:t>
            </w:r>
            <w:r>
              <w:rPr>
                <w:sz w:val="18"/>
              </w:rPr>
              <w:t xml:space="preserve"> and compares it with the record's </w:t>
            </w:r>
            <w:r>
              <w:rPr>
                <w:rFonts w:ascii="Consolas" w:hAnsi="Consolas"/>
                <w:sz w:val="18"/>
              </w:rPr>
              <w:t>Name</w:t>
            </w:r>
            <w:r>
              <w:rPr>
                <w:sz w:val="18"/>
              </w:rPr>
              <w:t xml:space="preserve"> (lenient on "The", dashes and trailing annotations such as "(SI 2015/610)"; </w:t>
            </w:r>
            <w:r>
              <w:rPr>
                <w:rFonts w:ascii="Consolas" w:hAnsi="Consolas"/>
                <w:sz w:val="18"/>
              </w:rPr>
              <w:t>EXPECTED</w:t>
            </w:r>
            <w:r>
              <w:rPr>
                <w:sz w:val="18"/>
              </w:rPr>
              <w:t xml:space="preserve"> lists records deliberately named otherwise). Fails on a mismatch; warns on a revoked/repealed title or an unreachable site. Spaces requests 2 s apart and caches titles for 30 days in </w:t>
            </w:r>
            <w:r>
              <w:rPr>
                <w:rFonts w:ascii="Consolas" w:hAnsi="Consolas"/>
                <w:sz w:val="18"/>
              </w:rPr>
              <w:t>Data/code/.legislation_title_cache.json</w:t>
            </w:r>
            <w:r>
              <w:rPr>
                <w:sz w:val="18"/>
              </w:rPr>
              <w:t xml:space="preserve"> (seeded from the 6 Oct 2026 manual audit, so the first offline runs still report). </w:t>
            </w:r>
            <w:r>
              <w:rPr>
                <w:rFonts w:ascii="Consolas" w:hAnsi="Consolas"/>
                <w:sz w:val="18"/>
              </w:rPr>
              <w:t>--refresh</w:t>
            </w:r>
            <w:r>
              <w:rPr>
                <w:sz w:val="18"/>
              </w:rPr>
              <w:t xml:space="preserve">, </w:t>
            </w:r>
            <w:r>
              <w:rPr>
                <w:rFonts w:ascii="Consolas" w:hAnsi="Consolas"/>
                <w:sz w:val="18"/>
              </w:rPr>
              <w:t>--offline</w:t>
            </w:r>
            <w:r>
              <w:rPr>
                <w:sz w:val="18"/>
              </w:rPr>
              <w:t xml:space="preserve">, </w:t>
            </w:r>
            <w:r>
              <w:rPr>
                <w:rFonts w:ascii="Consolas" w:hAnsi="Consolas"/>
                <w:sz w:val="18"/>
              </w:rPr>
              <w:t>--titles-json</w:t>
            </w:r>
            <w:r>
              <w:rPr>
                <w:sz w:val="18"/>
              </w:rPr>
              <w:t>. No new dependency.</w:t>
            </w:r>
          </w:p>
        </w:tc>
      </w:tr>
      <w:tr>
        <w:tc>
          <w:tcPr>
            <w:tcW w:type="dxa" w:w="4819"/>
          </w:tcPr>
          <w:p>
            <w:r>
              <w:rPr>
                <w:rFonts w:ascii="Consolas" w:hAnsi="Consolas"/>
                <w:sz w:val="18"/>
              </w:rPr>
              <w:t>Data/code/rebuild_xref.py</w:t>
            </w:r>
          </w:p>
        </w:tc>
        <w:tc>
          <w:tcPr>
            <w:tcW w:type="dxa" w:w="4819"/>
          </w:tcPr>
          <w:p>
            <w:r>
              <w:rPr>
                <w:sz w:val="18"/>
              </w:rPr>
              <w:t xml:space="preserve">Regenerates the derived </w:t>
            </w:r>
            <w:r>
              <w:rPr>
                <w:rFonts w:ascii="Consolas" w:hAnsi="Consolas"/>
                <w:sz w:val="18"/>
              </w:rPr>
              <w:t>Cross-Reference Index</w:t>
            </w:r>
            <w:r>
              <w:rPr>
                <w:sz w:val="18"/>
              </w:rPr>
              <w:t xml:space="preserve"> sheet in both governance workbooks from their record sheets. Run by </w:t>
            </w:r>
            <w:r>
              <w:rPr>
                <w:rFonts w:ascii="Consolas" w:hAnsi="Consolas"/>
                <w:sz w:val="18"/>
              </w:rPr>
              <w:t>finalise.py</w:t>
            </w:r>
            <w:r>
              <w:rPr>
                <w:sz w:val="18"/>
              </w:rPr>
              <w:t xml:space="preserve"> as step 1; the only automated write to a canonical workbook, and only to that derived sheet.</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w:t>
            </w:r>
            <w:r>
              <w:rPr>
                <w:rFonts w:ascii="Consolas" w:hAnsi="Consolas"/>
                <w:sz w:val="18"/>
              </w:rPr>
              <w:t>orphan_narrative_codes.md</w:t>
            </w:r>
            <w:r>
              <w:rPr>
                <w:sz w:val="18"/>
              </w:rPr>
              <w:t xml:space="preserve"> and </w:t>
            </w:r>
            <w:r>
              <w:rPr>
                <w:rFonts w:ascii="Consolas" w:hAnsi="Consolas"/>
                <w:sz w:val="18"/>
              </w:rPr>
              <w:t>.csv</w:t>
            </w:r>
            <w:r>
              <w:rPr>
                <w:sz w:val="18"/>
              </w:rPr>
              <w:t xml:space="preserve"> to the </w:t>
            </w:r>
            <w:r>
              <w:rPr>
                <w:b/>
                <w:sz w:val="18"/>
              </w:rPr>
              <w:t>current working directory</w:t>
            </w:r>
            <w:r>
              <w:rPr>
                <w:sz w:val="18"/>
              </w:rPr>
              <w:t xml:space="preserve"> — run it from </w:t>
            </w:r>
            <w:r>
              <w:rPr>
                <w:rFonts w:ascii="Consolas" w:hAnsi="Consolas"/>
                <w:sz w:val="18"/>
              </w:rPr>
              <w:t>outputs_other/</w:t>
            </w:r>
            <w:r>
              <w:rPr>
                <w:sz w:val="18"/>
              </w:rPr>
              <w:t>, or the report lands beside the workbooks.</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Holds no hardcoded governance: each framework's policy context is derived from the </w:t>
            </w:r>
            <w:r>
              <w:rPr>
                <w:rFonts w:ascii="Consolas" w:hAnsi="Consolas"/>
                <w:sz w:val="18"/>
              </w:rPr>
              <w:t>Indicator Framework</w:t>
            </w:r>
            <w:r>
              <w:rPr>
                <w:sz w:val="18"/>
              </w:rPr>
              <w:t xml:space="preserve"> register. Prints a warning naming any </w:t>
            </w:r>
            <w:r>
              <w:rPr>
                <w:rFonts w:ascii="Consolas" w:hAnsi="Consolas"/>
                <w:sz w:val="18"/>
              </w:rPr>
              <w:t>Source_Framework</w:t>
            </w:r>
            <w:r>
              <w:rPr>
                <w:sz w:val="18"/>
              </w:rPr>
              <w:t xml:space="preserve"> value with no register match and any record with a blank </w:t>
            </w:r>
            <w:r>
              <w:rPr>
                <w:rFonts w:ascii="Consolas" w:hAnsi="Consolas"/>
                <w:sz w:val="18"/>
              </w:rPr>
              <w:t>Climate_Score</w:t>
            </w:r>
            <w:r>
              <w:rPr>
                <w:sz w:val="18"/>
              </w:rPr>
              <w:t xml:space="preserve">; fills the footer versions from each workbook's </w:t>
            </w:r>
            <w:r>
              <w:rPr>
                <w:rFonts w:ascii="Consolas" w:hAnsi="Consolas"/>
                <w:sz w:val="18"/>
              </w:rPr>
              <w:t>Changelog</w:t>
            </w:r>
            <w:r>
              <w:rPr>
                <w:sz w:val="18"/>
              </w:rPr>
              <w:t>.</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Five steps, each only if the previous passed: </w:t>
            </w:r>
            <w:r>
              <w:rPr>
                <w:rFonts w:ascii="Consolas" w:hAnsi="Consolas"/>
                <w:sz w:val="18"/>
              </w:rPr>
              <w:t>rebuild_xref.py</w:t>
            </w:r>
            <w:r>
              <w:rPr>
                <w:sz w:val="18"/>
              </w:rPr>
              <w:t xml:space="preserve"> → </w:t>
            </w:r>
            <w:r>
              <w:rPr>
                <w:rFonts w:ascii="Consolas" w:hAnsi="Consolas"/>
                <w:sz w:val="18"/>
              </w:rPr>
              <w:t>check_links.py</w:t>
            </w:r>
            <w:r>
              <w:rPr>
                <w:sz w:val="18"/>
              </w:rPr>
              <w:t xml:space="preserve"> → </w:t>
            </w:r>
            <w:r>
              <w:rPr>
                <w:rFonts w:ascii="Consolas" w:hAnsi="Consolas"/>
                <w:sz w:val="18"/>
              </w:rPr>
              <w:t>check_legislation_links.py</w:t>
            </w:r>
            <w:r>
              <w:rPr>
                <w:sz w:val="18"/>
              </w:rPr>
              <w:t xml:space="preserve"> → </w:t>
            </w:r>
            <w:r>
              <w:rPr>
                <w:rFonts w:ascii="Consolas" w:hAnsi="Consolas"/>
                <w:sz w:val="18"/>
              </w:rPr>
              <w:t>build_all.py</w:t>
            </w:r>
            <w:r>
              <w:rPr>
                <w:sz w:val="18"/>
              </w:rPr>
              <w:t xml:space="preserve"> → </w:t>
            </w:r>
            <w:r>
              <w:rPr>
                <w:rFonts w:ascii="Consolas" w:hAnsi="Consolas"/>
                <w:sz w:val="18"/>
              </w:rPr>
              <w:t>export_release.py</w:t>
            </w:r>
            <w:r>
              <w:rPr>
                <w:sz w:val="18"/>
              </w:rPr>
              <w:t xml:space="preserve">. Exit codes 1 index/check/link check, 2 build, 3 export.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w:t>
            </w:r>
            <w:r>
              <w:rPr>
                <w:rFonts w:ascii="Consolas" w:hAnsi="Consolas"/>
                <w:sz w:val="18"/>
              </w:rPr>
              <w:t>pending_additions.md</w:t>
            </w:r>
            <w:r>
              <w:rPr>
                <w:sz w:val="18"/>
              </w:rPr>
              <w:t xml:space="preserve"> and </w:t>
            </w:r>
            <w:r>
              <w:rPr>
                <w:rFonts w:ascii="Consolas" w:hAnsi="Consolas"/>
                <w:sz w:val="18"/>
              </w:rPr>
              <w:t>CLIMATE_SCORE_METHOD.md</w:t>
            </w:r>
            <w:r>
              <w:rPr>
                <w:sz w:val="18"/>
              </w:rPr>
              <w:t xml:space="preserve">. The CSVs let GitHub Copilot, pandas and git diffs read workbook content without opening an </w:t>
            </w:r>
            <w:r>
              <w:rPr>
                <w:rFonts w:ascii="Consolas" w:hAnsi="Consolas"/>
                <w:sz w:val="18"/>
              </w:rPr>
              <w:t>.xlsx</w:t>
            </w:r>
            <w:r>
              <w:rPr>
                <w:sz w:val="18"/>
              </w:rPr>
              <w:t xml:space="preserve">; the DOCX copies are for Word readers. Rewrites a file only when its content changes, so unchanged sheets produce no git diff or OneDrive re-sync. An existing output it cannot read (an online-only OneDrive placeholder) is treated as changed and replaced atomically. The </w:t>
            </w:r>
            <w:r>
              <w:rPr>
                <w:rFonts w:ascii="Consolas" w:hAnsi="Consolas"/>
                <w:sz w:val="18"/>
              </w:rPr>
              <w:t>DOC_SOURCES</w:t>
            </w:r>
            <w:r>
              <w:rPr>
                <w:sz w:val="18"/>
              </w:rPr>
              <w:t xml:space="preserve"> list sits at the top of the script; bump </w:t>
            </w:r>
            <w:r>
              <w:rPr>
                <w:rFonts w:ascii="Consolas" w:hAnsi="Consolas"/>
                <w:sz w:val="18"/>
              </w:rPr>
              <w:t>CONVERTER_VERSION</w:t>
            </w:r>
            <w:r>
              <w:rPr>
                <w:sz w:val="18"/>
              </w:rPr>
              <w:t xml:space="preserve"> whenever the Markdown→DOCX converter changes.</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Style w:val="Heading3"/>
      </w:pPr>
      <w:r>
        <w:rPr/>
        <w:t>6.1 AI configuration — GitHub Copilot</w:t>
      </w:r>
    </w:p>
    <w:p>
      <w:r>
        <w:rPr/>
        <w:t xml:space="preserve">GitHub Copilot agent mode in VS Code is the AI environment for managing this project on Met Office systems (decided October 2026). The Microsoft 365 Agent Builder and Copilot Studio packs drafted in September, and the </w:t>
      </w:r>
      <w:r>
        <w:rPr>
          <w:rFonts w:ascii="Consolas" w:hAnsi="Consolas"/>
        </w:rPr>
        <w:t>Data/pending_inbox/</w:t>
      </w:r>
      <w:r>
        <w:rPr/>
        <w:t xml:space="preserve"> mechanism and </w:t>
      </w:r>
      <w:r>
        <w:rPr>
          <w:rFonts w:ascii="Consolas" w:hAnsi="Consolas"/>
        </w:rPr>
        <w:t>.txt</w:t>
      </w:r>
      <w:r>
        <w:rPr/>
        <w:t xml:space="preserve"> template exports that existed only to serve them, were retired on 6 October 2026 (copies in </w:t>
      </w:r>
      <w:r>
        <w:rPr>
          <w:rFonts w:ascii="Consolas" w:hAnsi="Consolas"/>
        </w:rPr>
        <w:t>_to_delete/retired_2026-10-06/</w:t>
      </w:r>
      <w:r>
        <w:rPr/>
        <w:t>, and in git history at commit e7d744d).</w:t>
      </w:r>
    </w:p>
    <w:p>
      <w:r>
        <w:rPr/>
        <w:t xml:space="preserve">The configuration — </w:t>
      </w:r>
      <w:r>
        <w:rPr>
          <w:rFonts w:ascii="Consolas" w:hAnsi="Consolas"/>
        </w:rPr>
        <w:t>AGENTS.md</w:t>
      </w:r>
      <w:r>
        <w:rPr/>
        <w:t xml:space="preserve"> (always-on rules), five path-scoped instruction files, seven skills and five role agents separated by write scope — is staged in </w:t>
      </w:r>
      <w:r>
        <w:rPr>
          <w:rFonts w:ascii="Consolas" w:hAnsi="Consolas"/>
        </w:rPr>
        <w:t>Copilot_setup/</w:t>
      </w:r>
      <w:r>
        <w:rPr/>
        <w:t xml:space="preserve"> and </w:t>
      </w:r>
      <w:r>
        <w:rPr>
          <w:b/>
        </w:rPr>
        <w:t>has not yet been installed or tested</w:t>
      </w:r>
      <w:r>
        <w:rPr/>
        <w:t xml:space="preserve">. Installation and acceptance tests are in the root </w:t>
      </w:r>
      <w:r>
        <w:rPr>
          <w:rFonts w:ascii="Consolas" w:hAnsi="Consolas"/>
        </w:rPr>
        <w:t>README.md</w:t>
      </w:r>
      <w:r>
        <w:rPr/>
        <w:t>. No model is pinned; it is chosen in the chat model picker.</w:t>
      </w:r>
    </w:p>
    <w:p>
      <w:r>
        <w:rPr>
          <w:b/>
        </w:rPr>
        <w:t>Design rule: procedure lives in the protocols, routing lives in the skills.</w:t>
      </w:r>
      <w:r>
        <w:rPr/>
        <w:t xml:space="preserve"> Every agent, skill and instruction file is a thin pointer to </w:t>
      </w:r>
      <w:r>
        <w:rPr>
          <w:rFonts w:ascii="Consolas" w:hAnsi="Consolas"/>
        </w:rPr>
        <w:t>WORKBOOK_WRITE_PROTOCOL.md</w:t>
      </w:r>
      <w:r>
        <w:rPr/>
        <w:t xml:space="preserve">, </w:t>
      </w:r>
      <w:r>
        <w:rPr>
          <w:rFonts w:ascii="Consolas" w:hAnsi="Consolas"/>
        </w:rPr>
        <w:t>POLICY_SCAN_PROTOCOL.md</w:t>
      </w:r>
      <w:r>
        <w:rPr/>
        <w:t xml:space="preserve">, </w:t>
      </w:r>
      <w:r>
        <w:rPr>
          <w:rFonts w:ascii="Consolas" w:hAnsi="Consolas"/>
        </w:rPr>
        <w:t>METHOD_AND_SCORING.md</w:t>
      </w:r>
      <w:r>
        <w:rPr/>
        <w:t xml:space="preserve"> or </w:t>
      </w:r>
      <w:r>
        <w:rPr>
          <w:rFonts w:ascii="Consolas" w:hAnsi="Consolas"/>
        </w:rPr>
        <w:t>AGENTS.md</w:t>
      </w:r>
      <w:r>
        <w:rPr/>
        <w:t>. When one of those changes, re-check the pointers: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Changed</w:t>
            </w:r>
          </w:p>
        </w:tc>
        <w:tc>
          <w:tcPr>
            <w:tcW w:type="dxa" w:w="4819"/>
            <w:shd w:val="clear" w:color="auto" w:fill="DCE6E8"/>
          </w:tcPr>
          <w:p>
            <w:r>
              <w:rPr>
                <w:b/>
                <w:sz w:val="18"/>
              </w:rPr>
              <w:t>Also check</w:t>
            </w:r>
          </w:p>
        </w:tc>
      </w:tr>
      <w:tr>
        <w:tc>
          <w:tcPr>
            <w:tcW w:type="dxa" w:w="4819"/>
          </w:tcPr>
          <w:p>
            <w:r>
              <w:rPr>
                <w:rFonts w:ascii="Consolas" w:hAnsi="Consolas"/>
                <w:sz w:val="18"/>
              </w:rPr>
              <w:t>WORKBOOK_WRITE_PROTOCOL.md</w:t>
            </w:r>
          </w:p>
        </w:tc>
        <w:tc>
          <w:tcPr>
            <w:tcW w:type="dxa" w:w="4819"/>
          </w:tcPr>
          <w:p>
            <w:r>
              <w:rPr>
                <w:rFonts w:ascii="Consolas" w:hAnsi="Consolas"/>
                <w:sz w:val="18"/>
              </w:rPr>
              <w:t>AGENTS.md</w:t>
            </w:r>
            <w:r>
              <w:rPr>
                <w:sz w:val="18"/>
              </w:rPr>
              <w:t xml:space="preserve">; the data, dashboards and management instructions; skills </w:t>
            </w:r>
            <w:r>
              <w:rPr>
                <w:rFonts w:ascii="Consolas" w:hAnsi="Consolas"/>
                <w:sz w:val="18"/>
              </w:rPr>
              <w:t>add-record</w:t>
            </w:r>
            <w:r>
              <w:rPr>
                <w:sz w:val="18"/>
              </w:rPr>
              <w:t xml:space="preserve">, </w:t>
            </w:r>
            <w:r>
              <w:rPr>
                <w:rFonts w:ascii="Consolas" w:hAnsi="Consolas"/>
                <w:sz w:val="18"/>
              </w:rPr>
              <w:t>release</w:t>
            </w:r>
            <w:r>
              <w:rPr>
                <w:sz w:val="18"/>
              </w:rPr>
              <w:t xml:space="preserve">; agent </w:t>
            </w:r>
            <w:r>
              <w:rPr>
                <w:rFonts w:ascii="Consolas" w:hAnsi="Consolas"/>
                <w:sz w:val="18"/>
              </w:rPr>
              <w:t>curator</w:t>
            </w:r>
          </w:p>
        </w:tc>
      </w:tr>
      <w:tr>
        <w:tc>
          <w:tcPr>
            <w:tcW w:type="dxa" w:w="4819"/>
          </w:tcPr>
          <w:p>
            <w:r>
              <w:rPr>
                <w:rFonts w:ascii="Consolas" w:hAnsi="Consolas"/>
                <w:sz w:val="18"/>
              </w:rPr>
              <w:t>POLICY_SCAN_PROTOCOL.md</w:t>
            </w:r>
          </w:p>
        </w:tc>
        <w:tc>
          <w:tcPr>
            <w:tcW w:type="dxa" w:w="4819"/>
          </w:tcPr>
          <w:p>
            <w:r>
              <w:rPr>
                <w:sz w:val="18"/>
              </w:rPr>
              <w:t xml:space="preserve">skills </w:t>
            </w:r>
            <w:r>
              <w:rPr>
                <w:rFonts w:ascii="Consolas" w:hAnsi="Consolas"/>
                <w:sz w:val="18"/>
              </w:rPr>
              <w:t>policy-scan</w:t>
            </w:r>
            <w:r>
              <w:rPr>
                <w:sz w:val="18"/>
              </w:rPr>
              <w:t xml:space="preserve">, </w:t>
            </w:r>
            <w:r>
              <w:rPr>
                <w:rFonts w:ascii="Consolas" w:hAnsi="Consolas"/>
                <w:sz w:val="18"/>
              </w:rPr>
              <w:t>triage-pending</w:t>
            </w:r>
            <w:r>
              <w:rPr>
                <w:sz w:val="18"/>
              </w:rPr>
              <w:t xml:space="preserve">; agent </w:t>
            </w:r>
            <w:r>
              <w:rPr>
                <w:rFonts w:ascii="Consolas" w:hAnsi="Consolas"/>
                <w:sz w:val="18"/>
              </w:rPr>
              <w:t>scanner</w:t>
            </w:r>
          </w:p>
        </w:tc>
      </w:tr>
      <w:tr>
        <w:tc>
          <w:tcPr>
            <w:tcW w:type="dxa" w:w="4819"/>
          </w:tcPr>
          <w:p>
            <w:r>
              <w:rPr>
                <w:rFonts w:ascii="Consolas" w:hAnsi="Consolas"/>
                <w:sz w:val="18"/>
              </w:rPr>
              <w:t>METHOD_AND_SCORING.md</w:t>
            </w:r>
            <w:r>
              <w:rPr>
                <w:sz w:val="18"/>
              </w:rPr>
              <w:t>, YAML templates</w:t>
            </w:r>
          </w:p>
        </w:tc>
        <w:tc>
          <w:tcPr>
            <w:tcW w:type="dxa" w:w="4819"/>
          </w:tcPr>
          <w:p>
            <w:r>
              <w:rPr>
                <w:sz w:val="18"/>
              </w:rPr>
              <w:t xml:space="preserve">skill </w:t>
            </w:r>
            <w:r>
              <w:rPr>
                <w:rFonts w:ascii="Consolas" w:hAnsi="Consolas"/>
                <w:sz w:val="18"/>
              </w:rPr>
              <w:t>run-assessment</w:t>
            </w:r>
            <w:r>
              <w:rPr>
                <w:sz w:val="18"/>
              </w:rPr>
              <w:t xml:space="preserve">; the assessments instructions; agent </w:t>
            </w:r>
            <w:r>
              <w:rPr>
                <w:rFonts w:ascii="Consolas" w:hAnsi="Consolas"/>
                <w:sz w:val="18"/>
              </w:rPr>
              <w:t>assessor</w:t>
            </w:r>
          </w:p>
        </w:tc>
      </w:tr>
      <w:tr>
        <w:tc>
          <w:tcPr>
            <w:tcW w:type="dxa" w:w="4819"/>
          </w:tcPr>
          <w:p>
            <w:r>
              <w:rPr>
                <w:rFonts w:ascii="Consolas" w:hAnsi="Consolas"/>
                <w:sz w:val="18"/>
              </w:rPr>
              <w:t>finalise.py</w:t>
            </w:r>
            <w:r>
              <w:rPr>
                <w:sz w:val="18"/>
              </w:rPr>
              <w:t xml:space="preserve">, </w:t>
            </w:r>
            <w:r>
              <w:rPr>
                <w:rFonts w:ascii="Consolas" w:hAnsi="Consolas"/>
                <w:sz w:val="18"/>
              </w:rPr>
              <w:t>export_release.py</w:t>
            </w:r>
          </w:p>
        </w:tc>
        <w:tc>
          <w:tcPr>
            <w:tcW w:type="dxa" w:w="4819"/>
          </w:tcPr>
          <w:p>
            <w:r>
              <w:rPr>
                <w:rFonts w:ascii="Consolas" w:hAnsi="Consolas"/>
                <w:sz w:val="18"/>
              </w:rPr>
              <w:t>AGENTS.md</w:t>
            </w:r>
            <w:r>
              <w:rPr>
                <w:sz w:val="18"/>
              </w:rPr>
              <w:t xml:space="preserve"> commands; skill </w:t>
            </w:r>
            <w:r>
              <w:rPr>
                <w:rFonts w:ascii="Consolas" w:hAnsi="Consolas"/>
                <w:sz w:val="18"/>
              </w:rPr>
              <w:t>release</w:t>
            </w:r>
            <w:r>
              <w:rPr>
                <w:sz w:val="18"/>
              </w:rPr>
              <w:t>; the exports and management instructions</w:t>
            </w:r>
          </w:p>
        </w:tc>
      </w:tr>
      <w:tr>
        <w:tc>
          <w:tcPr>
            <w:tcW w:type="dxa" w:w="4819"/>
          </w:tcPr>
          <w:p>
            <w:r>
              <w:rPr>
                <w:sz w:val="18"/>
              </w:rPr>
              <w:t>Controlled vocabulary, ID families, record counts</w:t>
            </w:r>
          </w:p>
        </w:tc>
        <w:tc>
          <w:tcPr>
            <w:tcW w:type="dxa" w:w="4819"/>
          </w:tcPr>
          <w:p>
            <w:r>
              <w:rPr>
                <w:rFonts w:ascii="Consolas" w:hAnsi="Consolas"/>
                <w:sz w:val="18"/>
              </w:rPr>
              <w:t>AGENTS.md</w:t>
            </w:r>
            <w:r>
              <w:rPr>
                <w:sz w:val="18"/>
              </w:rPr>
              <w:t xml:space="preserve">; skill </w:t>
            </w:r>
            <w:r>
              <w:rPr>
                <w:rFonts w:ascii="Consolas" w:hAnsi="Consolas"/>
                <w:sz w:val="18"/>
              </w:rPr>
              <w:t>lookup</w:t>
            </w:r>
            <w:r>
              <w:rPr>
                <w:sz w:val="18"/>
              </w:rPr>
              <w:t xml:space="preserve">; the root </w:t>
            </w:r>
            <w:r>
              <w:rPr>
                <w:rFonts w:ascii="Consolas" w:hAnsi="Consolas"/>
                <w:sz w:val="18"/>
              </w:rPr>
              <w:t>README.md</w:t>
            </w:r>
          </w:p>
        </w:tc>
      </w:tr>
      <w:tr>
        <w:tc>
          <w:tcPr>
            <w:tcW w:type="dxa" w:w="4819"/>
          </w:tcPr>
          <w:p>
            <w:r>
              <w:rPr>
                <w:sz w:val="18"/>
              </w:rPr>
              <w:t>Finder or diagram builders</w:t>
            </w:r>
          </w:p>
        </w:tc>
        <w:tc>
          <w:tcPr>
            <w:tcW w:type="dxa" w:w="4819"/>
          </w:tcPr>
          <w:p>
            <w:r>
              <w:rPr>
                <w:sz w:val="18"/>
              </w:rPr>
              <w:t xml:space="preserve">the dashboards instructions; agent </w:t>
            </w:r>
            <w:r>
              <w:rPr>
                <w:rFonts w:ascii="Consolas" w:hAnsi="Consolas"/>
                <w:sz w:val="18"/>
              </w:rPr>
              <w:t>dashboard-builder</w:t>
            </w:r>
          </w:p>
        </w:tc>
      </w:tr>
    </w:tbl>
    <w:p/>
    <w:p>
      <w:r>
        <w:rPr/>
        <w:t xml:space="preserve">Claude desktop project memory, used while the project was built in Claude Cowork, is held outside the repository and does not travel. Its durable rules are already in </w:t>
      </w:r>
      <w:r>
        <w:rPr>
          <w:rFonts w:ascii="Consolas" w:hAnsi="Consolas"/>
        </w:rPr>
        <w:t>AGENTS.md</w:t>
      </w:r>
      <w:r>
        <w:rPr/>
        <w:t xml:space="preserve"> and this document.</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Cross-Reference Index regeneration, integrity check, legislation link check, then both dashboards, then </w:t>
      </w:r>
      <w:r>
        <w:rPr>
          <w:rFonts w:ascii="Consolas" w:hAnsi="Consolas"/>
        </w:rPr>
        <w:t>Exports/</w:t>
      </w:r>
      <w:r>
        <w:rPr/>
        <w:t xml:space="preserve">. Read the builder's warnings: an unmatched </w:t>
      </w:r>
      <w:r>
        <w:rPr>
          <w:rFonts w:ascii="Consolas" w:hAnsi="Consolas"/>
        </w:rPr>
        <w:t>Source_Framework</w:t>
      </w:r>
      <w:r>
        <w:rPr/>
        <w:t xml:space="preserve"> or an unscored record is a warning, not a failure, and does not stop the gate.</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w:t>
      </w:r>
      <w:r>
        <w:rPr>
          <w:rFonts w:ascii="Consolas" w:hAnsi="Consolas"/>
        </w:rPr>
        <w:t>LEG-009</w:t>
      </w:r>
      <w:r>
        <w:rPr/>
        <w:t xml:space="preserve"> are permanently retired; </w:t>
      </w:r>
      <w:r>
        <w:rPr>
          <w:rFonts w:ascii="Consolas" w:hAnsi="Consolas"/>
        </w:rPr>
        <w:t>check_links.py</w:t>
      </w:r>
      <w:r>
        <w:rPr/>
        <w:t xml:space="preserve"> holds the list). LEG-008 (BNG, a duplicate of [POL-065]) and LEG-009 (the EPPS, now [POL-111]) were retired in v29 because neither is a statutory instrument.</w:t>
      </w:r>
    </w:p>
    <w:p>
      <w:pPr>
        <w:pStyle w:val="ListBullet"/>
      </w:pPr>
      <w:r>
        <w:rPr>
          <w:b/>
        </w:rPr>
        <w:t>The Legislation sheet holds Acts, SIs, Orders and retained/EU instruments only.</w:t>
      </w:r>
      <w:r>
        <w:rPr/>
        <w:t xml:space="preserve"> A statutory policy statement or statutory scheme made under an Act goes in Policies &amp; Activities with the Act as </w:t>
      </w:r>
      <w:r>
        <w:rPr>
          <w:rFonts w:ascii="Consolas" w:hAnsi="Consolas"/>
        </w:rPr>
        <w:t>Enabling_Legislation</w:t>
      </w:r>
      <w:r>
        <w:rPr/>
        <w:t xml:space="preserve"> — precedents [POL-059] Marine Policy Statement, [POL-111] EPPS, [POL-065] BNG.</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IFW-NN</w:t>
      </w:r>
      <w:r>
        <w:rPr/>
        <w:t xml:space="preserve"> (frameworks). Indicator Record_IDs are </w:t>
      </w:r>
      <w:r>
        <w:rPr>
          <w:b/>
        </w:rPr>
        <w:t>not</w:t>
      </w:r>
      <w:r>
        <w:rPr/>
        <w:t xml:space="preserve"> all </w:t>
      </w:r>
      <w:r>
        <w:rPr>
          <w:rFonts w:ascii="Consolas" w:hAnsi="Consolas"/>
        </w:rPr>
        <w:t>IND-x-NNN</w:t>
      </w:r>
      <w:r>
        <w:rPr/>
        <w:t xml:space="preserve">: </w:t>
      </w:r>
      <w:r>
        <w:rPr>
          <w:rFonts w:ascii="Consolas" w:hAnsi="Consolas"/>
        </w:rPr>
        <w:t>IND-E-</w:t>
      </w:r>
      <w:r>
        <w:rPr/>
        <w:t xml:space="preserve"> EIF, </w:t>
      </w:r>
      <w:r>
        <w:rPr>
          <w:rFonts w:ascii="Consolas" w:hAnsi="Consolas"/>
        </w:rPr>
        <w:t>IND-C-</w:t>
      </w:r>
      <w:r>
        <w:rPr/>
        <w:t xml:space="preserve"> CCC, </w:t>
      </w:r>
      <w:r>
        <w:rPr>
          <w:rFonts w:ascii="Consolas" w:hAnsi="Consolas"/>
        </w:rPr>
        <w:t>IND-J-</w:t>
      </w:r>
      <w:r>
        <w:rPr/>
        <w:t xml:space="preserve"> JNCC, </w:t>
      </w:r>
      <w:r>
        <w:rPr>
          <w:rFonts w:ascii="Consolas" w:hAnsi="Consolas"/>
        </w:rPr>
        <w:t>IND-S-</w:t>
      </w:r>
      <w:r>
        <w:rPr/>
        <w:t xml:space="preserve"> SoN, </w:t>
      </w:r>
      <w:r>
        <w:rPr>
          <w:rFonts w:ascii="Consolas" w:hAnsi="Consolas"/>
        </w:rPr>
        <w:t>IND-B-</w:t>
      </w:r>
      <w:r>
        <w:rPr/>
        <w:t xml:space="preserve"> EEA, then the frameworks' own codes — </w:t>
      </w:r>
      <w:r>
        <w:rPr>
          <w:rFonts w:ascii="Consolas" w:hAnsi="Consolas"/>
        </w:rPr>
        <w:t>BIP-</w:t>
      </w:r>
      <w:r>
        <w:rPr/>
        <w:t xml:space="preserve">, </w:t>
      </w:r>
      <w:r>
        <w:rPr>
          <w:rFonts w:ascii="Consolas" w:hAnsi="Consolas"/>
        </w:rPr>
        <w:t>GBF-</w:t>
      </w:r>
      <w:r>
        <w:rPr/>
        <w:t xml:space="preserve">, </w:t>
      </w:r>
      <w:r>
        <w:rPr>
          <w:rFonts w:ascii="Consolas" w:hAnsi="Consolas"/>
        </w:rPr>
        <w:t>SDG-</w:t>
      </w:r>
      <w:r>
        <w:rPr/>
        <w:t xml:space="preserve">, and </w:t>
      </w:r>
      <w:r>
        <w:rPr>
          <w:rFonts w:ascii="Consolas" w:hAnsi="Consolas"/>
        </w:rPr>
        <w:t>IPBES-N-</w:t>
      </w:r>
      <w:r>
        <w:rPr/>
        <w:t xml:space="preserve"> / </w:t>
      </w:r>
      <w:r>
        <w:rPr>
          <w:rFonts w:ascii="Consolas" w:hAnsi="Consolas"/>
        </w:rPr>
        <w:t>IPBES-NCP-</w:t>
      </w:r>
      <w:r>
        <w:rPr/>
        <w:t xml:space="preserve"> / </w:t>
      </w:r>
      <w:r>
        <w:rPr>
          <w:rFonts w:ascii="Consolas" w:hAnsi="Consolas"/>
        </w:rPr>
        <w:t>IPBES-D-</w:t>
      </w:r>
      <w:r>
        <w:rPr/>
        <w:t xml:space="preserve">. Gaps in the </w:t>
      </w:r>
      <w:r>
        <w:rPr>
          <w:rFonts w:ascii="Consolas" w:hAnsi="Consolas"/>
        </w:rPr>
        <w:t>IND-C</w:t>
      </w:r>
      <w:r>
        <w:rPr/>
        <w:t xml:space="preserve"> and </w:t>
      </w:r>
      <w:r>
        <w:rPr>
          <w:rFonts w:ascii="Consolas" w:hAnsi="Consolas"/>
        </w:rPr>
        <w:t>IND-B</w:t>
      </w:r>
      <w:r>
        <w:rPr/>
        <w:t xml:space="preserve"> numbering predate July 2026 and are treated as intentional; new records continue from the maximum.</w:t>
      </w:r>
    </w:p>
    <w:p>
      <w:r>
        <w:rPr>
          <w:b/>
        </w:rPr>
        <w:t>Devolved tier</w:t>
      </w:r>
      <w:r>
        <w:rPr/>
        <w:t xml:space="preserve"> </w:t>
      </w:r>
      <w:r>
        <w:rPr>
          <w:i/>
        </w:rPr>
        <w:t>(Jonathan, 18 September 2026)</w:t>
      </w:r>
      <w:r>
        <w:rPr/>
        <w:t xml:space="preserve"> — the four administrations are held at administration level ([ORG-034] Scottish Government, [ORG-035] Welsh Government, [ORG-036] Northern Ireland Executive). No devolved department is held as a record; departments are named in prose in brackets after the administration. A candidate that is a devolved department is rejected on this rule.</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Style w:val="Heading3"/>
      </w:pPr>
      <w:r>
        <w:rPr/>
        <w:t xml:space="preserve">Scope rules — what is deliberately </w:t>
      </w:r>
      <w:r>
        <w:rPr>
          <w:b/>
        </w:rPr>
        <w:t>not</w:t>
      </w:r>
      <w:r>
        <w:rPr/>
        <w:t xml:space="preserve"> catalogued</w:t>
      </w:r>
    </w:p>
    <w:p>
      <w:r>
        <w:rPr/>
        <w:t>Both rules below were applied repeatedly before they were written down, which meant the same candidates kept coming back through successive scans. They are decisions, not drift.</w:t>
      </w:r>
    </w:p>
    <w:p>
      <w:r>
        <w:rPr>
          <w:b/>
        </w:rPr>
        <w:t>1. Operational agency monitoring statistics are out of scope</w:t>
      </w:r>
      <w:r>
        <w:rPr/>
        <w:t xml:space="preserve"> </w:t>
      </w:r>
      <w:r>
        <w:rPr>
          <w:i/>
        </w:rPr>
        <w:t>(Jonathan, 11 and 18 September 2026).</w:t>
      </w:r>
      <w:r>
        <w:rPr/>
        <w:t xml:space="preserve"> Environment Agency dry weather and drought summaries, water situation reports, rainfall and river flow weekly reports, and equivalent operational series from other agencies are </w:t>
      </w:r>
      <w:r>
        <w:rPr>
          <w:b/>
        </w:rPr>
        <w:t>not</w:t>
      </w:r>
      <w:r>
        <w:rPr/>
        <w:t xml:space="preserve"> catalogued as indicator records. They are operational hydrological monitoring, published on a weekly or monthly operational cycle, and they are not indicators of a policy target.</w:t>
      </w:r>
    </w:p>
    <w:p>
      <w:pPr>
        <w:pStyle w:val="IntenseQuote"/>
      </w:pPr>
      <w:r>
        <w:rPr/>
        <w:t xml:space="preserve">⚠ </w:t>
      </w:r>
      <w:r>
        <w:rPr>
          <w:b/>
        </w:rPr>
        <w:t>Know what this costs.</w:t>
      </w:r>
      <w:r>
        <w:rPr/>
        <w:t xml:space="preserve"> Drought and water availability is the single largest thematic gap in the catalogue, confirmed from three independent source types during the September 2026 scan. The workbook holds [IND-C-105] freshwater quality and quantity and [IND-E-044] drought disruption, and from indicators v23 the CCC adaptation targets for the water and wastewater system — but no drought monitoring series. This is an accepted gap, not an oversight. An earlier note in </w:t>
      </w:r>
      <w:r>
        <w:rPr>
          <w:rFonts w:ascii="Consolas" w:hAnsi="Consolas"/>
        </w:rPr>
        <w:t>pending_additions.md</w:t>
      </w:r>
      <w:r>
        <w:rPr/>
        <w:t xml:space="preserve"> suggesting agency monitoring statistics would "eventually" get their own indicators worksheet is </w:t>
      </w:r>
      <w:r>
        <w:rPr>
          <w:b/>
        </w:rPr>
        <w:t>superseded by this rule</w:t>
      </w:r>
      <w:r>
        <w:rPr/>
        <w:t>; if that changes, change it here first.</w:t>
      </w:r>
    </w:p>
    <w:p>
      <w:r>
        <w:rPr>
          <w:b/>
        </w:rPr>
        <w:t>2. Level of generality — indicators are catalogued at framework level, not at site or event level</w:t>
      </w:r>
      <w:r>
        <w:rPr/>
        <w:t xml:space="preserve"> </w:t>
      </w:r>
      <w:r>
        <w:rPr>
          <w:i/>
        </w:rPr>
        <w:t>(Jonathan, 18 September 2026).</w:t>
      </w:r>
      <w:r>
        <w:rPr/>
        <w:t xml:space="preserve"> A candidate is rejected when it is:</w:t>
      </w:r>
    </w:p>
    <w:p>
      <w:pPr>
        <w:pStyle w:val="ListBullet"/>
      </w:pPr>
      <w:r>
        <w:rPr>
          <w:b/>
        </w:rPr>
        <w:t>site- or catchment-specific</w:t>
      </w:r>
      <w:r>
        <w:rPr/>
        <w:t xml:space="preserve"> where a national series exists — the River Tyne, Tees and Wear fish counts were rejected because a generalised national measure is the right level;</w:t>
      </w:r>
    </w:p>
    <w:p>
      <w:pPr>
        <w:pStyle w:val="ListBullet"/>
      </w:pPr>
      <w:r>
        <w:rPr>
          <w:b/>
        </w:rPr>
        <w:t>event reporting rather than monitoring</w:t>
      </w:r>
      <w:r>
        <w:rPr/>
        <w:t xml:space="preserve"> — the South West octopus bloom, seaweed species new to science, and single-catchment salmon stock notices;</w:t>
      </w:r>
    </w:p>
    <w:p>
      <w:pPr>
        <w:pStyle w:val="ListBullet"/>
      </w:pPr>
      <w:r>
        <w:rPr>
          <w:b/>
        </w:rPr>
        <w:t>operational rather than policy-target monitoring</w:t>
      </w:r>
      <w:r>
        <w:rPr/>
        <w:t xml:space="preserve"> — the provisional Cormorant population indices are released early expressly "to enable their use for operational purposes" (Natural England licensing of fish-eating bird control), and the underlying Wetland Bird Survey is already held at the right generality as [IND-J-010] and [IND-J-013];</w:t>
      </w:r>
    </w:p>
    <w:p>
      <w:pPr>
        <w:pStyle w:val="ListBullet"/>
      </w:pPr>
      <w:r>
        <w:rPr>
          <w:b/>
        </w:rPr>
        <w:t>an activity rather than a measure</w:t>
      </w:r>
      <w:r>
        <w:rPr/>
        <w:t xml:space="preserve"> — the UK bluefin tuna fishery is a genuine range-shift signal but is a fishery, not a monitoring indicator. It would qualify only with a clear monitoring series attached.</w:t>
      </w:r>
    </w:p>
    <w:p>
      <w:r>
        <w:rPr/>
        <w:t>The test is whether the candidate measures something a framework tracks, at the level the framework tracks it. A climate-interesting phenomenon is not automatically an indicator.</w:t>
      </w:r>
    </w:p>
    <w:p>
      <w:pPr>
        <w:pBdr>
          <w:bottom w:val="single" w:sz="6" w:space="1" w:color="A0A8AD"/>
        </w:pBdr>
      </w:pPr>
    </w:p>
    <w:p>
      <w:pPr>
        <w:pStyle w:val="Heading2"/>
      </w:pPr>
      <w:r>
        <w:rPr/>
        <w:t>9. Open work</w:t>
      </w:r>
    </w:p>
    <w:p>
      <w:r>
        <w:rPr/>
        <w:t xml:space="preserve">Uncompleted work only — completed items are removed, and their record is the workbook </w:t>
      </w:r>
      <w:r>
        <w:rPr>
          <w:rFonts w:ascii="Consolas" w:hAnsi="Consolas"/>
        </w:rPr>
        <w:t>Changelog</w:t>
      </w:r>
      <w:r>
        <w:rPr/>
        <w:t xml:space="preserve">, the queue's </w:t>
      </w:r>
      <w:r>
        <w:rPr>
          <w:rFonts w:ascii="Consolas" w:hAnsi="Consolas"/>
        </w:rPr>
        <w:t>Resolution</w:t>
      </w:r>
      <w:r>
        <w:rPr/>
        <w:t xml:space="preserve"> column and git history. Checked against the workbooks, the queue and the file store on 6 October 2026.</w:t>
      </w:r>
    </w:p>
    <w:p>
      <w:pPr>
        <w:pStyle w:val="Heading3"/>
      </w:pPr>
      <w:r>
        <w:rPr/>
        <w:t>Queue and record backlog</w:t>
      </w:r>
    </w:p>
    <w:p>
      <w:pPr>
        <w:tabs>
          <w:tab w:pos="454" w:val="left"/>
        </w:tabs>
        <w:spacing w:after="60"/>
        <w:ind w:left="454" w:hanging="454"/>
      </w:pPr>
      <w:r>
        <w:rPr/>
        <w:t>1.</w:t>
        <w:tab/>
      </w:r>
      <w:r>
        <w:rPr>
          <w:b/>
        </w:rPr>
        <w:t>D8 legislative backlog audit — approved, not yet run</w:t>
      </w:r>
      <w:r>
        <w:rPr/>
        <w:t xml:space="preserve"> (</w:t>
      </w:r>
      <w:r>
        <w:rPr>
          <w:rFonts w:ascii="Consolas" w:hAnsi="Consolas"/>
        </w:rPr>
        <w:t>Data/pending_additions.md</w:t>
      </w:r>
      <w:r>
        <w:rPr/>
        <w:t xml:space="preserve">, Status </w:t>
      </w:r>
      <w:r>
        <w:rPr>
          <w:rFonts w:ascii="Consolas" w:hAnsi="Consolas"/>
        </w:rPr>
        <w:t>add</w:t>
      </w:r>
      <w:r>
        <w:rPr/>
        <w:t>): Taxation (Energy and Vehicles) Act 2026, Finance Act 2026 (check for CBAM provisions), English Devolution and Community Empowerment Act 2026, and a sweep of 2024–2026 UK primary legislation (only part of it is held), with devolved legislation 2021–2025.</w:t>
      </w:r>
    </w:p>
    <w:p>
      <w:pPr>
        <w:tabs>
          <w:tab w:pos="454" w:val="left"/>
        </w:tabs>
        <w:spacing w:after="60"/>
        <w:ind w:left="454" w:hanging="454"/>
      </w:pPr>
      <w:r>
        <w:rPr/>
        <w:t>2.</w:t>
        <w:tab/>
      </w:r>
      <w:r>
        <w:rPr>
          <w:b/>
        </w:rPr>
        <w:t>Legislation records to check:</w:t>
      </w:r>
      <w:r>
        <w:rPr/>
        <w:t xml:space="preserve"> [LEG-044] Plant Health (England) Order 2015 is marked revoked — identify the current GB plant-health legislation, then decide whether to repurpose or retire the record and whether the </w:t>
      </w:r>
      <w:r>
        <w:rPr>
          <w:rFonts w:ascii="Consolas" w:hAnsi="Consolas"/>
        </w:rPr>
        <w:t>Status</w:t>
      </w:r>
      <w:r>
        <w:rPr/>
        <w:t xml:space="preserve"> vocabulary needs a "Revoked" stem (queued as an </w:t>
      </w:r>
      <w:r>
        <w:rPr>
          <w:rFonts w:ascii="Consolas" w:hAnsi="Consolas"/>
        </w:rPr>
        <w:t>investigate</w:t>
      </w:r>
      <w:r>
        <w:rPr/>
        <w:t xml:space="preserve"> row; inbound from [ORG-020], [POL-033], [POL-034], [POL-052], [INT-L-023]). [LEG-003] and [LEG-049] have not yet been title-checked — the link gate will check them on its first run with network access. [LEG-021] links to bills.parliament.uk, which the gate does not read.</w:t>
      </w:r>
    </w:p>
    <w:p>
      <w:pPr>
        <w:tabs>
          <w:tab w:pos="454" w:val="left"/>
        </w:tabs>
        <w:spacing w:after="60"/>
        <w:ind w:left="454" w:hanging="454"/>
      </w:pPr>
      <w:r>
        <w:rPr/>
        <w:t>3.</w:t>
        <w:tab/>
      </w:r>
      <w:r>
        <w:rPr>
          <w:b/>
        </w:rPr>
        <w:t xml:space="preserve">Eight </w:t>
      </w:r>
      <w:r>
        <w:rPr>
          <w:rFonts w:ascii="Consolas" w:hAnsi="Consolas"/>
          <w:b/>
        </w:rPr>
        <w:t>investigate</w:t>
      </w:r>
      <w:r>
        <w:rPr>
          <w:b/>
        </w:rPr>
        <w:t xml:space="preserve"> rows remain open</w:t>
      </w:r>
      <w:r>
        <w:rPr/>
        <w:t xml:space="preserve"> — Land Use Framework 2026 vs [POL-009], SFI26 vs [POL-054], revised NPPF, Fisheries Act post-legislative assessment, biodiversity gain statements for NSIPs, the Interactive Story Map, JNCC Signpost Series, UKBI 2026 (below). Eight rows are </w:t>
      </w:r>
      <w:r>
        <w:rPr>
          <w:rFonts w:ascii="Consolas" w:hAnsi="Consolas"/>
        </w:rPr>
        <w:t>defer</w:t>
      </w:r>
      <w:r>
        <w:rPr/>
        <w:t>.</w:t>
      </w:r>
    </w:p>
    <w:p>
      <w:pPr>
        <w:pStyle w:val="Heading3"/>
      </w:pPr>
      <w:r>
        <w:rPr/>
        <w:t>Indicator decisions</w:t>
      </w:r>
    </w:p>
    <w:p>
      <w:pPr>
        <w:tabs>
          <w:tab w:pos="454" w:val="left"/>
        </w:tabs>
        <w:spacing w:after="60"/>
        <w:ind w:left="454" w:hanging="454"/>
      </w:pPr>
      <w:r>
        <w:rPr/>
        <w:t>4.</w:t>
        <w:tab/>
      </w:r>
      <w:r>
        <w:rPr>
          <w:b/>
        </w:rPr>
        <w:t xml:space="preserve">Two new </w:t>
      </w:r>
      <w:r>
        <w:rPr>
          <w:rFonts w:ascii="Consolas" w:hAnsi="Consolas"/>
          <w:b/>
        </w:rPr>
        <w:t>Indicator_Type</w:t>
      </w:r>
      <w:r>
        <w:rPr>
          <w:b/>
        </w:rPr>
        <w:t xml:space="preserve"> terms to confirm</w:t>
      </w:r>
      <w:r>
        <w:rPr/>
        <w:t xml:space="preserve"> — "Socio-economic statistic" (52 SDG rows) and "Hazard impact" (5). Free text, so not gated, but coined without approval.</w:t>
      </w:r>
    </w:p>
    <w:p>
      <w:pPr>
        <w:tabs>
          <w:tab w:pos="454" w:val="left"/>
        </w:tabs>
        <w:spacing w:after="60"/>
        <w:ind w:left="454" w:hanging="454"/>
      </w:pPr>
      <w:r>
        <w:rPr/>
        <w:t>5.</w:t>
        <w:tab/>
      </w:r>
      <w:r>
        <w:rPr>
          <w:rFonts w:ascii="Consolas" w:hAnsi="Consolas"/>
          <w:b/>
        </w:rPr>
        <w:t>GBF_Targets_Clean</w:t>
      </w:r>
      <w:r>
        <w:rPr>
          <w:b/>
        </w:rPr>
        <w:t xml:space="preserve"> is absent</w:t>
      </w:r>
      <w:r>
        <w:rPr/>
        <w:t xml:space="preserve"> from the SDG, SoN 2023 and MCCIP sheets — one mapping exercise for all three.</w:t>
      </w:r>
    </w:p>
    <w:p>
      <w:pPr>
        <w:tabs>
          <w:tab w:pos="454" w:val="left"/>
        </w:tabs>
        <w:spacing w:after="60"/>
        <w:ind w:left="454" w:hanging="454"/>
      </w:pPr>
      <w:r>
        <w:rPr/>
        <w:t>6.</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w:t>
      </w:r>
    </w:p>
    <w:p>
      <w:pPr>
        <w:tabs>
          <w:tab w:pos="454" w:val="left"/>
        </w:tabs>
        <w:spacing w:after="60"/>
        <w:ind w:left="454" w:hanging="454"/>
      </w:pPr>
      <w:r>
        <w:rPr/>
        <w:t>7.</w:t>
        <w:tab/>
      </w:r>
      <w:r>
        <w:rPr>
          <w:b/>
        </w:rPr>
        <w:t>[IFW-10] carries targets, not indicators</w:t>
      </w:r>
      <w:r>
        <w:rPr/>
        <w:t xml:space="preserve">, and </w:t>
      </w:r>
      <w:r>
        <w:rPr>
          <w:rFonts w:ascii="Consolas" w:hAnsi="Consolas"/>
        </w:rPr>
        <w:t>Data_Source</w:t>
      </w:r>
      <w:r>
        <w:rPr/>
        <w:t xml:space="preserve"> reads "to be confirmed" on all 38 rows. When the next CCC adaptation progress report publishes the indicators selected against those targets, revisit. Also check the objective count (20 captured, CCC states 21) before citing it.</w:t>
      </w:r>
    </w:p>
    <w:p>
      <w:pPr>
        <w:pStyle w:val="Heading3"/>
      </w:pPr>
      <w:r>
        <w:rPr/>
        <w:t>Coverage</w:t>
      </w:r>
    </w:p>
    <w:p>
      <w:pPr>
        <w:tabs>
          <w:tab w:pos="454" w:val="left"/>
        </w:tabs>
        <w:spacing w:after="60"/>
        <w:ind w:left="454" w:hanging="454"/>
      </w:pPr>
      <w:r>
        <w:rPr/>
        <w:t>8.</w:t>
        <w:tab/>
      </w:r>
      <w:r>
        <w:rPr>
          <w:b/>
        </w:rPr>
        <w:t>Next quarterly scan — due around early December 2026.</w:t>
      </w:r>
      <w:r>
        <w:rPr/>
        <w:t xml:space="preserve"> Its window starts on 2 September, the date of the last scan note, </w:t>
      </w:r>
      <w:r>
        <w:rPr>
          <w:b/>
        </w:rPr>
        <w:t>except for the sources the 2 September scan never covered</w:t>
      </w:r>
      <w:r>
        <w:rPr/>
        <w:t>, which start from that scan's own window opening, 6 July, so nothing is missed: gov.wales, DAERA, NatureScot, SEPA, NRW; the international bodies (CBD, IPBES, Ramsar, CMS, OSPAR, HELCOM, UNFCCC, EUR-Lex, EEA); UK statutory instruments; the Block 3 title sweep of operational items; forestresearch.gov.uk; 30by30 at sea. Already covered for 6 July – 2 September: ministerial statements, Defra, NE/EA/FC/MMO, JNCC, the record-bearing types for UKHSA/DESNZ/MHCLG/DfT/HMT, UK Public General Acts 2026, CCC, OEP; gov.scot via pointer pages only (</w:t>
      </w:r>
      <w:r>
        <w:rPr>
          <w:rFonts w:ascii="Consolas" w:hAnsi="Consolas"/>
        </w:rPr>
        <w:t>outputs_other/policy_scan_2026-09-02.md</w:t>
      </w:r>
      <w:r>
        <w:rPr/>
        <w:t xml:space="preserve">, final tables). </w:t>
      </w:r>
      <w:r>
        <w:rPr>
          <w:b/>
        </w:rPr>
        <w:t>Test the search filters before relying on them</w:t>
      </w:r>
      <w:r>
        <w:rPr/>
        <w:t xml:space="preserve"> (scan protocol §2.0). In September the gov.uk date/organisation filters were lost when called through the fetch tool, which dropped the query string and returned the whole corpus — a plausible-looking false result — but worked through a browser. gov.scot's publication search ignored its URL parameters by either route, so gov.scot is enumerated through its policy pointer pages. GitHub Copilot on Met Office systems may behave differently again: check that a filtered query returns a filtered result before counting a source as enumerated; </w:t>
      </w:r>
      <w:r>
        <w:rPr>
          <w:rFonts w:ascii="Consolas" w:hAnsi="Consolas"/>
        </w:rPr>
        <w:t>.atom</w:t>
      </w:r>
      <w:r>
        <w:rPr/>
        <w:t xml:space="preserve"> feeds and pointer pages are the fallback.</w:t>
      </w:r>
    </w:p>
    <w:p>
      <w:pPr>
        <w:tabs>
          <w:tab w:pos="454" w:val="left"/>
        </w:tabs>
        <w:spacing w:after="60"/>
        <w:ind w:left="454" w:hanging="454"/>
      </w:pPr>
      <w:r>
        <w:rPr/>
        <w:t>9.</w:t>
        <w:tab/>
      </w:r>
      <w:r>
        <w:rPr>
          <w:b/>
        </w:rPr>
        <w:t>Watch items.</w:t>
      </w:r>
      <w:r>
        <w:rPr/>
        <w:t xml:space="preserve"> JNCC UKBI 2026 ([IFW-03] still records UKBI 2025; usually an autumn release, so likely imminent); the Nature Recovery Strategy for Northern Ireland to 2032 (approved for adding, still a draft — write when adopted; queue Status </w:t>
      </w:r>
      <w:r>
        <w:rPr>
          <w:rFonts w:ascii="Consolas" w:hAnsi="Consolas"/>
        </w:rPr>
        <w:t>add</w:t>
      </w:r>
      <w:r>
        <w:rPr/>
        <w:t xml:space="preserve">); the Scottish and Welsh statutory target sets, which both 2026 Acts mandate and which will be </w:t>
      </w:r>
      <w:r>
        <w:rPr>
          <w:rFonts w:ascii="Consolas" w:hAnsi="Consolas"/>
        </w:rPr>
        <w:t>IFW</w:t>
      </w:r>
      <w:r>
        <w:rPr/>
        <w:t xml:space="preserve"> + </w:t>
      </w:r>
      <w:r>
        <w:rPr>
          <w:rFonts w:ascii="Consolas" w:hAnsi="Consolas"/>
        </w:rPr>
        <w:t>IND</w:t>
      </w:r>
      <w:r>
        <w:rPr/>
        <w:t xml:space="preserve"> candidates when published.</w:t>
      </w:r>
    </w:p>
    <w:p>
      <w:pPr>
        <w:pStyle w:val="Heading3"/>
      </w:pPr>
      <w:r>
        <w:rPr/>
        <w:t>Content and documentation</w:t>
      </w:r>
    </w:p>
    <w:p>
      <w:pPr>
        <w:tabs>
          <w:tab w:pos="454" w:val="left"/>
        </w:tabs>
        <w:spacing w:after="60"/>
        <w:ind w:left="454" w:hanging="454"/>
      </w:pPr>
      <w:r>
        <w:rPr/>
        <w:t>10.</w:t>
        <w:tab/>
      </w:r>
      <w:r>
        <w:rPr>
          <w:b/>
        </w:rPr>
        <w:t>Install and test the GitHub Copilot configuration</w:t>
      </w:r>
      <w:r>
        <w:rPr/>
        <w:t xml:space="preserve"> (§6.1, root </w:t>
      </w:r>
      <w:r>
        <w:rPr>
          <w:rFonts w:ascii="Consolas" w:hAnsi="Consolas"/>
        </w:rPr>
        <w:t>README.md</w:t>
      </w:r>
      <w:r>
        <w:rPr/>
        <w:t>). Nothing has yet run in VS Code; the tool-set names and handoff syntax are from documentation only.</w:t>
      </w:r>
    </w:p>
    <w:p>
      <w:pPr>
        <w:tabs>
          <w:tab w:pos="454" w:val="left"/>
        </w:tabs>
        <w:spacing w:after="60"/>
        <w:ind w:left="454" w:hanging="454"/>
      </w:pPr>
      <w:r>
        <w:rPr/>
        <w:t>11.</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12.</w:t>
        <w:tab/>
      </w:r>
      <w:r>
        <w:rPr>
          <w:b/>
        </w:rPr>
        <w:t>Dashboard user guide unwritten</w:t>
      </w:r>
      <w:r>
        <w:rPr/>
        <w:t xml:space="preserve"> — what each dashboard shows, data vintage, search, deep-link and export. The in-page Help modals partly cover it.</w:t>
      </w:r>
    </w:p>
    <w:p>
      <w:pPr>
        <w:tabs>
          <w:tab w:pos="454" w:val="left"/>
        </w:tabs>
        <w:spacing w:after="60"/>
        <w:ind w:left="454" w:hanging="454"/>
      </w:pPr>
      <w:r>
        <w:rPr/>
        <w:t>13.</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 Only </w:t>
      </w:r>
      <w:r>
        <w:rPr>
          <w:rFonts w:ascii="Consolas" w:hAnsi="Consolas"/>
        </w:rPr>
        <w:t>config_dailysun.yaml</w:t>
      </w:r>
      <w:r>
        <w:rPr/>
        <w:t xml:space="preserve"> and </w:t>
      </w:r>
      <w:r>
        <w:rPr>
          <w:rFonts w:ascii="Consolas" w:hAnsi="Consolas"/>
        </w:rPr>
        <w:t>config_ocean_heatwaves.yaml</w:t>
      </w:r>
      <w:r>
        <w:rPr/>
        <w:t xml:space="preserve"> exist.</w:t>
      </w:r>
    </w:p>
    <w:p>
      <w:pPr>
        <w:tabs>
          <w:tab w:pos="454" w:val="left"/>
        </w:tabs>
        <w:spacing w:after="60"/>
        <w:ind w:left="454" w:hanging="454"/>
      </w:pPr>
      <w:r>
        <w:rPr/>
        <w:t>14.</w:t>
        <w:tab/>
      </w:r>
      <w:r>
        <w:rPr>
          <w:b/>
        </w:rPr>
        <w:t>CHECK-row judgement calls</w:t>
      </w:r>
      <w:r>
        <w:rPr/>
        <w:t xml:space="preserve"> left from the orphan-code promotion (</w:t>
      </w:r>
      <w:r>
        <w:rPr>
          <w:rFonts w:ascii="Consolas" w:hAnsi="Consolas"/>
        </w:rPr>
        <w:t>outputs_other/ORPHAN_CODES_promotion_analysis.md</w:t>
      </w:r>
      <w:r>
        <w:rPr/>
        <w:t>).</w:t>
      </w:r>
    </w:p>
    <w:p>
      <w:pPr>
        <w:pStyle w:val="Heading3"/>
      </w:pPr>
      <w:r>
        <w:rPr/>
        <w:t>Housekeeping</w:t>
      </w:r>
    </w:p>
    <w:p>
      <w:pPr>
        <w:tabs>
          <w:tab w:pos="454" w:val="left"/>
        </w:tabs>
        <w:spacing w:after="60"/>
        <w:ind w:left="454" w:hanging="454"/>
      </w:pPr>
      <w:r>
        <w:rPr/>
        <w:t>15.</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 and the data again on 28 September.</w:t>
      </w:r>
    </w:p>
    <w:p>
      <w:pPr>
        <w:tabs>
          <w:tab w:pos="454" w:val="left"/>
        </w:tabs>
        <w:spacing w:after="60"/>
        <w:ind w:left="454" w:hanging="454"/>
      </w:pPr>
      <w:r>
        <w:rPr/>
        <w:t>16.</w:t>
        <w:tab/>
      </w:r>
      <w:r>
        <w:rPr>
          <w:b/>
        </w:rPr>
        <w:t xml:space="preserve">The governance diagram's detail panel is </w:t>
      </w:r>
      <w:r>
        <w:rPr>
          <w:rFonts w:ascii="Consolas" w:hAnsi="Consolas"/>
          <w:b/>
        </w:rPr>
        <w:t>clamp(118px, 20vh, 200px)</w:t>
      </w:r>
      <w:r>
        <w:rPr>
          <w:b/>
        </w:rPr>
        <w:t xml:space="preserve"> tall.</w:t>
      </w:r>
      <w:r>
        <w:rPr/>
        <w:t xml:space="preserve"> The longest framework </w:t>
      </w:r>
      <w:r>
        <w:rPr>
          <w:rFonts w:ascii="Consolas" w:hAnsi="Consolas"/>
        </w:rPr>
        <w:t>Policy_Purpose</w:t>
      </w:r>
      <w:r>
        <w:rPr/>
        <w:t xml:space="preserve"> now runs to 1,343 characters and scrolls. One CSS line in the </w:t>
      </w:r>
      <w:r>
        <w:rPr>
          <w:rFonts w:ascii="Consolas" w:hAnsi="Consolas"/>
        </w:rPr>
        <w:t>TEMPLATE</w:t>
      </w:r>
      <w:r>
        <w:rPr/>
        <w:t xml:space="preserve"> string of </w:t>
      </w:r>
      <w:r>
        <w:rPr>
          <w:rFonts w:ascii="Consolas" w:hAnsi="Consolas"/>
        </w:rPr>
        <w:t>build_governance_diagram.py</w:t>
      </w:r>
      <w:r>
        <w:rPr/>
        <w:t xml:space="preserve"> (not the HTML).</w:t>
      </w:r>
    </w:p>
    <w:p>
      <w:pPr>
        <w:tabs>
          <w:tab w:pos="454" w:val="left"/>
        </w:tabs>
        <w:spacing w:after="60"/>
        <w:ind w:left="454" w:hanging="454"/>
      </w:pPr>
      <w:r>
        <w:rPr/>
        <w:t>17.</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confirm whether its deletion from the global framework is the reason.</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Silent join failures in the finder.</w:t>
      </w:r>
      <w:r>
        <w:rPr/>
        <w:t xml:space="preserve"> Policy context is now derived from the register, which removed the hardcoded </w:t>
      </w:r>
      <w:r>
        <w:rPr>
          <w:rFonts w:ascii="Consolas" w:hAnsi="Consolas"/>
        </w:rPr>
        <w:t>FRAMEWORK_CTX</w:t>
      </w:r>
      <w:r>
        <w:rPr/>
        <w:t xml:space="preserve"> risk, but it moved the fragility to the </w:t>
      </w:r>
      <w:r>
        <w:rPr>
          <w:rFonts w:ascii="Consolas" w:hAnsi="Consolas"/>
        </w:rPr>
        <w:t>Source_Framework</w:t>
      </w:r>
      <w:r>
        <w:rPr/>
        <w:t xml:space="preserve"> join: a renamed framework or a new sheet whose rows do not match their register row renders with an empty policy-context panel. The builder warns and names the offending values, but a warning does not stop </w:t>
      </w:r>
      <w:r>
        <w:rPr>
          <w:rFonts w:ascii="Consolas" w:hAnsi="Consolas"/>
        </w:rPr>
        <w:t>finalise.py</w:t>
      </w:r>
      <w:r>
        <w:rPr/>
        <w:t xml:space="preserve">. Read the build output after any change to the </w:t>
      </w:r>
      <w:r>
        <w:rPr>
          <w:rFonts w:ascii="Consolas" w:hAnsi="Consolas"/>
        </w:rPr>
        <w:t>Indicator Framework</w:t>
      </w:r>
      <w:r>
        <w:rPr/>
        <w:t xml:space="preserve"> sheet or to </w:t>
      </w:r>
      <w:r>
        <w:rPr>
          <w:rFonts w:ascii="Consolas" w:hAnsi="Consolas"/>
        </w:rPr>
        <w:t>Source_Framework</w:t>
      </w:r>
      <w:r>
        <w:rPr/>
        <w:t xml:space="preserve"> values; promoting the warning to a build failure would close this.</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xml:space="preserve">, but the scan is manual and depends on someone remembering; §8 of the scan protocol says what scheduling it would take. </w:t>
      </w:r>
      <w:r>
        <w:rPr>
          <w:b/>
        </w:rPr>
        <w:t>An approved queue is not a written one:</w:t>
      </w:r>
      <w:r>
        <w:rPr/>
        <w:t xml:space="preserve"> rows at </w:t>
      </w:r>
      <w:r>
        <w:rPr>
          <w:rFonts w:ascii="Consolas" w:hAnsi="Consolas"/>
        </w:rPr>
        <w:t>add</w:t>
      </w:r>
      <w:r>
        <w:rPr/>
        <w:t xml:space="preserve"> in the queue are invisible to every gate.</w:t>
      </w:r>
    </w:p>
    <w:p>
      <w:pPr>
        <w:tabs>
          <w:tab w:pos="454" w:val="left"/>
        </w:tabs>
        <w:spacing w:after="60"/>
        <w:ind w:left="454" w:hanging="454"/>
      </w:pPr>
      <w:r>
        <w:rPr/>
        <w:t>3.</w:t>
        <w:tab/>
      </w:r>
      <w:r>
        <w:rPr>
          <w:b/>
        </w:rPr>
        <w:t>Documentation drift.</w:t>
      </w:r>
      <w:r>
        <w:rPr/>
        <w:t xml:space="preserve"> A protocol or guide referencing tooling, counts or conventions that no longer hold causes bad edits, because a diligent reader assumes it is current. It recurs whenever code or workbooks change without the documents being re-checked; §6.1 lists which configuration files to re-check.</w:t>
      </w:r>
    </w:p>
    <w:p>
      <w:pPr>
        <w:pBdr>
          <w:bottom w:val="single" w:sz="6" w:space="1" w:color="A0A8AD"/>
        </w:pBdr>
      </w:pPr>
    </w:p>
    <w:p>
      <w:pPr>
        <w:pStyle w:val="Heading2"/>
      </w:pPr>
      <w:r>
        <w:rPr/>
        <w:t>Self-review (6 October 2026)</w:t>
      </w:r>
    </w:p>
    <w:p>
      <w:r>
        <w:rPr>
          <w:b/>
        </w:rPr>
        <w:t>Verified on 6 October against the live files:</w:t>
      </w:r>
      <w:r>
        <w:rPr/>
        <w:t xml:space="preserve"> workbook versions (</w:t>
      </w:r>
      <w:r>
        <w:rPr>
          <w:rFonts w:ascii="Consolas" w:hAnsi="Consolas"/>
        </w:rPr>
        <w:t>Changelog!B2</w:t>
      </w:r>
      <w:r>
        <w:rPr/>
        <w:t xml:space="preserve">); record counts per sheet (Record_ID and Indicator_Name both non-empty: 985; naive count 989); eleven register rows; Climate_Score distribution; ORG/LEG/POL counts and highest IDs; </w:t>
      </w:r>
      <w:r>
        <w:rPr>
          <w:rFonts w:ascii="Consolas" w:hAnsi="Consolas"/>
        </w:rPr>
        <w:t>check_links.py</w:t>
      </w:r>
      <w:r>
        <w:rPr/>
        <w:t xml:space="preserve"> run clean (registry 1,186 after v29, six invariants pass); </w:t>
      </w:r>
      <w:r>
        <w:rPr>
          <w:rFonts w:ascii="Consolas" w:hAnsi="Consolas"/>
        </w:rPr>
        <w:t>finalise.py</w:t>
      </w:r>
      <w:r>
        <w:rPr/>
        <w:t xml:space="preserve"> step order; diagram node, edge and key-instrument edge counts from the built HTML; finder footer; lookup-sheet code counts and the SDG-11.c gap; indicator ID prefixes; </w:t>
      </w:r>
      <w:r>
        <w:rPr>
          <w:rFonts w:ascii="Consolas" w:hAnsi="Consolas"/>
        </w:rPr>
        <w:t>orphan_codes.py</w:t>
      </w:r>
      <w:r>
        <w:rPr/>
        <w:t xml:space="preserve"> output location; queue statuses, and absence from the workbooks of every </w:t>
      </w:r>
      <w:r>
        <w:rPr>
          <w:rFonts w:ascii="Consolas" w:hAnsi="Consolas"/>
        </w:rPr>
        <w:t>add</w:t>
      </w:r>
      <w:r>
        <w:rPr/>
        <w:t xml:space="preserve"> row approved on 10–11 September; the "Operational service / System" term missing from the Data Dictionary; which completed configs exist; stale counts in the root README and the GitHub Copilot configuration (corrected 6 October; §6.1).</w:t>
      </w:r>
    </w:p>
    <w:p>
      <w:r>
        <w:rPr>
          <w:b/>
        </w:rPr>
        <w:t>Inherited, not re-checked:</w:t>
      </w:r>
      <w:r>
        <w:rPr/>
        <w:t xml:space="preserve"> "676 of 947" enriched export records (§4; predates v23); the ~200 prose-only SDG records; the MCCIP topic structure and the scan-coverage tables, taken from the scan note and queue rather than re-enumerated; the next-scan date, which assumes the quarterly cadence. Confidence: high on the verified items, medium on the inherited ones.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79a75413b0bb0d8c75652139b14563d6babddb50320b6a3ad6a3fb494795969f</dc:description>
  <cp:lastModifiedBy/>
  <cp:revision>1</cp:revision>
  <dcterms:created xsi:type="dcterms:W3CDTF">2013-12-23T23:15:00Z</dcterms:created>
  <dcterms:modified xsi:type="dcterms:W3CDTF">2013-12-23T23:15:00Z</dcterms:modified>
  <cp:category/>
</cp:coreProperties>
</file>