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0"/>
      </w:tblGrid>
      <w:tr w:rsidR="006A7B15" w14:paraId="7C31F29A" w14:textId="77777777">
        <w:tc>
          <w:tcPr>
            <w:tcW w:w="14400" w:type="dxa"/>
            <w:shd w:val="clear" w:color="auto" w:fill="0B556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C07132" w14:textId="77777777" w:rsidR="006A7B15" w:rsidRDefault="00000000">
            <w:pPr>
              <w:spacing w:after="40"/>
            </w:pPr>
            <w:r>
              <w:rPr>
                <w:rFonts w:cs="Arial"/>
                <w:b/>
                <w:color w:val="FFFFFF"/>
                <w:sz w:val="30"/>
              </w:rPr>
              <w:t>Met Office plant pest, pathogen &amp; biosecurity research</w:t>
            </w:r>
          </w:p>
          <w:p w14:paraId="62C35F75" w14:textId="77777777" w:rsidR="006A7B15" w:rsidRDefault="00000000">
            <w:pPr>
              <w:spacing w:after="0"/>
            </w:pPr>
            <w:r>
              <w:rPr>
                <w:rFonts w:cs="Arial"/>
                <w:color w:val="D6E6E9"/>
              </w:rPr>
              <w:t>Relevance to UK climate – nature policy activities  ·  Assessment  ·  Prepared June 2026</w:t>
            </w:r>
          </w:p>
        </w:tc>
      </w:tr>
    </w:tbl>
    <w:p w14:paraId="2334FBC1" w14:textId="77777777" w:rsidR="006A7B15" w:rsidRDefault="006A7B15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0"/>
      </w:tblGrid>
      <w:tr w:rsidR="006A7B15" w14:paraId="59D5E323" w14:textId="77777777">
        <w:tc>
          <w:tcPr>
            <w:tcW w:w="14400" w:type="dxa"/>
            <w:tcBorders>
              <w:top w:val="single" w:sz="4" w:space="0" w:color="0B5563"/>
              <w:left w:val="single" w:sz="24" w:space="0" w:color="0B5563"/>
              <w:bottom w:val="single" w:sz="4" w:space="0" w:color="0B5563"/>
              <w:right w:val="single" w:sz="4" w:space="0" w:color="0B5563"/>
            </w:tcBorders>
            <w:shd w:val="clear" w:color="auto" w:fill="EAF2F3"/>
            <w:tcMar>
              <w:top w:w="140" w:type="dxa"/>
              <w:left w:w="200" w:type="dxa"/>
              <w:bottom w:w="120" w:type="dxa"/>
              <w:right w:w="200" w:type="dxa"/>
            </w:tcMar>
          </w:tcPr>
          <w:p w14:paraId="42AACDB1" w14:textId="77777777" w:rsidR="006A7B15" w:rsidRDefault="00000000">
            <w:pPr>
              <w:spacing w:after="60"/>
            </w:pPr>
            <w:r>
              <w:rPr>
                <w:rFonts w:cs="Arial"/>
                <w:b/>
                <w:color w:val="08414C"/>
                <w:sz w:val="22"/>
              </w:rPr>
              <w:t>Key points</w:t>
            </w:r>
          </w:p>
          <w:p w14:paraId="2DA1CA15" w14:textId="77777777" w:rsidR="006A7B15" w:rsidRDefault="00000000">
            <w:pPr>
              <w:pStyle w:val="ListBullet"/>
              <w:spacing w:after="60"/>
              <w:ind w:left="220" w:hanging="150"/>
            </w:pPr>
            <w:r>
              <w:rPr>
                <w:rFonts w:cs="Arial"/>
              </w:rPr>
              <w:t xml:space="preserve">The Met Office runs the Defra-funded </w:t>
            </w:r>
            <w:r>
              <w:rPr>
                <w:rFonts w:cs="Arial"/>
                <w:b/>
              </w:rPr>
              <w:t>Climate and Plant Biosecurity Climate Service</w:t>
            </w:r>
            <w:r>
              <w:rPr>
                <w:rFonts w:cs="Arial"/>
              </w:rPr>
              <w:t xml:space="preserve">. Its degree-day </w:t>
            </w:r>
            <w:r>
              <w:rPr>
                <w:rFonts w:cs="Arial"/>
                <w:b/>
              </w:rPr>
              <w:t>Climate-Pest Risk web tool</w:t>
            </w:r>
            <w:r>
              <w:rPr>
                <w:rFonts w:cs="Arial"/>
              </w:rPr>
              <w:t xml:space="preserve"> and forest-microclimate work feed Defra / APHA surveillance, contingency planning and the GB Plant Health Risk Register — the clearest, documented research-to-policy route.</w:t>
            </w:r>
          </w:p>
          <w:p w14:paraId="32D245BF" w14:textId="77777777" w:rsidR="006A7B15" w:rsidRDefault="00000000">
            <w:pPr>
              <w:pStyle w:val="ListBullet"/>
              <w:spacing w:after="60"/>
              <w:ind w:left="220" w:hanging="150"/>
            </w:pPr>
            <w:r>
              <w:rPr>
                <w:rFonts w:cs="Arial"/>
                <w:b/>
              </w:rPr>
              <w:t>Currently informed:</w:t>
            </w:r>
            <w:r>
              <w:rPr>
                <w:rFonts w:cs="Arial"/>
              </w:rPr>
              <w:t xml:space="preserve"> Plant Biosecurity Strategy for GB 2023–28, the GB Plant Health Risk Register and contingency / outbreak response, the Tree Health Resilience Strategy, the tree-health component of the England Trees Action Plan, and CCRA3 — all already draw on MO climate-pest outputs.</w:t>
            </w:r>
          </w:p>
          <w:p w14:paraId="47CA7A1E" w14:textId="77777777" w:rsidR="006A7B15" w:rsidRDefault="00000000">
            <w:pPr>
              <w:pStyle w:val="ListBullet"/>
              <w:spacing w:after="60"/>
              <w:ind w:left="220" w:hanging="150"/>
            </w:pPr>
            <w:r>
              <w:rPr>
                <w:rFonts w:cs="Arial"/>
                <w:b/>
              </w:rPr>
              <w:t>Opportunities to inform (not yet realised):</w:t>
            </w:r>
            <w:r>
              <w:rPr>
                <w:rFonts w:cs="Arial"/>
              </w:rPr>
              <w:t xml:space="preserve"> CCRA4 / NAP4 (2026–27, the highest-value entry point); EIP 2025 and NBSAP 2025 invasive-species commitments; NCEA woodland-condition attribution; ELM, Woodland Carbon Code permanence and Land Use Framework siting; routing pest science through UKNCSP / the NAP Biodiversity &amp; Ecosystems Working Group; and targeting Observatree surveillance with MO climate-suitability maps.</w:t>
            </w:r>
          </w:p>
          <w:p w14:paraId="3DBBA08C" w14:textId="77777777" w:rsidR="006A7B15" w:rsidRDefault="00000000">
            <w:pPr>
              <w:pStyle w:val="ListBullet"/>
              <w:spacing w:after="60"/>
              <w:ind w:left="220" w:hanging="150"/>
            </w:pPr>
            <w:r>
              <w:rPr>
                <w:rFonts w:cs="Arial"/>
                <w:b/>
              </w:rPr>
              <w:t>Six policy indicators</w:t>
            </w:r>
            <w:r>
              <w:rPr>
                <w:rFonts w:cs="Arial"/>
              </w:rPr>
              <w:t xml:space="preserve"> are clearly informed (or informable) by MO work — invasive non-native species distribution and establishment (EIF, CCC, JNCC), crop / livestock pest and disease incidence (CCC), and the Spring Index phenology indicator (JNCC). See table before Methods.</w:t>
            </w:r>
          </w:p>
          <w:p w14:paraId="620AF7EB" w14:textId="77777777" w:rsidR="006A7B15" w:rsidRDefault="00000000">
            <w:pPr>
              <w:pStyle w:val="ListBullet"/>
              <w:spacing w:after="60"/>
              <w:ind w:left="220" w:hanging="150"/>
            </w:pPr>
            <w:r>
              <w:rPr>
                <w:rFonts w:cs="Arial"/>
                <w:b/>
              </w:rPr>
              <w:t>Caveats:</w:t>
            </w:r>
            <w:r>
              <w:rPr>
                <w:rFonts w:cs="Arial"/>
              </w:rPr>
              <w:t xml:space="preserve"> the governance workbook holds no records for the risk register, contingency plans or Observatree; the carbon / biomass / land-use links are credible but not yet documented.</w:t>
            </w:r>
          </w:p>
        </w:tc>
      </w:tr>
    </w:tbl>
    <w:p w14:paraId="7D779DB6" w14:textId="77777777" w:rsidR="006A7B15" w:rsidRDefault="006A7B15">
      <w:pPr>
        <w:spacing w:after="80"/>
      </w:pPr>
    </w:p>
    <w:p w14:paraId="70EA53D0" w14:textId="77777777" w:rsidR="006A7B15" w:rsidRDefault="00000000">
      <w:pPr>
        <w:spacing w:before="220" w:after="120"/>
      </w:pPr>
      <w:r>
        <w:rPr>
          <w:rFonts w:cs="Arial"/>
          <w:b/>
          <w:color w:val="08414C"/>
          <w:sz w:val="26"/>
        </w:rPr>
        <w:t>Summary of relevant Met Office research</w:t>
      </w:r>
    </w:p>
    <w:p w14:paraId="689E46C6" w14:textId="77777777" w:rsidR="006A7B15" w:rsidRDefault="00000000">
      <w:pPr>
        <w:spacing w:after="120"/>
      </w:pPr>
      <w:r>
        <w:rPr>
          <w:rFonts w:cs="Arial"/>
          <w:sz w:val="17"/>
        </w:rPr>
        <w:t xml:space="preserve">The relevant Met Office (MO) work clusters around the </w:t>
      </w:r>
      <w:r>
        <w:rPr>
          <w:rFonts w:cs="Arial"/>
          <w:b/>
          <w:sz w:val="17"/>
        </w:rPr>
        <w:t>Vegetation–Climate Interactions team</w:t>
      </w:r>
      <w:r>
        <w:rPr>
          <w:rFonts w:cs="Arial"/>
          <w:sz w:val="17"/>
        </w:rPr>
        <w:t xml:space="preserve"> and the Defra-funded </w:t>
      </w:r>
      <w:r>
        <w:rPr>
          <w:rFonts w:cs="Arial"/>
          <w:b/>
          <w:sz w:val="17"/>
        </w:rPr>
        <w:t>Climate and Plant Biosecurity Climate Service</w:t>
      </w:r>
      <w:r>
        <w:rPr>
          <w:rFonts w:cs="Arial"/>
          <w:sz w:val="17"/>
        </w:rPr>
        <w:t xml:space="preserve"> (MO Hadley Centre with Defra’s Plant Health Risk and Horizon Scanning team, University of Exeter, Fera Science, University of Warwick, Forest Research and Kew). Its core outputs are summarised below.</w:t>
      </w:r>
    </w:p>
    <w:p w14:paraId="1B0E0FA5" w14:textId="77777777" w:rsidR="006A7B15" w:rsidRDefault="00000000">
      <w:pPr>
        <w:pStyle w:val="ListBullet"/>
        <w:spacing w:after="80"/>
      </w:pPr>
      <w:hyperlink r:id="rId8">
        <w:r>
          <w:rPr>
            <w:rFonts w:cs="Arial"/>
            <w:b/>
            <w:color w:val="10497A"/>
            <w:sz w:val="17"/>
            <w:u w:val="single"/>
          </w:rPr>
          <w:t>UK Climate-Pest Risk web tool</w:t>
        </w:r>
      </w:hyperlink>
      <w:r>
        <w:rPr>
          <w:rFonts w:cs="Arial"/>
          <w:sz w:val="17"/>
        </w:rPr>
        <w:t xml:space="preserve"> — maps accumulated day-degrees above a base temperature (default 10°C) to indicate where and when climate is suitable for pest development and emergence across the UK, for predefined quarantine pests (Oak Processionary Moth, Asian longhorn beetle, </w:t>
      </w:r>
      <w:r>
        <w:rPr>
          <w:rFonts w:cs="Arial"/>
          <w:i/>
          <w:sz w:val="17"/>
        </w:rPr>
        <w:t>Popillia japonica</w:t>
      </w:r>
      <w:r>
        <w:rPr>
          <w:rFonts w:cs="Arial"/>
          <w:sz w:val="17"/>
        </w:rPr>
        <w:t>, Colorado potato beetle, brown marmorated stink bug) plus user-defined thresholds.</w:t>
      </w:r>
    </w:p>
    <w:p w14:paraId="057AEE22" w14:textId="77777777" w:rsidR="006A7B15" w:rsidRDefault="00000000">
      <w:pPr>
        <w:pStyle w:val="ListBullet"/>
        <w:spacing w:after="80"/>
      </w:pPr>
      <w:r>
        <w:rPr>
          <w:rFonts w:cs="Arial"/>
          <w:b/>
          <w:sz w:val="17"/>
        </w:rPr>
        <w:t>Microclimate model development and validation</w:t>
      </w:r>
      <w:r>
        <w:rPr>
          <w:rFonts w:cs="Arial"/>
          <w:sz w:val="17"/>
        </w:rPr>
        <w:t xml:space="preserve"> — a February 2024 campaign (MO, Exeter, Forest Research, Kew) installed sensors monitoring temperature within woodlands and inside tree trunks at five southern-England sites to improve modelling of pest/pathogen microclimates and biosecurity risk estimates.</w:t>
      </w:r>
    </w:p>
    <w:p w14:paraId="580E42E0" w14:textId="77777777" w:rsidR="006A7B15" w:rsidRDefault="00000000">
      <w:pPr>
        <w:pStyle w:val="ListBullet"/>
        <w:spacing w:after="80"/>
      </w:pPr>
      <w:r>
        <w:rPr>
          <w:rFonts w:cs="Arial"/>
          <w:b/>
          <w:sz w:val="17"/>
        </w:rPr>
        <w:t>Pest phenology and establishment modelling</w:t>
      </w:r>
      <w:r>
        <w:rPr>
          <w:rFonts w:cs="Arial"/>
          <w:sz w:val="17"/>
        </w:rPr>
        <w:t xml:space="preserve"> — peach-potato aphid early-flight risk (Hemming et al. 2022), </w:t>
      </w:r>
      <w:r>
        <w:rPr>
          <w:rFonts w:cs="Arial"/>
          <w:i/>
          <w:sz w:val="17"/>
        </w:rPr>
        <w:t>Bemisia tabaci</w:t>
      </w:r>
      <w:r>
        <w:rPr>
          <w:rFonts w:cs="Arial"/>
          <w:sz w:val="17"/>
        </w:rPr>
        <w:t xml:space="preserve"> UK-establishment limits under climate change (Bradshaw et al. 2019), wheat stem-rust transmission pathways (Bradshaw et al. 2024), Fall Armyworm climate suitability (Urhausen et al. 2024).</w:t>
      </w:r>
    </w:p>
    <w:p w14:paraId="362871E1" w14:textId="77777777" w:rsidR="006A7B15" w:rsidRDefault="00000000">
      <w:pPr>
        <w:pStyle w:val="ListBullet"/>
        <w:spacing w:after="80"/>
      </w:pPr>
      <w:r>
        <w:rPr>
          <w:rFonts w:cs="Arial"/>
          <w:b/>
          <w:sz w:val="17"/>
        </w:rPr>
        <w:t>Foundational review</w:t>
      </w:r>
      <w:r>
        <w:rPr>
          <w:rFonts w:cs="Arial"/>
          <w:sz w:val="17"/>
        </w:rPr>
        <w:t xml:space="preserve"> — Hemming &amp; Macneill (2020), </w:t>
      </w:r>
      <w:r>
        <w:rPr>
          <w:rFonts w:cs="Arial"/>
          <w:i/>
          <w:sz w:val="17"/>
        </w:rPr>
        <w:t>Use of meteorological data in biosecurity</w:t>
      </w:r>
      <w:r>
        <w:rPr>
          <w:rFonts w:cs="Arial"/>
          <w:sz w:val="17"/>
        </w:rPr>
        <w:t>, sets out how met and climate data feed pest risk, surveillance and response.</w:t>
      </w:r>
    </w:p>
    <w:p w14:paraId="48A58ACC" w14:textId="77777777" w:rsidR="006A7B15" w:rsidRDefault="00000000">
      <w:pPr>
        <w:spacing w:after="120"/>
      </w:pPr>
      <w:r>
        <w:rPr>
          <w:rFonts w:cs="Arial"/>
          <w:sz w:val="17"/>
        </w:rPr>
        <w:t>Defra partners with the Met Office to provide predicted pest emergence dates to aid outbreak responses — the clearest research-to-policy channel.</w:t>
      </w:r>
    </w:p>
    <w:p w14:paraId="11CA8795" w14:textId="77777777" w:rsidR="006A7B15" w:rsidRDefault="00000000">
      <w:pPr>
        <w:spacing w:before="220" w:after="120"/>
      </w:pPr>
      <w:r>
        <w:rPr>
          <w:rFonts w:cs="Arial"/>
          <w:b/>
          <w:color w:val="08414C"/>
          <w:sz w:val="26"/>
        </w:rPr>
        <w:t>Policy activities, relevance scores and rationale</w:t>
      </w:r>
    </w:p>
    <w:p w14:paraId="21C01FF2" w14:textId="77777777" w:rsidR="006A7B15" w:rsidRDefault="00000000">
      <w:pPr>
        <w:spacing w:after="120"/>
      </w:pPr>
      <w:r>
        <w:rPr>
          <w:rFonts w:cs="Arial"/>
          <w:sz w:val="17"/>
        </w:rPr>
        <w:t xml:space="preserve">Two independent axes. </w:t>
      </w:r>
      <w:r>
        <w:rPr>
          <w:rFonts w:cs="Arial"/>
          <w:b/>
          <w:sz w:val="17"/>
        </w:rPr>
        <w:t>Relevance</w:t>
      </w:r>
      <w:r>
        <w:rPr>
          <w:rFonts w:cs="Arial"/>
          <w:sz w:val="17"/>
        </w:rPr>
        <w:t xml:space="preserve"> (materiality of MO science to the policy): </w:t>
      </w:r>
      <w:r>
        <w:rPr>
          <w:rFonts w:cs="Arial"/>
          <w:b/>
          <w:sz w:val="17"/>
        </w:rPr>
        <w:t>3 High</w:t>
      </w:r>
      <w:r>
        <w:rPr>
          <w:rFonts w:cs="Arial"/>
          <w:sz w:val="17"/>
        </w:rPr>
        <w:t xml:space="preserve"> = a direct, often named evidence input; </w:t>
      </w:r>
      <w:r>
        <w:rPr>
          <w:rFonts w:cs="Arial"/>
          <w:b/>
          <w:sz w:val="17"/>
        </w:rPr>
        <w:t>2 Medium</w:t>
      </w:r>
      <w:r>
        <w:rPr>
          <w:rFonts w:cs="Arial"/>
          <w:sz w:val="17"/>
        </w:rPr>
        <w:t xml:space="preserve"> = informs a defined risk or evidence component; </w:t>
      </w:r>
      <w:r>
        <w:rPr>
          <w:rFonts w:cs="Arial"/>
          <w:b/>
          <w:sz w:val="17"/>
        </w:rPr>
        <w:t>1 Low</w:t>
      </w:r>
      <w:r>
        <w:rPr>
          <w:rFonts w:cs="Arial"/>
          <w:sz w:val="17"/>
        </w:rPr>
        <w:t xml:space="preserve"> = indirect dependency — shown by row colour. </w:t>
      </w:r>
      <w:r>
        <w:rPr>
          <w:rFonts w:cs="Arial"/>
          <w:b/>
          <w:sz w:val="17"/>
        </w:rPr>
        <w:t>Status</w:t>
      </w:r>
      <w:r>
        <w:rPr>
          <w:rFonts w:cs="Arial"/>
          <w:sz w:val="17"/>
        </w:rPr>
        <w:t>: Current = MO science already informs the activity (documented); Opportunity = a credible but not-yet-realised use. Items marked † are activities not yet held as records in the workbook. Policy names are clickable links to the source page.</w:t>
      </w: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3100"/>
        <w:gridCol w:w="1300"/>
        <w:gridCol w:w="1400"/>
        <w:gridCol w:w="7700"/>
      </w:tblGrid>
      <w:tr w:rsidR="006A7B15" w14:paraId="49AA44BF" w14:textId="77777777">
        <w:trPr>
          <w:tblHeader/>
        </w:trPr>
        <w:tc>
          <w:tcPr>
            <w:tcW w:w="9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963EF5" w14:textId="77777777" w:rsidR="006A7B15" w:rsidRDefault="00000000">
            <w:pPr>
              <w:spacing w:after="0"/>
            </w:pPr>
            <w:r>
              <w:rPr>
                <w:rFonts w:cs="Arial"/>
                <w:b/>
                <w:color w:val="FFFFFF"/>
                <w:sz w:val="17"/>
              </w:rPr>
              <w:t>Ref</w:t>
            </w:r>
          </w:p>
        </w:tc>
        <w:tc>
          <w:tcPr>
            <w:tcW w:w="31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FA381D" w14:textId="77777777" w:rsidR="006A7B15" w:rsidRDefault="00000000">
            <w:pPr>
              <w:spacing w:after="0"/>
            </w:pPr>
            <w:r>
              <w:rPr>
                <w:rFonts w:cs="Arial"/>
                <w:b/>
                <w:color w:val="FFFFFF"/>
                <w:sz w:val="17"/>
              </w:rPr>
              <w:t>Policy activity</w:t>
            </w:r>
          </w:p>
        </w:tc>
        <w:tc>
          <w:tcPr>
            <w:tcW w:w="13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4774B8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Relevance</w:t>
            </w:r>
          </w:p>
        </w:tc>
        <w:tc>
          <w:tcPr>
            <w:tcW w:w="14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559BEC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Status</w:t>
            </w:r>
          </w:p>
        </w:tc>
        <w:tc>
          <w:tcPr>
            <w:tcW w:w="77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4B87ED" w14:textId="77777777" w:rsidR="006A7B15" w:rsidRDefault="00000000">
            <w:pPr>
              <w:spacing w:after="0"/>
            </w:pPr>
            <w:r>
              <w:rPr>
                <w:rFonts w:cs="Arial"/>
                <w:b/>
                <w:color w:val="FFFFFF"/>
                <w:sz w:val="17"/>
              </w:rPr>
              <w:t>Why / how it is (or could be) informed by MO research</w:t>
            </w:r>
          </w:p>
        </w:tc>
      </w:tr>
      <w:tr w:rsidR="006A7B15" w14:paraId="55675468" w14:textId="77777777">
        <w:tc>
          <w:tcPr>
            <w:tcW w:w="9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1C2F54" w14:textId="77777777" w:rsidR="006A7B15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lastRenderedPageBreak/>
              <w:t>POL-034</w:t>
            </w:r>
          </w:p>
        </w:tc>
        <w:tc>
          <w:tcPr>
            <w:tcW w:w="31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506395" w14:textId="77777777" w:rsidR="006A7B15" w:rsidRDefault="00000000">
            <w:pPr>
              <w:spacing w:after="0"/>
            </w:pPr>
            <w:hyperlink r:id="rId9">
              <w:r>
                <w:rPr>
                  <w:rFonts w:cs="Arial"/>
                  <w:color w:val="10497A"/>
                  <w:sz w:val="16"/>
                  <w:u w:val="single"/>
                </w:rPr>
                <w:t>Plant Biosecurity Strategy for Great Britain 2023–28</w:t>
              </w:r>
            </w:hyperlink>
          </w:p>
        </w:tc>
        <w:tc>
          <w:tcPr>
            <w:tcW w:w="1300" w:type="dxa"/>
            <w:shd w:val="clear" w:color="auto" w:fill="2E7D4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094290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3</w:t>
            </w:r>
            <w:r>
              <w:rPr>
                <w:rFonts w:cs="Arial"/>
                <w:b/>
                <w:color w:val="FFFFFF"/>
                <w:sz w:val="12"/>
              </w:rPr>
              <w:br/>
              <w:t>HIGH</w:t>
            </w:r>
          </w:p>
        </w:tc>
        <w:tc>
          <w:tcPr>
            <w:tcW w:w="14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4B7CAE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Current</w:t>
            </w:r>
          </w:p>
        </w:tc>
        <w:tc>
          <w:tcPr>
            <w:tcW w:w="77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FB0E7A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The strategy’s prevention, preparedness, response and surveillance outcomes are the direct user of the climate-pest tool and Climate Service. MO emergence-date forecasts and climate-suitability maps already feed contingency planning and surveillance targeting under this strategy (documented partnership).</w:t>
            </w:r>
          </w:p>
        </w:tc>
      </w:tr>
      <w:tr w:rsidR="006A7B15" w14:paraId="7B64CE7A" w14:textId="77777777">
        <w:tc>
          <w:tcPr>
            <w:tcW w:w="9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1DFDCF" w14:textId="77777777" w:rsidR="006A7B15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POL-033</w:t>
            </w:r>
          </w:p>
        </w:tc>
        <w:tc>
          <w:tcPr>
            <w:tcW w:w="31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9EDAD9" w14:textId="77777777" w:rsidR="006A7B15" w:rsidRDefault="00000000">
            <w:pPr>
              <w:spacing w:after="0"/>
            </w:pPr>
            <w:hyperlink r:id="rId10">
              <w:r>
                <w:rPr>
                  <w:rFonts w:cs="Arial"/>
                  <w:color w:val="10497A"/>
                  <w:sz w:val="16"/>
                  <w:u w:val="single"/>
                </w:rPr>
                <w:t>Tree Health Resilience Strategy 2018</w:t>
              </w:r>
            </w:hyperlink>
          </w:p>
        </w:tc>
        <w:tc>
          <w:tcPr>
            <w:tcW w:w="1300" w:type="dxa"/>
            <w:shd w:val="clear" w:color="auto" w:fill="2E7D4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3E78D8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3</w:t>
            </w:r>
            <w:r>
              <w:rPr>
                <w:rFonts w:cs="Arial"/>
                <w:b/>
                <w:color w:val="FFFFFF"/>
                <w:sz w:val="12"/>
              </w:rPr>
              <w:br/>
              <w:t>HIGH</w:t>
            </w:r>
          </w:p>
        </w:tc>
        <w:tc>
          <w:tcPr>
            <w:tcW w:w="14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AED149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Current</w:t>
            </w:r>
          </w:p>
        </w:tc>
        <w:tc>
          <w:tcPr>
            <w:tcW w:w="77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9F96B0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 xml:space="preserve">Aimed squarely at tree pest/disease threats (OPM, </w:t>
            </w:r>
            <w:r>
              <w:rPr>
                <w:rFonts w:cs="Arial"/>
                <w:i/>
                <w:sz w:val="16"/>
              </w:rPr>
              <w:t>Xylella</w:t>
            </w:r>
            <w:r>
              <w:rPr>
                <w:rFonts w:cs="Arial"/>
                <w:sz w:val="16"/>
              </w:rPr>
              <w:t>, ash dieback); the forest microclimate monitoring campaign and tree-trunk thermal modelling were designed around exactly these risks. MO outputs inform risk-based surveillance and the resilience goals (condition, diversity).</w:t>
            </w:r>
          </w:p>
        </w:tc>
      </w:tr>
      <w:tr w:rsidR="006A7B15" w14:paraId="508DF0D9" w14:textId="77777777">
        <w:tc>
          <w:tcPr>
            <w:tcW w:w="9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5217C7" w14:textId="77777777" w:rsidR="006A7B15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POL-011</w:t>
            </w:r>
          </w:p>
        </w:tc>
        <w:tc>
          <w:tcPr>
            <w:tcW w:w="31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671812" w14:textId="77777777" w:rsidR="006A7B15" w:rsidRDefault="00000000">
            <w:pPr>
              <w:spacing w:after="0"/>
            </w:pPr>
            <w:hyperlink r:id="rId11">
              <w:r>
                <w:rPr>
                  <w:rFonts w:cs="Arial"/>
                  <w:color w:val="10497A"/>
                  <w:sz w:val="16"/>
                  <w:u w:val="single"/>
                </w:rPr>
                <w:t>England Trees Action Plan 2021–24 (Tree Health Policy component)</w:t>
              </w:r>
            </w:hyperlink>
          </w:p>
        </w:tc>
        <w:tc>
          <w:tcPr>
            <w:tcW w:w="1300" w:type="dxa"/>
            <w:shd w:val="clear" w:color="auto" w:fill="2E7D4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1317CC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3</w:t>
            </w:r>
            <w:r>
              <w:rPr>
                <w:rFonts w:cs="Arial"/>
                <w:b/>
                <w:color w:val="FFFFFF"/>
                <w:sz w:val="12"/>
              </w:rPr>
              <w:br/>
              <w:t>HIGH</w:t>
            </w:r>
          </w:p>
        </w:tc>
        <w:tc>
          <w:tcPr>
            <w:tcW w:w="14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84BBDC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Current</w:t>
            </w:r>
          </w:p>
        </w:tc>
        <w:tc>
          <w:tcPr>
            <w:tcW w:w="77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27BD17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Woodland-creation targets depend on establishing pest- and disease-resilient stock; the embedded Tree Health Policy and Observatree surveillance draw on MO climate-pest risk mapping for trees. Establishment failure from pests directly threatens the 7,000 ha/year target.</w:t>
            </w:r>
          </w:p>
        </w:tc>
      </w:tr>
      <w:tr w:rsidR="006A7B15" w14:paraId="3C7B6CD6" w14:textId="77777777">
        <w:tc>
          <w:tcPr>
            <w:tcW w:w="9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5D9856" w14:textId="77777777" w:rsidR="006A7B15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†</w:t>
            </w:r>
          </w:p>
        </w:tc>
        <w:tc>
          <w:tcPr>
            <w:tcW w:w="31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A9FD79" w14:textId="77777777" w:rsidR="006A7B15" w:rsidRDefault="00000000">
            <w:pPr>
              <w:spacing w:after="0"/>
            </w:pPr>
            <w:hyperlink r:id="rId12">
              <w:r>
                <w:rPr>
                  <w:rFonts w:cs="Arial"/>
                  <w:color w:val="10497A"/>
                  <w:sz w:val="16"/>
                  <w:u w:val="single"/>
                </w:rPr>
                <w:t>GB Plant Health Risk Register / Defra Plant Health Risk &amp; Horizon Scanning</w:t>
              </w:r>
            </w:hyperlink>
          </w:p>
        </w:tc>
        <w:tc>
          <w:tcPr>
            <w:tcW w:w="1300" w:type="dxa"/>
            <w:shd w:val="clear" w:color="auto" w:fill="2E7D4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6DE9E5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3</w:t>
            </w:r>
            <w:r>
              <w:rPr>
                <w:rFonts w:cs="Arial"/>
                <w:b/>
                <w:color w:val="FFFFFF"/>
                <w:sz w:val="12"/>
              </w:rPr>
              <w:br/>
              <w:t>HIGH</w:t>
            </w:r>
          </w:p>
        </w:tc>
        <w:tc>
          <w:tcPr>
            <w:tcW w:w="14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B2AEFC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Current</w:t>
            </w:r>
          </w:p>
        </w:tc>
        <w:tc>
          <w:tcPr>
            <w:tcW w:w="77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EFED9D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The operational register rating pest likelihood and impact; climate-suitability and degree-day outputs feed the likelihood/establishment components for temperature-limited pests. This is the day-to-day decision tool the MO service was built to support.</w:t>
            </w:r>
          </w:p>
        </w:tc>
      </w:tr>
      <w:tr w:rsidR="006A7B15" w14:paraId="102D5440" w14:textId="77777777">
        <w:tc>
          <w:tcPr>
            <w:tcW w:w="9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0B2E8C" w14:textId="77777777" w:rsidR="006A7B15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†</w:t>
            </w:r>
          </w:p>
        </w:tc>
        <w:tc>
          <w:tcPr>
            <w:tcW w:w="31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05A4C6" w14:textId="77777777" w:rsidR="006A7B15" w:rsidRDefault="00000000">
            <w:pPr>
              <w:spacing w:after="0"/>
            </w:pPr>
            <w:hyperlink r:id="rId13">
              <w:r>
                <w:rPr>
                  <w:rFonts w:cs="Arial"/>
                  <w:color w:val="10497A"/>
                  <w:sz w:val="16"/>
                  <w:u w:val="single"/>
                </w:rPr>
                <w:t>Defra generic &amp; pest-specific contingency plans / GB Plant Health Service outbreak response</w:t>
              </w:r>
            </w:hyperlink>
          </w:p>
        </w:tc>
        <w:tc>
          <w:tcPr>
            <w:tcW w:w="1300" w:type="dxa"/>
            <w:shd w:val="clear" w:color="auto" w:fill="2E7D4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8F19B2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3</w:t>
            </w:r>
            <w:r>
              <w:rPr>
                <w:rFonts w:cs="Arial"/>
                <w:b/>
                <w:color w:val="FFFFFF"/>
                <w:sz w:val="12"/>
              </w:rPr>
              <w:br/>
              <w:t>HIGH</w:t>
            </w:r>
          </w:p>
        </w:tc>
        <w:tc>
          <w:tcPr>
            <w:tcW w:w="14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D98C5E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Current</w:t>
            </w:r>
          </w:p>
        </w:tc>
        <w:tc>
          <w:tcPr>
            <w:tcW w:w="77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EACFAA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Defra partners with the Met Office to provide predicted pest emergence dates to aid outbreak responses. Emergence timing drives inspection scheduling and treatment windows during eradication.</w:t>
            </w:r>
          </w:p>
        </w:tc>
      </w:tr>
      <w:tr w:rsidR="006A7B15" w14:paraId="00A61565" w14:textId="77777777">
        <w:tc>
          <w:tcPr>
            <w:tcW w:w="9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05C429" w14:textId="77777777" w:rsidR="006A7B15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POL-017</w:t>
            </w:r>
          </w:p>
        </w:tc>
        <w:tc>
          <w:tcPr>
            <w:tcW w:w="31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43397B" w14:textId="77777777" w:rsidR="006A7B15" w:rsidRDefault="00000000">
            <w:pPr>
              <w:spacing w:after="0"/>
            </w:pPr>
            <w:hyperlink r:id="rId14">
              <w:r>
                <w:rPr>
                  <w:rFonts w:cs="Arial"/>
                  <w:color w:val="10497A"/>
                  <w:sz w:val="16"/>
                  <w:u w:val="single"/>
                </w:rPr>
                <w:t>Climate Change Risk Assessment (CCRA3 2022)</w:t>
              </w:r>
            </w:hyperlink>
          </w:p>
        </w:tc>
        <w:tc>
          <w:tcPr>
            <w:tcW w:w="1300" w:type="dxa"/>
            <w:shd w:val="clear" w:color="auto" w:fill="2E7D4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00DC55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3</w:t>
            </w:r>
            <w:r>
              <w:rPr>
                <w:rFonts w:cs="Arial"/>
                <w:b/>
                <w:color w:val="FFFFFF"/>
                <w:sz w:val="12"/>
              </w:rPr>
              <w:br/>
              <w:t>HIGH</w:t>
            </w:r>
          </w:p>
        </w:tc>
        <w:tc>
          <w:tcPr>
            <w:tcW w:w="14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1168A5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Current</w:t>
            </w:r>
          </w:p>
        </w:tc>
        <w:tc>
          <w:tcPr>
            <w:tcW w:w="77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E84B86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 xml:space="preserve">Pests, pathogens and INNS are explicit UK climate risks and CCRA3 already drew on MO climate evidence. </w:t>
            </w:r>
            <w:r>
              <w:rPr>
                <w:rFonts w:cs="Arial"/>
                <w:b/>
                <w:sz w:val="16"/>
              </w:rPr>
              <w:t>Opportunity:</w:t>
            </w:r>
            <w:r>
              <w:rPr>
                <w:rFonts w:cs="Arial"/>
                <w:sz w:val="16"/>
              </w:rPr>
              <w:t xml:space="preserve"> CCRA4 (2026–27) is a near-term, high-value insertion point to expand the climate-pest projections feeding the next assessment and NAP4.</w:t>
            </w:r>
          </w:p>
        </w:tc>
      </w:tr>
      <w:tr w:rsidR="006A7B15" w14:paraId="0BA4C787" w14:textId="77777777">
        <w:tc>
          <w:tcPr>
            <w:tcW w:w="9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8F82A1" w14:textId="77777777" w:rsidR="006A7B15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POL-002</w:t>
            </w:r>
          </w:p>
        </w:tc>
        <w:tc>
          <w:tcPr>
            <w:tcW w:w="31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934A81" w14:textId="77777777" w:rsidR="006A7B15" w:rsidRDefault="00000000">
            <w:pPr>
              <w:spacing w:after="0"/>
            </w:pPr>
            <w:hyperlink r:id="rId15">
              <w:r>
                <w:rPr>
                  <w:rFonts w:cs="Arial"/>
                  <w:color w:val="10497A"/>
                  <w:sz w:val="16"/>
                  <w:u w:val="single"/>
                </w:rPr>
                <w:t>National Adaptation Programme (NAP3) 2023–28</w:t>
              </w:r>
            </w:hyperlink>
          </w:p>
        </w:tc>
        <w:tc>
          <w:tcPr>
            <w:tcW w:w="13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9E315F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2</w:t>
            </w:r>
            <w:r>
              <w:rPr>
                <w:rFonts w:cs="Arial"/>
                <w:b/>
                <w:color w:val="FFFFFF"/>
                <w:sz w:val="12"/>
              </w:rPr>
              <w:br/>
              <w:t>MED</w:t>
            </w:r>
          </w:p>
        </w:tc>
        <w:tc>
          <w:tcPr>
            <w:tcW w:w="1400" w:type="dxa"/>
            <w:shd w:val="clear" w:color="auto" w:fill="B0701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D8E2AE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Opportunity</w:t>
            </w:r>
          </w:p>
        </w:tc>
        <w:tc>
          <w:tcPr>
            <w:tcW w:w="77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7CE689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Shifting pest/pathogen ranges are a land-and-nature adaptation risk; MO climate-suitability modelling could inform how surveillance and tree-health measures adapt, linking CCRA evidence to deliverable actions. Not yet a defined input.</w:t>
            </w:r>
          </w:p>
        </w:tc>
      </w:tr>
      <w:tr w:rsidR="006A7B15" w14:paraId="654B9BD8" w14:textId="77777777">
        <w:tc>
          <w:tcPr>
            <w:tcW w:w="9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872A88" w14:textId="77777777" w:rsidR="006A7B15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POL-001</w:t>
            </w:r>
          </w:p>
        </w:tc>
        <w:tc>
          <w:tcPr>
            <w:tcW w:w="31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778EDB" w14:textId="77777777" w:rsidR="006A7B15" w:rsidRDefault="00000000">
            <w:pPr>
              <w:spacing w:after="0"/>
            </w:pPr>
            <w:hyperlink r:id="rId16">
              <w:r>
                <w:rPr>
                  <w:rFonts w:cs="Arial"/>
                  <w:color w:val="10497A"/>
                  <w:sz w:val="16"/>
                  <w:u w:val="single"/>
                </w:rPr>
                <w:t>Environmental Improvement Plan 2025</w:t>
              </w:r>
            </w:hyperlink>
          </w:p>
        </w:tc>
        <w:tc>
          <w:tcPr>
            <w:tcW w:w="13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B02D2B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2</w:t>
            </w:r>
            <w:r>
              <w:rPr>
                <w:rFonts w:cs="Arial"/>
                <w:b/>
                <w:color w:val="FFFFFF"/>
                <w:sz w:val="12"/>
              </w:rPr>
              <w:br/>
              <w:t>MED</w:t>
            </w:r>
          </w:p>
        </w:tc>
        <w:tc>
          <w:tcPr>
            <w:tcW w:w="1400" w:type="dxa"/>
            <w:shd w:val="clear" w:color="auto" w:fill="B0701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C19AA6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Opportunity</w:t>
            </w:r>
          </w:p>
        </w:tc>
        <w:tc>
          <w:tcPr>
            <w:tcW w:w="77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56857A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 xml:space="preserve">Woodland and habitat </w:t>
            </w:r>
            <w:r>
              <w:rPr>
                <w:rFonts w:cs="Arial"/>
                <w:b/>
                <w:sz w:val="16"/>
              </w:rPr>
              <w:t>condition</w:t>
            </w:r>
            <w:r>
              <w:rPr>
                <w:rFonts w:cs="Arial"/>
                <w:sz w:val="16"/>
              </w:rPr>
              <w:t xml:space="preserve"> targets and INNS commitments under the Environment Act 2021 are sensitive to pest/pathogen pressure; MO research could inform the biosecurity-relevant elements and the relevant EIF condition indicators.</w:t>
            </w:r>
          </w:p>
        </w:tc>
      </w:tr>
      <w:tr w:rsidR="006A7B15" w14:paraId="6F132B1E" w14:textId="77777777">
        <w:tc>
          <w:tcPr>
            <w:tcW w:w="9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A69758" w14:textId="77777777" w:rsidR="006A7B15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POL-003</w:t>
            </w:r>
          </w:p>
        </w:tc>
        <w:tc>
          <w:tcPr>
            <w:tcW w:w="31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08D7B2" w14:textId="77777777" w:rsidR="006A7B15" w:rsidRDefault="00000000">
            <w:pPr>
              <w:spacing w:after="0"/>
            </w:pPr>
            <w:hyperlink r:id="rId17">
              <w:r>
                <w:rPr>
                  <w:rFonts w:cs="Arial"/>
                  <w:color w:val="10497A"/>
                  <w:sz w:val="16"/>
                  <w:u w:val="single"/>
                </w:rPr>
                <w:t>UK National Biodiversity Strategy and Action Plan 2025</w:t>
              </w:r>
            </w:hyperlink>
          </w:p>
        </w:tc>
        <w:tc>
          <w:tcPr>
            <w:tcW w:w="13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47A181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2</w:t>
            </w:r>
            <w:r>
              <w:rPr>
                <w:rFonts w:cs="Arial"/>
                <w:b/>
                <w:color w:val="FFFFFF"/>
                <w:sz w:val="12"/>
              </w:rPr>
              <w:br/>
              <w:t>MED</w:t>
            </w:r>
          </w:p>
        </w:tc>
        <w:tc>
          <w:tcPr>
            <w:tcW w:w="1400" w:type="dxa"/>
            <w:shd w:val="clear" w:color="auto" w:fill="B0701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0BA38A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Opportunity</w:t>
            </w:r>
          </w:p>
        </w:tc>
        <w:tc>
          <w:tcPr>
            <w:tcW w:w="77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8D9829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Delivers GBF Target 6 (invasive non-native species); MO climate-suitability tools could help anticipate which INNS become establishment-capable under UK warming.</w:t>
            </w:r>
          </w:p>
        </w:tc>
      </w:tr>
      <w:tr w:rsidR="006A7B15" w14:paraId="61EB7FE7" w14:textId="77777777">
        <w:tc>
          <w:tcPr>
            <w:tcW w:w="9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6A1004" w14:textId="77777777" w:rsidR="006A7B15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POL-036</w:t>
            </w:r>
          </w:p>
        </w:tc>
        <w:tc>
          <w:tcPr>
            <w:tcW w:w="31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F53581" w14:textId="77777777" w:rsidR="006A7B15" w:rsidRDefault="00000000">
            <w:pPr>
              <w:spacing w:after="0"/>
            </w:pPr>
            <w:hyperlink r:id="rId18">
              <w:r>
                <w:rPr>
                  <w:rFonts w:cs="Arial"/>
                  <w:color w:val="10497A"/>
                  <w:sz w:val="16"/>
                  <w:u w:val="single"/>
                </w:rPr>
                <w:t>NAP Biodiversity &amp; Ecosystems Working Group</w:t>
              </w:r>
            </w:hyperlink>
          </w:p>
        </w:tc>
        <w:tc>
          <w:tcPr>
            <w:tcW w:w="13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27DB6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2</w:t>
            </w:r>
            <w:r>
              <w:rPr>
                <w:rFonts w:cs="Arial"/>
                <w:b/>
                <w:color w:val="FFFFFF"/>
                <w:sz w:val="12"/>
              </w:rPr>
              <w:br/>
              <w:t>MED</w:t>
            </w:r>
          </w:p>
        </w:tc>
        <w:tc>
          <w:tcPr>
            <w:tcW w:w="1400" w:type="dxa"/>
            <w:shd w:val="clear" w:color="auto" w:fill="B0701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6DA5E1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Opportunity</w:t>
            </w:r>
          </w:p>
        </w:tc>
        <w:tc>
          <w:tcPr>
            <w:tcW w:w="77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817ED4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Advises on biodiversity/ecosystem adaptation, where pest-driven habitat condition change is a climate–nature interaction MO research quantifies. A natural, not-yet-used translation route for the science into NAP reporting.</w:t>
            </w:r>
          </w:p>
        </w:tc>
      </w:tr>
      <w:tr w:rsidR="006A7B15" w14:paraId="77CBC963" w14:textId="77777777">
        <w:tc>
          <w:tcPr>
            <w:tcW w:w="9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96A88C" w14:textId="77777777" w:rsidR="006A7B15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POL-025</w:t>
            </w:r>
          </w:p>
        </w:tc>
        <w:tc>
          <w:tcPr>
            <w:tcW w:w="31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CCBE5B" w14:textId="77777777" w:rsidR="006A7B15" w:rsidRDefault="00000000">
            <w:pPr>
              <w:spacing w:after="0"/>
            </w:pPr>
            <w:hyperlink r:id="rId19">
              <w:r>
                <w:rPr>
                  <w:rFonts w:cs="Arial"/>
                  <w:color w:val="10497A"/>
                  <w:sz w:val="16"/>
                  <w:u w:val="single"/>
                </w:rPr>
                <w:t>UK National Climate Science Partnership</w:t>
              </w:r>
            </w:hyperlink>
          </w:p>
        </w:tc>
        <w:tc>
          <w:tcPr>
            <w:tcW w:w="13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AF6514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2</w:t>
            </w:r>
            <w:r>
              <w:rPr>
                <w:rFonts w:cs="Arial"/>
                <w:b/>
                <w:color w:val="FFFFFF"/>
                <w:sz w:val="12"/>
              </w:rPr>
              <w:br/>
              <w:t>MED</w:t>
            </w:r>
          </w:p>
        </w:tc>
        <w:tc>
          <w:tcPr>
            <w:tcW w:w="1400" w:type="dxa"/>
            <w:shd w:val="clear" w:color="auto" w:fill="B0701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C576B3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Opportunity</w:t>
            </w:r>
          </w:p>
        </w:tc>
        <w:tc>
          <w:tcPr>
            <w:tcW w:w="77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6780FA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Met Office-led; the coordinating mechanism for translating climate data into CCRA/NAP and policy. The pest-science-specific channel is latent rather than active — an enabler to route climate-pest outputs into policy.</w:t>
            </w:r>
          </w:p>
        </w:tc>
      </w:tr>
      <w:tr w:rsidR="006A7B15" w14:paraId="6FD4C122" w14:textId="77777777">
        <w:tc>
          <w:tcPr>
            <w:tcW w:w="9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F9E19C" w14:textId="77777777" w:rsidR="006A7B15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POL-026</w:t>
            </w:r>
          </w:p>
        </w:tc>
        <w:tc>
          <w:tcPr>
            <w:tcW w:w="31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510740" w14:textId="77777777" w:rsidR="006A7B15" w:rsidRDefault="00000000">
            <w:pPr>
              <w:spacing w:after="0"/>
            </w:pPr>
            <w:hyperlink r:id="rId20">
              <w:r>
                <w:rPr>
                  <w:rFonts w:cs="Arial"/>
                  <w:color w:val="10497A"/>
                  <w:sz w:val="16"/>
                  <w:u w:val="single"/>
                </w:rPr>
                <w:t>Natural Capital &amp; Ecosystem Assessment Programme</w:t>
              </w:r>
            </w:hyperlink>
          </w:p>
        </w:tc>
        <w:tc>
          <w:tcPr>
            <w:tcW w:w="13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8FD31B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2</w:t>
            </w:r>
            <w:r>
              <w:rPr>
                <w:rFonts w:cs="Arial"/>
                <w:b/>
                <w:color w:val="FFFFFF"/>
                <w:sz w:val="12"/>
              </w:rPr>
              <w:br/>
              <w:t>MED</w:t>
            </w:r>
          </w:p>
        </w:tc>
        <w:tc>
          <w:tcPr>
            <w:tcW w:w="1400" w:type="dxa"/>
            <w:shd w:val="clear" w:color="auto" w:fill="B0701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A276C5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Opportunity</w:t>
            </w:r>
          </w:p>
        </w:tc>
        <w:tc>
          <w:tcPr>
            <w:tcW w:w="77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B333BD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Its ecosystem-condition baselines intersect with tree-health/pest impacts on woodland condition; interoperable MO and NCEA data could jointly attribute condition change.</w:t>
            </w:r>
          </w:p>
        </w:tc>
      </w:tr>
      <w:tr w:rsidR="006A7B15" w14:paraId="2BB40BBB" w14:textId="77777777">
        <w:tc>
          <w:tcPr>
            <w:tcW w:w="90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022FA2" w14:textId="77777777" w:rsidR="006A7B15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POL-009</w:t>
            </w:r>
          </w:p>
        </w:tc>
        <w:tc>
          <w:tcPr>
            <w:tcW w:w="310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EA4479" w14:textId="77777777" w:rsidR="006A7B15" w:rsidRDefault="00000000">
            <w:pPr>
              <w:spacing w:after="0"/>
            </w:pPr>
            <w:hyperlink r:id="rId21">
              <w:r>
                <w:rPr>
                  <w:rFonts w:cs="Arial"/>
                  <w:color w:val="10497A"/>
                  <w:sz w:val="16"/>
                  <w:u w:val="single"/>
                </w:rPr>
                <w:t>Land Use Framework 2025</w:t>
              </w:r>
            </w:hyperlink>
          </w:p>
        </w:tc>
        <w:tc>
          <w:tcPr>
            <w:tcW w:w="1300" w:type="dxa"/>
            <w:shd w:val="clear" w:color="auto" w:fill="5A6B7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51C200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1</w:t>
            </w:r>
            <w:r>
              <w:rPr>
                <w:rFonts w:cs="Arial"/>
                <w:b/>
                <w:color w:val="FFFFFF"/>
                <w:sz w:val="12"/>
              </w:rPr>
              <w:br/>
              <w:t>LOW</w:t>
            </w:r>
          </w:p>
        </w:tc>
        <w:tc>
          <w:tcPr>
            <w:tcW w:w="1400" w:type="dxa"/>
            <w:shd w:val="clear" w:color="auto" w:fill="B0701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8C775A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Opportunity</w:t>
            </w:r>
          </w:p>
        </w:tc>
        <w:tc>
          <w:tcPr>
            <w:tcW w:w="770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CBB38E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Spatial woodland-expansion decisions could screen for climate-pest risk, but this is not yet an articulated function.</w:t>
            </w:r>
          </w:p>
        </w:tc>
      </w:tr>
      <w:tr w:rsidR="006A7B15" w14:paraId="7822597E" w14:textId="77777777">
        <w:tc>
          <w:tcPr>
            <w:tcW w:w="90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32C0CD" w14:textId="77777777" w:rsidR="006A7B15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POL-013</w:t>
            </w:r>
          </w:p>
        </w:tc>
        <w:tc>
          <w:tcPr>
            <w:tcW w:w="310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1B5754" w14:textId="77777777" w:rsidR="006A7B15" w:rsidRDefault="00000000">
            <w:pPr>
              <w:spacing w:after="0"/>
            </w:pPr>
            <w:hyperlink r:id="rId22">
              <w:r>
                <w:rPr>
                  <w:rFonts w:cs="Arial"/>
                  <w:color w:val="10497A"/>
                  <w:sz w:val="16"/>
                  <w:u w:val="single"/>
                </w:rPr>
                <w:t>Environmental Land Management schemes</w:t>
              </w:r>
            </w:hyperlink>
          </w:p>
        </w:tc>
        <w:tc>
          <w:tcPr>
            <w:tcW w:w="1300" w:type="dxa"/>
            <w:shd w:val="clear" w:color="auto" w:fill="5A6B7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F23011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1</w:t>
            </w:r>
            <w:r>
              <w:rPr>
                <w:rFonts w:cs="Arial"/>
                <w:b/>
                <w:color w:val="FFFFFF"/>
                <w:sz w:val="12"/>
              </w:rPr>
              <w:br/>
              <w:t>LOW</w:t>
            </w:r>
          </w:p>
        </w:tc>
        <w:tc>
          <w:tcPr>
            <w:tcW w:w="1400" w:type="dxa"/>
            <w:shd w:val="clear" w:color="auto" w:fill="B0701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2AF46F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Opportunity</w:t>
            </w:r>
          </w:p>
        </w:tc>
        <w:tc>
          <w:tcPr>
            <w:tcW w:w="770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F034B1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SFI / Countryside Stewardship tree-health and biosecurity actions could draw on MO risk mapping for pest-resilient establishment; linkage currently indirect.</w:t>
            </w:r>
          </w:p>
        </w:tc>
      </w:tr>
      <w:tr w:rsidR="006A7B15" w14:paraId="61FA9305" w14:textId="77777777">
        <w:tc>
          <w:tcPr>
            <w:tcW w:w="90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D025E4" w14:textId="77777777" w:rsidR="006A7B15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lastRenderedPageBreak/>
              <w:t>POL-040 / POL-030</w:t>
            </w:r>
          </w:p>
        </w:tc>
        <w:tc>
          <w:tcPr>
            <w:tcW w:w="310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4A840E" w14:textId="77777777" w:rsidR="006A7B15" w:rsidRDefault="00000000">
            <w:pPr>
              <w:spacing w:after="0"/>
            </w:pPr>
            <w:hyperlink r:id="rId23">
              <w:r>
                <w:rPr>
                  <w:rFonts w:cs="Arial"/>
                  <w:b/>
                  <w:color w:val="10497A"/>
                  <w:sz w:val="16"/>
                  <w:u w:val="single"/>
                </w:rPr>
                <w:t>Nature for Climate Fund</w:t>
              </w:r>
            </w:hyperlink>
            <w:r>
              <w:rPr>
                <w:rFonts w:cs="Arial"/>
                <w:sz w:val="16"/>
              </w:rPr>
              <w:t xml:space="preserve"> / </w:t>
            </w:r>
            <w:hyperlink r:id="rId24">
              <w:r>
                <w:rPr>
                  <w:rFonts w:cs="Arial"/>
                  <w:b/>
                  <w:color w:val="10497A"/>
                  <w:sz w:val="16"/>
                  <w:u w:val="single"/>
                </w:rPr>
                <w:t>Woodland Carbon Code</w:t>
              </w:r>
            </w:hyperlink>
          </w:p>
        </w:tc>
        <w:tc>
          <w:tcPr>
            <w:tcW w:w="1300" w:type="dxa"/>
            <w:shd w:val="clear" w:color="auto" w:fill="5A6B7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B8D9F6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1</w:t>
            </w:r>
            <w:r>
              <w:rPr>
                <w:rFonts w:cs="Arial"/>
                <w:b/>
                <w:color w:val="FFFFFF"/>
                <w:sz w:val="12"/>
              </w:rPr>
              <w:br/>
              <w:t>LOW</w:t>
            </w:r>
          </w:p>
        </w:tc>
        <w:tc>
          <w:tcPr>
            <w:tcW w:w="1400" w:type="dxa"/>
            <w:shd w:val="clear" w:color="auto" w:fill="B0701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8E9A25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Opportunity</w:t>
            </w:r>
          </w:p>
        </w:tc>
        <w:tc>
          <w:tcPr>
            <w:tcW w:w="770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C46F2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 xml:space="preserve">Carbon </w:t>
            </w:r>
            <w:r>
              <w:rPr>
                <w:rFonts w:cs="Arial"/>
                <w:b/>
                <w:sz w:val="16"/>
              </w:rPr>
              <w:t>permanence</w:t>
            </w:r>
            <w:r>
              <w:rPr>
                <w:rFonts w:cs="Arial"/>
                <w:sz w:val="16"/>
              </w:rPr>
              <w:t xml:space="preserve"> (100-year) is threatened by pest/pathogen loss; MO tree-health risk evidence is relevant to additionality/permanence risk but not yet integrated.</w:t>
            </w:r>
          </w:p>
        </w:tc>
      </w:tr>
      <w:tr w:rsidR="006A7B15" w14:paraId="58F94D13" w14:textId="77777777">
        <w:tc>
          <w:tcPr>
            <w:tcW w:w="90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E7103D" w14:textId="77777777" w:rsidR="006A7B15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POL-018 / POL-048</w:t>
            </w:r>
          </w:p>
        </w:tc>
        <w:tc>
          <w:tcPr>
            <w:tcW w:w="310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66E3CE" w14:textId="77777777" w:rsidR="006A7B15" w:rsidRDefault="00000000">
            <w:pPr>
              <w:spacing w:after="0"/>
            </w:pPr>
            <w:hyperlink r:id="rId25">
              <w:r>
                <w:rPr>
                  <w:rFonts w:cs="Arial"/>
                  <w:b/>
                  <w:color w:val="10497A"/>
                  <w:sz w:val="16"/>
                  <w:u w:val="single"/>
                </w:rPr>
                <w:t>Seventh Carbon Budget</w:t>
              </w:r>
            </w:hyperlink>
            <w:r>
              <w:rPr>
                <w:rFonts w:cs="Arial"/>
                <w:sz w:val="16"/>
              </w:rPr>
              <w:t xml:space="preserve"> / </w:t>
            </w:r>
            <w:hyperlink r:id="rId26">
              <w:r>
                <w:rPr>
                  <w:rFonts w:cs="Arial"/>
                  <w:b/>
                  <w:color w:val="10497A"/>
                  <w:sz w:val="16"/>
                  <w:u w:val="single"/>
                </w:rPr>
                <w:t>Biomass Strategy</w:t>
              </w:r>
            </w:hyperlink>
          </w:p>
        </w:tc>
        <w:tc>
          <w:tcPr>
            <w:tcW w:w="1300" w:type="dxa"/>
            <w:shd w:val="clear" w:color="auto" w:fill="5A6B7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3E2209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1</w:t>
            </w:r>
            <w:r>
              <w:rPr>
                <w:rFonts w:cs="Arial"/>
                <w:b/>
                <w:color w:val="FFFFFF"/>
                <w:sz w:val="12"/>
              </w:rPr>
              <w:br/>
              <w:t>LOW</w:t>
            </w:r>
          </w:p>
        </w:tc>
        <w:tc>
          <w:tcPr>
            <w:tcW w:w="1400" w:type="dxa"/>
            <w:shd w:val="clear" w:color="auto" w:fill="B0701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CA90E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Opportunity</w:t>
            </w:r>
          </w:p>
        </w:tc>
        <w:tc>
          <w:tcPr>
            <w:tcW w:w="770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DE6C9A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Forestry sink and biomass-feedstock assumptions implicitly depend on tree health under climate change; relevance is real but distal.</w:t>
            </w:r>
          </w:p>
        </w:tc>
      </w:tr>
      <w:tr w:rsidR="006A7B15" w14:paraId="22B5F5A0" w14:textId="77777777">
        <w:tc>
          <w:tcPr>
            <w:tcW w:w="90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0EB8C7" w14:textId="77777777" w:rsidR="006A7B15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POL-027</w:t>
            </w:r>
          </w:p>
        </w:tc>
        <w:tc>
          <w:tcPr>
            <w:tcW w:w="310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D39332" w14:textId="77777777" w:rsidR="006A7B15" w:rsidRDefault="00000000">
            <w:pPr>
              <w:spacing w:after="0"/>
            </w:pPr>
            <w:hyperlink r:id="rId27">
              <w:r>
                <w:rPr>
                  <w:rFonts w:cs="Arial"/>
                  <w:color w:val="10497A"/>
                  <w:sz w:val="16"/>
                  <w:u w:val="single"/>
                </w:rPr>
                <w:t>UK Environmental Observation Framework</w:t>
              </w:r>
            </w:hyperlink>
          </w:p>
        </w:tc>
        <w:tc>
          <w:tcPr>
            <w:tcW w:w="1300" w:type="dxa"/>
            <w:shd w:val="clear" w:color="auto" w:fill="5A6B7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C2A408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1</w:t>
            </w:r>
            <w:r>
              <w:rPr>
                <w:rFonts w:cs="Arial"/>
                <w:b/>
                <w:color w:val="FFFFFF"/>
                <w:sz w:val="12"/>
              </w:rPr>
              <w:br/>
              <w:t>LOW</w:t>
            </w:r>
          </w:p>
        </w:tc>
        <w:tc>
          <w:tcPr>
            <w:tcW w:w="1400" w:type="dxa"/>
            <w:shd w:val="clear" w:color="auto" w:fill="B0701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1B8998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Opportunity</w:t>
            </w:r>
          </w:p>
        </w:tc>
        <w:tc>
          <w:tcPr>
            <w:tcW w:w="770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7A5905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Coordinates monitoring; could reduce duplication between MO / Forest Research surveillance and other observation networks.</w:t>
            </w:r>
          </w:p>
        </w:tc>
      </w:tr>
      <w:tr w:rsidR="006A7B15" w14:paraId="7551A517" w14:textId="77777777">
        <w:tc>
          <w:tcPr>
            <w:tcW w:w="9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9CC8AD" w14:textId="77777777" w:rsidR="006A7B15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†</w:t>
            </w:r>
          </w:p>
        </w:tc>
        <w:tc>
          <w:tcPr>
            <w:tcW w:w="31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CB6E9C" w14:textId="77777777" w:rsidR="006A7B15" w:rsidRDefault="00000000">
            <w:pPr>
              <w:spacing w:after="0"/>
            </w:pPr>
            <w:hyperlink r:id="rId28">
              <w:r>
                <w:rPr>
                  <w:rFonts w:cs="Arial"/>
                  <w:color w:val="10497A"/>
                  <w:sz w:val="16"/>
                  <w:u w:val="single"/>
                </w:rPr>
                <w:t>Observatree (citizen-science tree-health surveillance)</w:t>
              </w:r>
            </w:hyperlink>
          </w:p>
        </w:tc>
        <w:tc>
          <w:tcPr>
            <w:tcW w:w="13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5F47BC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2</w:t>
            </w:r>
            <w:r>
              <w:rPr>
                <w:rFonts w:cs="Arial"/>
                <w:b/>
                <w:color w:val="FFFFFF"/>
                <w:sz w:val="12"/>
              </w:rPr>
              <w:br/>
              <w:t>MED</w:t>
            </w:r>
          </w:p>
        </w:tc>
        <w:tc>
          <w:tcPr>
            <w:tcW w:w="1400" w:type="dxa"/>
            <w:shd w:val="clear" w:color="auto" w:fill="B0701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4FFB2B" w14:textId="77777777" w:rsidR="006A7B15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Opportunity</w:t>
            </w:r>
          </w:p>
        </w:tc>
        <w:tc>
          <w:tcPr>
            <w:tcW w:w="77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6394D6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Survey effort could be targeted using MO climate-suitability maps to focus volunteers where establishment risk is rising.</w:t>
            </w:r>
          </w:p>
        </w:tc>
      </w:tr>
    </w:tbl>
    <w:p w14:paraId="58374AE8" w14:textId="77777777" w:rsidR="006A7B15" w:rsidRDefault="00000000">
      <w:pPr>
        <w:spacing w:before="220" w:after="120"/>
      </w:pPr>
      <w:r>
        <w:rPr>
          <w:rFonts w:cs="Arial"/>
          <w:b/>
          <w:color w:val="08414C"/>
          <w:sz w:val="26"/>
        </w:rPr>
        <w:t>Policy indicators</w:t>
      </w:r>
    </w:p>
    <w:p w14:paraId="5C41812B" w14:textId="77777777" w:rsidR="006A7B15" w:rsidRDefault="00000000">
      <w:pPr>
        <w:spacing w:after="120"/>
      </w:pPr>
      <w:r>
        <w:rPr>
          <w:rFonts w:cs="Arial"/>
          <w:sz w:val="17"/>
        </w:rPr>
        <w:t xml:space="preserve">A scan of </w:t>
      </w:r>
      <w:r>
        <w:rPr>
          <w:rFonts w:cs="Arial"/>
          <w:i/>
          <w:sz w:val="17"/>
        </w:rPr>
        <w:t>biodiversity_indicators_manual_v6</w:t>
      </w:r>
      <w:r>
        <w:rPr>
          <w:rFonts w:cs="Arial"/>
          <w:sz w:val="17"/>
        </w:rPr>
        <w:t xml:space="preserve"> across its framework sheets for invasive-species, plant-pest/pathogen, tree-health and phenology indicators. Six map clearly onto MO outputs — the climate-pest distribution/establishment modelling, crop-pest phenology, and the Spring Index (which MO produces via the </w:t>
      </w:r>
      <w:r>
        <w:rPr>
          <w:rFonts w:cs="Arial"/>
          <w:i/>
          <w:sz w:val="17"/>
        </w:rPr>
        <w:t>State of the UK Climate</w:t>
      </w:r>
      <w:r>
        <w:rPr>
          <w:rFonts w:cs="Arial"/>
          <w:sz w:val="17"/>
        </w:rPr>
        <w:t xml:space="preserve"> phenology supplement). Policy applications link to source pages.</w:t>
      </w:r>
    </w:p>
    <w:tbl>
      <w:tblPr>
        <w:tblW w:w="0" w:type="auto"/>
        <w:tblBorders>
          <w:top w:val="single" w:sz="2" w:space="0" w:color="C5D0D4"/>
          <w:left w:val="single" w:sz="2" w:space="0" w:color="C5D0D4"/>
          <w:bottom w:val="single" w:sz="2" w:space="0" w:color="C5D0D4"/>
          <w:right w:val="single" w:sz="2" w:space="0" w:color="C5D0D4"/>
          <w:insideH w:val="single" w:sz="2" w:space="0" w:color="C5D0D4"/>
          <w:insideV w:val="single" w:sz="2" w:space="0" w:color="C5D0D4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5000"/>
        <w:gridCol w:w="3500"/>
        <w:gridCol w:w="4700"/>
      </w:tblGrid>
      <w:tr w:rsidR="006A7B15" w14:paraId="49BFFE65" w14:textId="77777777">
        <w:trPr>
          <w:tblHeader/>
        </w:trPr>
        <w:tc>
          <w:tcPr>
            <w:tcW w:w="12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05351F" w14:textId="77777777" w:rsidR="006A7B15" w:rsidRDefault="00000000">
            <w:pPr>
              <w:spacing w:after="0"/>
            </w:pPr>
            <w:r>
              <w:rPr>
                <w:rFonts w:cs="Arial"/>
                <w:b/>
                <w:color w:val="FFFFFF"/>
                <w:sz w:val="17"/>
              </w:rPr>
              <w:t>Indicator (ref)</w:t>
            </w:r>
          </w:p>
        </w:tc>
        <w:tc>
          <w:tcPr>
            <w:tcW w:w="50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D3D2AF" w14:textId="77777777" w:rsidR="006A7B15" w:rsidRDefault="00000000">
            <w:pPr>
              <w:spacing w:after="0"/>
            </w:pPr>
            <w:r>
              <w:rPr>
                <w:rFonts w:cs="Arial"/>
                <w:b/>
                <w:color w:val="FFFFFF"/>
                <w:sz w:val="17"/>
              </w:rPr>
              <w:t>Indicator name</w:t>
            </w:r>
          </w:p>
        </w:tc>
        <w:tc>
          <w:tcPr>
            <w:tcW w:w="35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46570C" w14:textId="77777777" w:rsidR="006A7B15" w:rsidRDefault="00000000">
            <w:pPr>
              <w:spacing w:after="0"/>
            </w:pPr>
            <w:r>
              <w:rPr>
                <w:rFonts w:cs="Arial"/>
                <w:b/>
                <w:color w:val="FFFFFF"/>
                <w:sz w:val="17"/>
              </w:rPr>
              <w:t>Source framework</w:t>
            </w:r>
          </w:p>
        </w:tc>
        <w:tc>
          <w:tcPr>
            <w:tcW w:w="47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86282D" w14:textId="77777777" w:rsidR="006A7B15" w:rsidRDefault="00000000">
            <w:pPr>
              <w:spacing w:after="0"/>
            </w:pPr>
            <w:r>
              <w:rPr>
                <w:rFonts w:cs="Arial"/>
                <w:b/>
                <w:color w:val="FFFFFF"/>
                <w:sz w:val="17"/>
              </w:rPr>
              <w:t>Current policy application(s)</w:t>
            </w:r>
          </w:p>
        </w:tc>
      </w:tr>
      <w:tr w:rsidR="006A7B15" w14:paraId="405522A3" w14:textId="77777777"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8F3D6F" w14:textId="77777777" w:rsidR="006A7B15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IND-E-053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34B5DF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Distribution of invasive non-native species and plant pests and diseases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321117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Environmental Indicator Framework (EIF)</w:t>
            </w:r>
          </w:p>
        </w:tc>
        <w:tc>
          <w:tcPr>
            <w:tcW w:w="4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C67A79" w14:textId="77777777" w:rsidR="006A7B15" w:rsidRDefault="00000000">
            <w:pPr>
              <w:spacing w:after="0"/>
            </w:pPr>
            <w:hyperlink r:id="rId29">
              <w:r>
                <w:rPr>
                  <w:rFonts w:cs="Arial"/>
                  <w:color w:val="10497A"/>
                  <w:sz w:val="16"/>
                  <w:u w:val="single"/>
                </w:rPr>
                <w:t>EIP 2025</w:t>
              </w:r>
            </w:hyperlink>
            <w:r>
              <w:rPr>
                <w:rFonts w:cs="Arial"/>
                <w:sz w:val="16"/>
              </w:rPr>
              <w:t xml:space="preserve"> (Environment Act 2021); GBF Target 6</w:t>
            </w:r>
          </w:p>
        </w:tc>
      </w:tr>
      <w:tr w:rsidR="006A7B15" w14:paraId="580840C1" w14:textId="77777777">
        <w:tc>
          <w:tcPr>
            <w:tcW w:w="12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1EA746" w14:textId="77777777" w:rsidR="006A7B15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IND-E-052</w:t>
            </w:r>
          </w:p>
        </w:tc>
        <w:tc>
          <w:tcPr>
            <w:tcW w:w="50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03FD06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Abatement of the number of invasive non-native species entering and establishing</w:t>
            </w:r>
          </w:p>
        </w:tc>
        <w:tc>
          <w:tcPr>
            <w:tcW w:w="35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0EABCC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Environmental Indicator Framework (EIF)</w:t>
            </w:r>
          </w:p>
        </w:tc>
        <w:tc>
          <w:tcPr>
            <w:tcW w:w="47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E151B4" w14:textId="77777777" w:rsidR="006A7B15" w:rsidRDefault="00000000">
            <w:pPr>
              <w:spacing w:after="0"/>
            </w:pPr>
            <w:hyperlink r:id="rId30">
              <w:r>
                <w:rPr>
                  <w:rFonts w:cs="Arial"/>
                  <w:color w:val="10497A"/>
                  <w:sz w:val="16"/>
                  <w:u w:val="single"/>
                </w:rPr>
                <w:t>EIP 2025</w:t>
              </w:r>
            </w:hyperlink>
            <w:r>
              <w:rPr>
                <w:rFonts w:cs="Arial"/>
                <w:sz w:val="16"/>
              </w:rPr>
              <w:t xml:space="preserve"> (Environment Act 2021); GBF Target 6</w:t>
            </w:r>
          </w:p>
        </w:tc>
      </w:tr>
      <w:tr w:rsidR="006A7B15" w14:paraId="4069B121" w14:textId="77777777"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915D6" w14:textId="77777777" w:rsidR="006A7B15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IND-C-107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B797E6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Invasive non-native species – number of new establishments (UK)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4B0E46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CCC Adaptation Monitoring Framework 2023–25</w:t>
            </w:r>
          </w:p>
        </w:tc>
        <w:tc>
          <w:tcPr>
            <w:tcW w:w="4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6F645B" w14:textId="77777777" w:rsidR="006A7B15" w:rsidRDefault="00000000">
            <w:pPr>
              <w:spacing w:after="0"/>
            </w:pPr>
            <w:hyperlink r:id="rId31">
              <w:r>
                <w:rPr>
                  <w:rFonts w:cs="Arial"/>
                  <w:color w:val="10497A"/>
                  <w:sz w:val="16"/>
                  <w:u w:val="single"/>
                </w:rPr>
                <w:t>NAP3</w:t>
              </w:r>
            </w:hyperlink>
            <w:r>
              <w:rPr>
                <w:rFonts w:cs="Arial"/>
                <w:sz w:val="16"/>
              </w:rPr>
              <w:t xml:space="preserve"> / CCRA (Climate Change Act 2008, s.58)</w:t>
            </w:r>
          </w:p>
        </w:tc>
      </w:tr>
      <w:tr w:rsidR="006A7B15" w14:paraId="2DB0719B" w14:textId="77777777">
        <w:tc>
          <w:tcPr>
            <w:tcW w:w="12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BD1010" w14:textId="77777777" w:rsidR="006A7B15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IND-C-113</w:t>
            </w:r>
          </w:p>
        </w:tc>
        <w:tc>
          <w:tcPr>
            <w:tcW w:w="50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1DFDD2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Incidence of crop and livestock pests and diseases (UK)</w:t>
            </w:r>
          </w:p>
        </w:tc>
        <w:tc>
          <w:tcPr>
            <w:tcW w:w="35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9F2A1F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CCC Adaptation Monitoring Framework 2023–25</w:t>
            </w:r>
          </w:p>
        </w:tc>
        <w:tc>
          <w:tcPr>
            <w:tcW w:w="47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1FB004" w14:textId="77777777" w:rsidR="006A7B15" w:rsidRDefault="00000000">
            <w:pPr>
              <w:spacing w:after="0"/>
            </w:pPr>
            <w:hyperlink r:id="rId32">
              <w:r>
                <w:rPr>
                  <w:rFonts w:cs="Arial"/>
                  <w:color w:val="10497A"/>
                  <w:sz w:val="16"/>
                  <w:u w:val="single"/>
                </w:rPr>
                <w:t>NAP3</w:t>
              </w:r>
            </w:hyperlink>
            <w:r>
              <w:rPr>
                <w:rFonts w:cs="Arial"/>
                <w:sz w:val="16"/>
              </w:rPr>
              <w:t xml:space="preserve"> / CCRA (Climate Change Act 2008, s.58)</w:t>
            </w:r>
          </w:p>
        </w:tc>
      </w:tr>
      <w:tr w:rsidR="006A7B15" w14:paraId="3ED8E092" w14:textId="77777777"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030D37" w14:textId="77777777" w:rsidR="006A7B15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IND-J-042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1EE2E1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Pressure from invasive non-native species – establishment rate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F29ACB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JNCC UK Biodiversity Indicators 2025</w:t>
            </w:r>
          </w:p>
        </w:tc>
        <w:tc>
          <w:tcPr>
            <w:tcW w:w="4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293B67" w14:textId="77777777" w:rsidR="006A7B15" w:rsidRDefault="00000000">
            <w:pPr>
              <w:spacing w:after="0"/>
            </w:pPr>
            <w:hyperlink r:id="rId33">
              <w:r>
                <w:rPr>
                  <w:rFonts w:cs="Arial"/>
                  <w:color w:val="10497A"/>
                  <w:sz w:val="16"/>
                  <w:u w:val="single"/>
                </w:rPr>
                <w:t>NBSAP 2025</w:t>
              </w:r>
            </w:hyperlink>
            <w:r>
              <w:rPr>
                <w:rFonts w:cs="Arial"/>
                <w:sz w:val="16"/>
              </w:rPr>
              <w:t>; Environment Act 2021 species targets</w:t>
            </w:r>
          </w:p>
        </w:tc>
      </w:tr>
      <w:tr w:rsidR="006A7B15" w14:paraId="5FB47524" w14:textId="77777777">
        <w:tc>
          <w:tcPr>
            <w:tcW w:w="12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2C0826" w14:textId="77777777" w:rsidR="006A7B15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IND-J-063</w:t>
            </w:r>
          </w:p>
        </w:tc>
        <w:tc>
          <w:tcPr>
            <w:tcW w:w="50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415BBE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Spring Index (phenology)</w:t>
            </w:r>
          </w:p>
        </w:tc>
        <w:tc>
          <w:tcPr>
            <w:tcW w:w="35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695BDF" w14:textId="77777777" w:rsidR="006A7B15" w:rsidRDefault="00000000">
            <w:pPr>
              <w:spacing w:after="0"/>
            </w:pPr>
            <w:r>
              <w:rPr>
                <w:rFonts w:cs="Arial"/>
                <w:sz w:val="16"/>
              </w:rPr>
              <w:t>JNCC UK Biodiversity Indicators 2025</w:t>
            </w:r>
          </w:p>
        </w:tc>
        <w:tc>
          <w:tcPr>
            <w:tcW w:w="47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6374D" w14:textId="77777777" w:rsidR="006A7B15" w:rsidRDefault="00000000">
            <w:pPr>
              <w:spacing w:after="0"/>
            </w:pPr>
            <w:hyperlink r:id="rId34">
              <w:r>
                <w:rPr>
                  <w:rFonts w:cs="Arial"/>
                  <w:color w:val="10497A"/>
                  <w:sz w:val="16"/>
                  <w:u w:val="single"/>
                </w:rPr>
                <w:t>NBSAP 2025</w:t>
              </w:r>
            </w:hyperlink>
            <w:r>
              <w:rPr>
                <w:rFonts w:cs="Arial"/>
                <w:sz w:val="16"/>
              </w:rPr>
              <w:t>; Environment Act 2021 species targets</w:t>
            </w:r>
          </w:p>
        </w:tc>
      </w:tr>
    </w:tbl>
    <w:p w14:paraId="28FEBCC6" w14:textId="77777777" w:rsidR="006A7B15" w:rsidRDefault="00000000">
      <w:pPr>
        <w:spacing w:before="220" w:after="120"/>
      </w:pPr>
      <w:r>
        <w:rPr>
          <w:rFonts w:cs="Arial"/>
          <w:b/>
          <w:color w:val="08414C"/>
          <w:sz w:val="26"/>
        </w:rPr>
        <w:t>Methods</w:t>
      </w:r>
    </w:p>
    <w:p w14:paraId="4F9CB179" w14:textId="77777777" w:rsidR="006A7B15" w:rsidRDefault="00000000">
      <w:pPr>
        <w:pStyle w:val="ListNumber"/>
        <w:spacing w:after="80"/>
      </w:pPr>
      <w:r>
        <w:rPr>
          <w:rFonts w:cs="Arial"/>
          <w:b/>
          <w:sz w:val="17"/>
        </w:rPr>
        <w:t>MO research scoped</w:t>
      </w:r>
      <w:r>
        <w:rPr>
          <w:rFonts w:cs="Arial"/>
          <w:sz w:val="17"/>
        </w:rPr>
        <w:t xml:space="preserve"> from the supplied bibliography (Hemming ResearchGate profile, 127 publications), filtering to plant pest/pathogen/biosecurity and adjacent vector work; the tool was characterised by inspecting the web app and its specific-pests reference list (PDF), confirming it as a degree-day thermal-accumulation model.</w:t>
      </w:r>
    </w:p>
    <w:p w14:paraId="49515BFA" w14:textId="77777777" w:rsidR="006A7B15" w:rsidRDefault="00000000">
      <w:pPr>
        <w:pStyle w:val="ListNumber"/>
        <w:spacing w:after="80"/>
      </w:pPr>
      <w:r>
        <w:rPr>
          <w:rFonts w:cs="Arial"/>
          <w:b/>
          <w:sz w:val="17"/>
        </w:rPr>
        <w:t>Partnership and research-to-policy channels</w:t>
      </w:r>
      <w:r>
        <w:rPr>
          <w:rFonts w:cs="Arial"/>
          <w:sz w:val="17"/>
        </w:rPr>
        <w:t xml:space="preserve"> confirmed via the Met Office blog (21 Mar 2024) and Defra’s UK Plant Health Information Portal (contingency-planning and strategy pages, accessed June 2026), plus GOV.UK APHA surveillance guidance.</w:t>
      </w:r>
    </w:p>
    <w:p w14:paraId="51426AAC" w14:textId="77777777" w:rsidR="006A7B15" w:rsidRDefault="00000000">
      <w:pPr>
        <w:pStyle w:val="ListNumber"/>
        <w:spacing w:after="80"/>
      </w:pPr>
      <w:r>
        <w:rPr>
          <w:rFonts w:cs="Arial"/>
          <w:b/>
          <w:sz w:val="17"/>
        </w:rPr>
        <w:t>Policy candidates</w:t>
      </w:r>
      <w:r>
        <w:rPr>
          <w:rFonts w:cs="Arial"/>
          <w:sz w:val="17"/>
        </w:rPr>
        <w:t xml:space="preserve"> drawn from the governance workbook’s Policies &amp; Activities sheet (uk_climate_nature_governance; the POL records scored are stable across v8–v15), filtered first on the Biosecurity / Nature / Land sector tags, then all records screened for a plausible pest/pathogen/tree-health dependency; supplemented with operational activities (risk register, contingency plans, Observatree) absent from the workbook.</w:t>
      </w:r>
    </w:p>
    <w:p w14:paraId="7C03350D" w14:textId="77777777" w:rsidR="006A7B15" w:rsidRDefault="00000000">
      <w:pPr>
        <w:pStyle w:val="ListNumber"/>
        <w:spacing w:after="80"/>
      </w:pPr>
      <w:r>
        <w:rPr>
          <w:rFonts w:cs="Arial"/>
          <w:b/>
          <w:sz w:val="17"/>
        </w:rPr>
        <w:lastRenderedPageBreak/>
        <w:t>Scoring</w:t>
      </w:r>
      <w:r>
        <w:rPr>
          <w:rFonts w:cs="Arial"/>
          <w:sz w:val="17"/>
        </w:rPr>
        <w:t xml:space="preserve"> used two independent axes. </w:t>
      </w:r>
      <w:r>
        <w:rPr>
          <w:rFonts w:cs="Arial"/>
          <w:i/>
          <w:sz w:val="17"/>
        </w:rPr>
        <w:t>Relevance</w:t>
      </w:r>
      <w:r>
        <w:rPr>
          <w:rFonts w:cs="Arial"/>
          <w:sz w:val="17"/>
        </w:rPr>
        <w:t xml:space="preserve"> (materiality of MO pest science to the policy): direct/named input = 3; defined risk-or-adaptation evidence role = 2; implicit dependency = 1. </w:t>
      </w:r>
      <w:r>
        <w:rPr>
          <w:rFonts w:cs="Arial"/>
          <w:i/>
          <w:sz w:val="17"/>
        </w:rPr>
        <w:t>Status</w:t>
      </w:r>
      <w:r>
        <w:rPr>
          <w:rFonts w:cs="Arial"/>
          <w:sz w:val="17"/>
        </w:rPr>
        <w:t>: Current where MO science already informs the activity (documented), Opportunity where the use is credible but not yet realised. Kept separate so a high-materiality policy not yet using the science (e.g. CCRA4, EIP 2025) is not mistaken for a low-relevance one.</w:t>
      </w:r>
    </w:p>
    <w:p w14:paraId="22173B7F" w14:textId="77777777" w:rsidR="006A7B15" w:rsidRDefault="00000000">
      <w:pPr>
        <w:pStyle w:val="ListNumber"/>
        <w:spacing w:after="80"/>
      </w:pPr>
      <w:r>
        <w:rPr>
          <w:rFonts w:cs="Arial"/>
          <w:b/>
          <w:sz w:val="17"/>
        </w:rPr>
        <w:t>Indicator scan</w:t>
      </w:r>
      <w:r>
        <w:rPr>
          <w:rFonts w:cs="Arial"/>
          <w:sz w:val="17"/>
        </w:rPr>
        <w:t xml:space="preserve"> of biodiversity_indicators_manual_v6 across its framework sheets, keyword-filtered for invasive/non-native species, plant pests and pathogens, tree health and phenology, then narrowed to indicators whose measured quantity MO outputs could directly inform (distribution/establishment modelling, crop-pest phenology, the temperature-driven Spring Index).</w:t>
      </w:r>
    </w:p>
    <w:p w14:paraId="70522FB4" w14:textId="77777777" w:rsidR="006A7B15" w:rsidRDefault="00000000">
      <w:pPr>
        <w:spacing w:before="80" w:after="60"/>
      </w:pPr>
      <w:r>
        <w:rPr>
          <w:rFonts w:cs="Arial"/>
          <w:b/>
          <w:color w:val="08414C"/>
        </w:rPr>
        <w:t>Main gaps and caveats</w:t>
      </w:r>
    </w:p>
    <w:p w14:paraId="1BFD11EA" w14:textId="77777777" w:rsidR="006A7B15" w:rsidRDefault="00000000">
      <w:pPr>
        <w:spacing w:after="120"/>
      </w:pPr>
      <w:r>
        <w:rPr>
          <w:rFonts w:cs="Arial"/>
          <w:sz w:val="17"/>
        </w:rPr>
        <w:t xml:space="preserve">The workbook holds no records for the GB Plant Health Risk Register, contingency plans or Observatree — these are the highest-relevance operational activities and are arguably worth adding as POL records. Relevance for the carbon / biomass / land-use policies is inference, not evidenced in current policy text. The tool covers a small predefined pest set; pathogen (versus insect) coverage is thinner, so pathogen-heavy policies (e.g. </w:t>
      </w:r>
      <w:r>
        <w:rPr>
          <w:rFonts w:cs="Arial"/>
          <w:i/>
          <w:sz w:val="17"/>
        </w:rPr>
        <w:t>Phytophthora</w:t>
      </w:r>
      <w:r>
        <w:rPr>
          <w:rFonts w:cs="Arial"/>
          <w:sz w:val="17"/>
        </w:rPr>
        <w:t xml:space="preserve">, </w:t>
      </w:r>
      <w:r>
        <w:rPr>
          <w:rFonts w:cs="Arial"/>
          <w:i/>
          <w:sz w:val="17"/>
        </w:rPr>
        <w:t>Xylella</w:t>
      </w:r>
      <w:r>
        <w:rPr>
          <w:rFonts w:cs="Arial"/>
          <w:sz w:val="17"/>
        </w:rPr>
        <w:t>) are served more by the microclimate work than by the public tool.</w:t>
      </w:r>
    </w:p>
    <w:p w14:paraId="56A50BB5" w14:textId="77777777" w:rsidR="006A7B15" w:rsidRDefault="00000000">
      <w:pPr>
        <w:spacing w:before="220" w:after="120"/>
      </w:pPr>
      <w:r>
        <w:rPr>
          <w:rFonts w:cs="Arial"/>
          <w:b/>
          <w:color w:val="08414C"/>
          <w:sz w:val="26"/>
        </w:rPr>
        <w:t>Additional references used</w:t>
      </w:r>
    </w:p>
    <w:p w14:paraId="14BF0675" w14:textId="77777777" w:rsidR="006A7B15" w:rsidRDefault="00000000">
      <w:pPr>
        <w:spacing w:after="60"/>
      </w:pPr>
      <w:r>
        <w:rPr>
          <w:rFonts w:cs="Arial"/>
          <w:b/>
          <w:color w:val="08414C"/>
        </w:rPr>
        <w:t>Met Office research (from bibliography)</w:t>
      </w:r>
    </w:p>
    <w:p w14:paraId="7F6778F6" w14:textId="77777777" w:rsidR="006A7B15" w:rsidRDefault="00000000">
      <w:pPr>
        <w:pStyle w:val="ListNumber"/>
        <w:spacing w:after="60"/>
      </w:pPr>
      <w:r>
        <w:rPr>
          <w:rFonts w:cs="Arial"/>
          <w:sz w:val="16"/>
        </w:rPr>
        <w:t xml:space="preserve">Hemming, D.L. &amp; Macneill, K. (2020) Use of meteorological data in biosecurity. </w:t>
      </w:r>
      <w:r>
        <w:rPr>
          <w:rFonts w:cs="Arial"/>
          <w:i/>
          <w:sz w:val="16"/>
        </w:rPr>
        <w:t>Emerging Topics in Life Sciences</w:t>
      </w:r>
      <w:r>
        <w:rPr>
          <w:rFonts w:cs="Arial"/>
          <w:sz w:val="16"/>
        </w:rPr>
        <w:t xml:space="preserve"> 4(5).</w:t>
      </w:r>
    </w:p>
    <w:p w14:paraId="3F9879FE" w14:textId="77777777" w:rsidR="006A7B15" w:rsidRDefault="00000000">
      <w:pPr>
        <w:pStyle w:val="ListNumber"/>
        <w:spacing w:after="60"/>
      </w:pPr>
      <w:r>
        <w:rPr>
          <w:rFonts w:cs="Arial"/>
          <w:sz w:val="16"/>
        </w:rPr>
        <w:t xml:space="preserve">Mosedale, J., Eyre, D., Korycinska, A., Maclean, I.M.D. et al. (2024) Mechanistic microclimate models and plant pest risk modelling. </w:t>
      </w:r>
      <w:r>
        <w:rPr>
          <w:rFonts w:cs="Arial"/>
          <w:i/>
          <w:sz w:val="16"/>
        </w:rPr>
        <w:t>Journal of Pest Science</w:t>
      </w:r>
      <w:r>
        <w:rPr>
          <w:rFonts w:cs="Arial"/>
          <w:sz w:val="16"/>
        </w:rPr>
        <w:t>.</w:t>
      </w:r>
    </w:p>
    <w:p w14:paraId="578CCC14" w14:textId="77777777" w:rsidR="006A7B15" w:rsidRDefault="00000000">
      <w:pPr>
        <w:pStyle w:val="ListNumber"/>
        <w:spacing w:after="60"/>
      </w:pPr>
      <w:r>
        <w:rPr>
          <w:rFonts w:cs="Arial"/>
          <w:sz w:val="16"/>
        </w:rPr>
        <w:t xml:space="preserve">Bradshaw, C., Hemming, D.L., Baker, R., Korycinska, A. et al. (2019) A novel approach for exploring climatic factors limiting current pest distributions: </w:t>
      </w:r>
      <w:r>
        <w:rPr>
          <w:rFonts w:cs="Arial"/>
          <w:i/>
          <w:sz w:val="16"/>
        </w:rPr>
        <w:t>Bemisia tabaci</w:t>
      </w:r>
      <w:r>
        <w:rPr>
          <w:rFonts w:cs="Arial"/>
          <w:sz w:val="16"/>
        </w:rPr>
        <w:t xml:space="preserve"> in north-west Europe and potential future UK establishment under climate change. </w:t>
      </w:r>
      <w:r>
        <w:rPr>
          <w:rFonts w:cs="Arial"/>
          <w:i/>
          <w:sz w:val="16"/>
        </w:rPr>
        <w:t>PLOS ONE</w:t>
      </w:r>
      <w:r>
        <w:rPr>
          <w:rFonts w:cs="Arial"/>
          <w:sz w:val="16"/>
        </w:rPr>
        <w:t>.</w:t>
      </w:r>
    </w:p>
    <w:p w14:paraId="4F7E0E0E" w14:textId="77777777" w:rsidR="006A7B15" w:rsidRDefault="00000000">
      <w:pPr>
        <w:pStyle w:val="ListNumber"/>
        <w:spacing w:after="60"/>
      </w:pPr>
      <w:r>
        <w:rPr>
          <w:rFonts w:cs="Arial"/>
          <w:sz w:val="16"/>
        </w:rPr>
        <w:t xml:space="preserve">Hemming, D.L., Bell, J., Collier, R., Scaife, A.A. et al. (2022) Likelihood of extreme early flight of </w:t>
      </w:r>
      <w:r>
        <w:rPr>
          <w:rFonts w:cs="Arial"/>
          <w:i/>
          <w:sz w:val="16"/>
        </w:rPr>
        <w:t>Myzus persicae</w:t>
      </w:r>
      <w:r>
        <w:rPr>
          <w:rFonts w:cs="Arial"/>
          <w:sz w:val="16"/>
        </w:rPr>
        <w:t xml:space="preserve"> across the UK. </w:t>
      </w:r>
      <w:r>
        <w:rPr>
          <w:rFonts w:cs="Arial"/>
          <w:i/>
          <w:sz w:val="16"/>
        </w:rPr>
        <w:t>Journal of Economic Entomology</w:t>
      </w:r>
      <w:r>
        <w:rPr>
          <w:rFonts w:cs="Arial"/>
          <w:sz w:val="16"/>
        </w:rPr>
        <w:t>.</w:t>
      </w:r>
    </w:p>
    <w:p w14:paraId="31EE136B" w14:textId="77777777" w:rsidR="006A7B15" w:rsidRDefault="00000000">
      <w:pPr>
        <w:pStyle w:val="ListNumber"/>
        <w:spacing w:after="60"/>
      </w:pPr>
      <w:r>
        <w:rPr>
          <w:rFonts w:cs="Arial"/>
          <w:sz w:val="16"/>
        </w:rPr>
        <w:t xml:space="preserve">Bradshaw, C., Hemming, D.L., Mona, T., Gilligan, C.A. et al. (2024) Transmission pathways for the stem rust pathogen into Central and East Asia and the role of the alternate host, barberry. </w:t>
      </w:r>
      <w:r>
        <w:rPr>
          <w:rFonts w:cs="Arial"/>
          <w:i/>
          <w:sz w:val="16"/>
        </w:rPr>
        <w:t>Environmental Research Letters</w:t>
      </w:r>
      <w:r>
        <w:rPr>
          <w:rFonts w:cs="Arial"/>
          <w:sz w:val="16"/>
        </w:rPr>
        <w:t>.</w:t>
      </w:r>
    </w:p>
    <w:p w14:paraId="156BABAB" w14:textId="77777777" w:rsidR="006A7B15" w:rsidRDefault="00000000">
      <w:pPr>
        <w:pStyle w:val="ListNumber"/>
        <w:spacing w:after="60"/>
      </w:pPr>
      <w:r>
        <w:rPr>
          <w:rFonts w:cs="Arial"/>
          <w:sz w:val="16"/>
        </w:rPr>
        <w:t xml:space="preserve">Urhausen, S., Bradshaw, C., Davie, J., Zhang, F. et al. (2024) Climate-related risk to maize crops in China from Fall Armyworm, </w:t>
      </w:r>
      <w:r>
        <w:rPr>
          <w:rFonts w:cs="Arial"/>
          <w:i/>
          <w:sz w:val="16"/>
        </w:rPr>
        <w:t>Spodoptera frugiperda</w:t>
      </w:r>
      <w:r>
        <w:rPr>
          <w:rFonts w:cs="Arial"/>
          <w:sz w:val="16"/>
        </w:rPr>
        <w:t xml:space="preserve">. </w:t>
      </w:r>
      <w:r>
        <w:rPr>
          <w:rFonts w:cs="Arial"/>
          <w:i/>
          <w:sz w:val="16"/>
        </w:rPr>
        <w:t>Journal of Pest Science</w:t>
      </w:r>
      <w:r>
        <w:rPr>
          <w:rFonts w:cs="Arial"/>
          <w:sz w:val="16"/>
        </w:rPr>
        <w:t>.</w:t>
      </w:r>
    </w:p>
    <w:p w14:paraId="5EA570A6" w14:textId="77777777" w:rsidR="006A7B15" w:rsidRDefault="00000000">
      <w:pPr>
        <w:pStyle w:val="ListNumber"/>
        <w:spacing w:after="60"/>
      </w:pPr>
      <w:r>
        <w:rPr>
          <w:rFonts w:cs="Arial"/>
          <w:sz w:val="16"/>
        </w:rPr>
        <w:t xml:space="preserve">Crowhurst, R. &amp; Hemming, D.L. (2022) Forecasting is not just for the weather (peach-potato aphid risk). </w:t>
      </w:r>
      <w:r>
        <w:rPr>
          <w:rFonts w:cs="Arial"/>
          <w:i/>
          <w:sz w:val="16"/>
        </w:rPr>
        <w:t>The Vegetable Farmer</w:t>
      </w:r>
      <w:r>
        <w:rPr>
          <w:rFonts w:cs="Arial"/>
          <w:sz w:val="16"/>
        </w:rPr>
        <w:t>, April 2022.</w:t>
      </w:r>
    </w:p>
    <w:p w14:paraId="0BDF6C9F" w14:textId="77777777" w:rsidR="006A7B15" w:rsidRDefault="00000000">
      <w:pPr>
        <w:spacing w:before="120" w:after="60"/>
      </w:pPr>
      <w:r>
        <w:rPr>
          <w:rFonts w:cs="Arial"/>
          <w:b/>
          <w:color w:val="08414C"/>
        </w:rPr>
        <w:t>Other sources</w:t>
      </w:r>
    </w:p>
    <w:p w14:paraId="1556BAD9" w14:textId="77777777" w:rsidR="006A7B15" w:rsidRDefault="00000000">
      <w:pPr>
        <w:pStyle w:val="ListBullet"/>
        <w:spacing w:after="60"/>
      </w:pPr>
      <w:r>
        <w:rPr>
          <w:rFonts w:cs="Arial"/>
          <w:sz w:val="16"/>
        </w:rPr>
        <w:t xml:space="preserve">Met Office UK Climate-Pest Risk web tool and specific-pests reference list. </w:t>
      </w:r>
      <w:hyperlink r:id="rId35">
        <w:r>
          <w:rPr>
            <w:rFonts w:cs="Arial"/>
            <w:color w:val="10497A"/>
            <w:sz w:val="16"/>
            <w:u w:val="single"/>
          </w:rPr>
          <w:t>metoffice.gov.uk/hadobs/biosecurity_uk_hist</w:t>
        </w:r>
      </w:hyperlink>
    </w:p>
    <w:p w14:paraId="3B4ADB51" w14:textId="77777777" w:rsidR="006A7B15" w:rsidRDefault="00000000">
      <w:pPr>
        <w:pStyle w:val="ListBullet"/>
        <w:spacing w:after="60"/>
      </w:pPr>
      <w:r>
        <w:rPr>
          <w:rFonts w:cs="Arial"/>
          <w:sz w:val="16"/>
        </w:rPr>
        <w:t>Met Office (21 Mar 2024) Met Office scientists protecting our forests from pests and pathogens (blog).</w:t>
      </w:r>
    </w:p>
    <w:p w14:paraId="41CC8D04" w14:textId="77777777" w:rsidR="006A7B15" w:rsidRDefault="00000000">
      <w:pPr>
        <w:pStyle w:val="ListBullet"/>
        <w:spacing w:after="60"/>
      </w:pPr>
      <w:r>
        <w:rPr>
          <w:rFonts w:cs="Arial"/>
          <w:sz w:val="16"/>
        </w:rPr>
        <w:t>Defra, UK Plant Health Information Portal — Contingency planning; Plant Biosecurity Strategy pages (accessed June 2026).</w:t>
      </w:r>
    </w:p>
    <w:p w14:paraId="5F4A9D15" w14:textId="77777777" w:rsidR="006A7B15" w:rsidRDefault="00000000">
      <w:pPr>
        <w:pStyle w:val="ListBullet"/>
        <w:spacing w:after="60"/>
      </w:pPr>
      <w:r>
        <w:rPr>
          <w:rFonts w:cs="Arial"/>
          <w:sz w:val="16"/>
        </w:rPr>
        <w:t>GOV.UK, APHA plant health surveillance programme.</w:t>
      </w:r>
    </w:p>
    <w:p w14:paraId="4C79052C" w14:textId="77777777" w:rsidR="006A7B15" w:rsidRDefault="00000000">
      <w:pPr>
        <w:pStyle w:val="ListBullet"/>
        <w:spacing w:after="60"/>
      </w:pPr>
      <w:r>
        <w:rPr>
          <w:rFonts w:cs="Arial"/>
          <w:sz w:val="16"/>
        </w:rPr>
        <w:t>uk_climate_nature_governance_v15.xlsx, Policies &amp; Activities sheet (links taken from the Link column).</w:t>
      </w:r>
    </w:p>
    <w:p w14:paraId="59C83AF4" w14:textId="77777777" w:rsidR="006A7B15" w:rsidRDefault="00000000">
      <w:pPr>
        <w:pStyle w:val="ListBullet"/>
        <w:spacing w:after="60"/>
      </w:pPr>
      <w:r>
        <w:rPr>
          <w:rFonts w:cs="Arial"/>
          <w:sz w:val="16"/>
        </w:rPr>
        <w:t>biodiversity_indicators_manual_v6.xlsx, framework indicator sheets (EIF, CCC, JNCC).</w:t>
      </w:r>
    </w:p>
    <w:sectPr w:rsidR="006A7B15" w:rsidSect="00034616">
      <w:headerReference w:type="default" r:id="rId36"/>
      <w:footerReference w:type="default" r:id="rId37"/>
      <w:pgSz w:w="15840" w:h="12240" w:orient="landscape"/>
      <w:pgMar w:top="1080" w:right="720" w:bottom="900" w:left="720" w:header="54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D6F336" w14:textId="77777777" w:rsidR="00822ED8" w:rsidRDefault="00822ED8">
      <w:pPr>
        <w:spacing w:after="0" w:line="240" w:lineRule="auto"/>
      </w:pPr>
      <w:r>
        <w:separator/>
      </w:r>
    </w:p>
  </w:endnote>
  <w:endnote w:type="continuationSeparator" w:id="0">
    <w:p w14:paraId="3BC50E7B" w14:textId="77777777" w:rsidR="00822ED8" w:rsidRDefault="00822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911B24" w14:textId="17BEAA4D" w:rsidR="006A7B15" w:rsidRDefault="00000000">
    <w:pPr>
      <w:pStyle w:val="Footer"/>
      <w:pBdr>
        <w:top w:val="single" w:sz="4" w:space="4" w:color="C5D0D4"/>
      </w:pBdr>
      <w:tabs>
        <w:tab w:val="right" w:pos="14400"/>
      </w:tabs>
    </w:pPr>
    <w:r>
      <w:rPr>
        <w:rFonts w:cs="Arial"/>
        <w:color w:val="5A6B73"/>
        <w:sz w:val="14"/>
      </w:rPr>
      <w:t>Source workbook: uk_climate_nature_governance_v15 · Policies &amp; Activities · policy links live</w:t>
    </w:r>
    <w:r>
      <w:rPr>
        <w:rFonts w:cs="Arial"/>
        <w:color w:val="5A6B73"/>
        <w:sz w:val="14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043D6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016CAD" w14:textId="77777777" w:rsidR="00822ED8" w:rsidRDefault="00822ED8">
      <w:pPr>
        <w:spacing w:after="0" w:line="240" w:lineRule="auto"/>
      </w:pPr>
      <w:r>
        <w:separator/>
      </w:r>
    </w:p>
  </w:footnote>
  <w:footnote w:type="continuationSeparator" w:id="0">
    <w:p w14:paraId="1CD0D0B6" w14:textId="77777777" w:rsidR="00822ED8" w:rsidRDefault="00822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A152E4" w14:textId="77777777" w:rsidR="006A7B15" w:rsidRDefault="00000000">
    <w:pPr>
      <w:pStyle w:val="Header"/>
      <w:pBdr>
        <w:bottom w:val="single" w:sz="6" w:space="4" w:color="0B5563"/>
      </w:pBdr>
    </w:pPr>
    <w:r>
      <w:rPr>
        <w:rFonts w:cs="Arial"/>
        <w:color w:val="5A6B73"/>
        <w:sz w:val="15"/>
      </w:rPr>
      <w:t>Met Office plant pest, pathogen &amp; biosecurity research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1040702">
    <w:abstractNumId w:val="8"/>
  </w:num>
  <w:num w:numId="2" w16cid:durableId="2030330993">
    <w:abstractNumId w:val="6"/>
  </w:num>
  <w:num w:numId="3" w16cid:durableId="45106592">
    <w:abstractNumId w:val="5"/>
  </w:num>
  <w:num w:numId="4" w16cid:durableId="536046786">
    <w:abstractNumId w:val="4"/>
  </w:num>
  <w:num w:numId="5" w16cid:durableId="35353464">
    <w:abstractNumId w:val="7"/>
  </w:num>
  <w:num w:numId="6" w16cid:durableId="848831019">
    <w:abstractNumId w:val="3"/>
  </w:num>
  <w:num w:numId="7" w16cid:durableId="1168793486">
    <w:abstractNumId w:val="2"/>
  </w:num>
  <w:num w:numId="8" w16cid:durableId="1807889412">
    <w:abstractNumId w:val="1"/>
  </w:num>
  <w:num w:numId="9" w16cid:durableId="12477695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fullPage"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D69"/>
    <w:rsid w:val="0006063C"/>
    <w:rsid w:val="0015074B"/>
    <w:rsid w:val="0029639D"/>
    <w:rsid w:val="00314959"/>
    <w:rsid w:val="00326F90"/>
    <w:rsid w:val="006A7B15"/>
    <w:rsid w:val="00822E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18B7B4-33EF-304E-A9ED-0E1DDB19B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F2A33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lanthealthportal.defra.gov.uk/pests-and-diseases/contingency-planning/" TargetMode="External"/><Relationship Id="rId18" Type="http://schemas.openxmlformats.org/officeDocument/2006/relationships/hyperlink" Target="https://www.gov.uk/government/publications/third-national-adaptation-programme-nap3" TargetMode="External"/><Relationship Id="rId26" Type="http://schemas.openxmlformats.org/officeDocument/2006/relationships/hyperlink" Target="https://www.gov.uk/government/publications/biomass-strategy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gov.uk/government/consultations/land-use-in-england-a-framework-for-the-future" TargetMode="External"/><Relationship Id="rId34" Type="http://schemas.openxmlformats.org/officeDocument/2006/relationships/hyperlink" Target="https://www.gov.uk/government/publications/uk-national-biodiversity-strategy-and-action-plan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planthealthportal.defra.gov.uk/pests-and-diseases/uk-plant-health-risk-register/" TargetMode="External"/><Relationship Id="rId17" Type="http://schemas.openxmlformats.org/officeDocument/2006/relationships/hyperlink" Target="https://www.gov.uk/government/publications/uk-national-biodiversity-strategy-and-action-plan" TargetMode="External"/><Relationship Id="rId25" Type="http://schemas.openxmlformats.org/officeDocument/2006/relationships/hyperlink" Target="https://www.theccc.org.uk/publication/the-seventh-carbon-budget/" TargetMode="External"/><Relationship Id="rId33" Type="http://schemas.openxmlformats.org/officeDocument/2006/relationships/hyperlink" Target="https://www.gov.uk/government/publications/uk-national-biodiversity-strategy-and-action-plan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gov.uk/government/publications/environmental-improvement-plan" TargetMode="External"/><Relationship Id="rId20" Type="http://schemas.openxmlformats.org/officeDocument/2006/relationships/hyperlink" Target="https://www.gov.uk/government/publications/natural-capital-and-ecosystem-assessment-ncea-programme/natural-capital-and-ecosystem-assessment-ncea-programme" TargetMode="External"/><Relationship Id="rId29" Type="http://schemas.openxmlformats.org/officeDocument/2006/relationships/hyperlink" Target="https://www.gov.uk/government/publications/environmental-improvement-pla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v.uk/government/publications/england-trees-action-plan-2021-to-2024" TargetMode="External"/><Relationship Id="rId24" Type="http://schemas.openxmlformats.org/officeDocument/2006/relationships/hyperlink" Target="https://www.woodlandcarboncode.org.uk/" TargetMode="External"/><Relationship Id="rId32" Type="http://schemas.openxmlformats.org/officeDocument/2006/relationships/hyperlink" Target="https://www.gov.uk/government/publications/third-national-adaptation-programme-nap3" TargetMode="External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gov.uk/government/publications/third-national-adaptation-programme-nap3" TargetMode="External"/><Relationship Id="rId23" Type="http://schemas.openxmlformats.org/officeDocument/2006/relationships/hyperlink" Target="https://www.gov.uk/government/publications/nature-for-climate-fund" TargetMode="External"/><Relationship Id="rId28" Type="http://schemas.openxmlformats.org/officeDocument/2006/relationships/hyperlink" Target="https://www.observatree.org.uk/" TargetMode="External"/><Relationship Id="rId36" Type="http://schemas.openxmlformats.org/officeDocument/2006/relationships/header" Target="header1.xml"/><Relationship Id="rId10" Type="http://schemas.openxmlformats.org/officeDocument/2006/relationships/hyperlink" Target="https://www.gov.uk/government/publications/tree-health-resilience-strategy-2018" TargetMode="External"/><Relationship Id="rId19" Type="http://schemas.openxmlformats.org/officeDocument/2006/relationships/hyperlink" Target="https://ukncsp.org" TargetMode="External"/><Relationship Id="rId31" Type="http://schemas.openxmlformats.org/officeDocument/2006/relationships/hyperlink" Target="https://www.gov.uk/government/publications/third-national-adaptation-programme-nap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v.uk/government/publications/plant-biosecurity-strategy-for-great-britain-2023-to-2028/plant-biosecurity-strategy-for-great-britain-2023-to-2028" TargetMode="External"/><Relationship Id="rId14" Type="http://schemas.openxmlformats.org/officeDocument/2006/relationships/hyperlink" Target="https://www.gov.uk/government/publications/climate-change-risk-assessment-2022" TargetMode="External"/><Relationship Id="rId22" Type="http://schemas.openxmlformats.org/officeDocument/2006/relationships/hyperlink" Target="https://www.gov.uk/government/publications/environmental-land-management-schemes-overview" TargetMode="External"/><Relationship Id="rId27" Type="http://schemas.openxmlformats.org/officeDocument/2006/relationships/hyperlink" Target="https://ukeof.org.uk/" TargetMode="External"/><Relationship Id="rId30" Type="http://schemas.openxmlformats.org/officeDocument/2006/relationships/hyperlink" Target="https://www.gov.uk/government/publications/environmental-improvement-plan" TargetMode="External"/><Relationship Id="rId35" Type="http://schemas.openxmlformats.org/officeDocument/2006/relationships/hyperlink" Target="https://www.metoffice.gov.uk/hadobs/biosecurity_uk_hist/" TargetMode="External"/><Relationship Id="rId8" Type="http://schemas.openxmlformats.org/officeDocument/2006/relationships/hyperlink" Target="https://www.metoffice.gov.uk/hadobs/biosecurity_uk_hist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2015</Words>
  <Characters>12626</Characters>
  <Application>Microsoft Office Word</Application>
  <DocSecurity>0</DocSecurity>
  <Lines>264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Mosedale, Jonathan</cp:lastModifiedBy>
  <cp:revision>2</cp:revision>
  <dcterms:created xsi:type="dcterms:W3CDTF">2013-12-23T23:15:00Z</dcterms:created>
  <dcterms:modified xsi:type="dcterms:W3CDTF">2026-07-15T11:55:00Z</dcterms:modified>
  <cp:category/>
</cp:coreProperties>
</file>