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ayout w:type="fixed"/>
        <w:tblLook w:val="04A0" w:firstRow="1" w:lastRow="0" w:firstColumn="1" w:lastColumn="0" w:noHBand="0" w:noVBand="1"/>
      </w:tblPr>
      <w:tblGrid>
        <w:gridCol w:w="14400"/>
      </w:tblGrid>
      <w:tr w:rsidR="00311A95" w14:paraId="297C6600" w14:textId="77777777">
        <w:tc>
          <w:tcPr>
            <w:tcW w:w="14400" w:type="dxa"/>
            <w:shd w:val="clear" w:color="auto" w:fill="0B5563"/>
            <w:tcMar>
              <w:top w:w="160" w:type="dxa"/>
              <w:left w:w="200" w:type="dxa"/>
              <w:bottom w:w="160" w:type="dxa"/>
              <w:right w:w="200" w:type="dxa"/>
            </w:tcMar>
          </w:tcPr>
          <w:p w14:paraId="5869C1AA" w14:textId="04E555E1" w:rsidR="00311A95" w:rsidRDefault="00345F83">
            <w:pPr>
              <w:spacing w:after="40"/>
            </w:pPr>
            <w:r>
              <w:rPr>
                <w:rFonts w:cs="Arial"/>
                <w:b/>
                <w:color w:val="FFFFFF"/>
                <w:sz w:val="30"/>
              </w:rPr>
              <w:t xml:space="preserve">Extreme </w:t>
            </w:r>
            <w:r w:rsidR="0081596D">
              <w:rPr>
                <w:rFonts w:cs="Arial"/>
                <w:b/>
                <w:color w:val="FFFFFF"/>
                <w:sz w:val="30"/>
              </w:rPr>
              <w:t>Mapping the UK Climate &amp; Nature Policy Landscape for a new Met Office UK Land Surface Temperature (LST) product</w:t>
            </w:r>
          </w:p>
          <w:p w14:paraId="6C37887F" w14:textId="69ECDE1E" w:rsidR="00311A95" w:rsidRDefault="005D7CC0">
            <w:pPr>
              <w:spacing w:after="0"/>
            </w:pPr>
            <w:r>
              <w:rPr>
                <w:rFonts w:cs="Arial"/>
                <w:color w:val="D6E6E9"/>
              </w:rPr>
              <w:t>Gap assessment  ·  Prepared June 2026</w:t>
            </w:r>
          </w:p>
        </w:tc>
      </w:tr>
    </w:tbl>
    <w:p w14:paraId="2461DD34" w14:textId="77777777" w:rsidR="00311A95" w:rsidRDefault="00311A95">
      <w:pPr>
        <w:spacing w:after="120"/>
      </w:pPr>
    </w:p>
    <w:tbl>
      <w:tblPr>
        <w:tblW w:w="0" w:type="auto"/>
        <w:tblLayout w:type="fixed"/>
        <w:tblLook w:val="04A0" w:firstRow="1" w:lastRow="0" w:firstColumn="1" w:lastColumn="0" w:noHBand="0" w:noVBand="1"/>
      </w:tblPr>
      <w:tblGrid>
        <w:gridCol w:w="14400"/>
      </w:tblGrid>
      <w:tr w:rsidR="00311A95" w14:paraId="0A756339" w14:textId="77777777">
        <w:tc>
          <w:tcPr>
            <w:tcW w:w="14400" w:type="dxa"/>
            <w:tcBorders>
              <w:top w:val="single" w:sz="4" w:space="0" w:color="0B5563"/>
              <w:left w:val="single" w:sz="24" w:space="0" w:color="0B5563"/>
              <w:bottom w:val="single" w:sz="4" w:space="0" w:color="0B5563"/>
              <w:right w:val="single" w:sz="4" w:space="0" w:color="0B5563"/>
            </w:tcBorders>
            <w:shd w:val="clear" w:color="auto" w:fill="EAF2F3"/>
            <w:tcMar>
              <w:top w:w="140" w:type="dxa"/>
              <w:left w:w="200" w:type="dxa"/>
              <w:bottom w:w="120" w:type="dxa"/>
              <w:right w:w="200" w:type="dxa"/>
            </w:tcMar>
          </w:tcPr>
          <w:p w14:paraId="596FC724" w14:textId="77777777" w:rsidR="00311A95" w:rsidRDefault="005D7CC0">
            <w:pPr>
              <w:spacing w:after="60"/>
            </w:pPr>
            <w:r>
              <w:rPr>
                <w:rFonts w:cs="Arial"/>
                <w:b/>
                <w:color w:val="08414C"/>
                <w:sz w:val="22"/>
              </w:rPr>
              <w:t>Key points</w:t>
            </w:r>
          </w:p>
          <w:p w14:paraId="30379336" w14:textId="77777777" w:rsidR="00311A95" w:rsidRDefault="005D7CC0">
            <w:pPr>
              <w:pStyle w:val="ListBullet"/>
              <w:spacing w:after="60"/>
              <w:ind w:left="220" w:hanging="150"/>
            </w:pPr>
            <w:r>
              <w:rPr>
                <w:rFonts w:cs="Arial"/>
                <w:b/>
              </w:rPr>
              <w:t>This product does not yet exist at the Met Office.</w:t>
            </w:r>
            <w:r>
              <w:rPr>
                <w:rFonts w:cs="Arial"/>
              </w:rPr>
              <w:t xml:space="preserve"> This is a gap assessment: the external literature shows land surface temperature (LST) is used effectively elsewhere (urban heat islands, tree-canopy cooling, drought/evapotranspiration), and this asks what UK policy could do with a comparable MO product.</w:t>
            </w:r>
          </w:p>
          <w:p w14:paraId="5F173E01" w14:textId="77777777" w:rsidR="00311A95" w:rsidRDefault="005D7CC0">
            <w:pPr>
              <w:pStyle w:val="ListBullet"/>
              <w:spacing w:after="60"/>
              <w:ind w:left="220" w:hanging="150"/>
            </w:pPr>
            <w:r>
              <w:rPr>
                <w:rFonts w:cs="Arial"/>
                <w:b/>
              </w:rPr>
              <w:t>Key distinction:</w:t>
            </w:r>
            <w:r>
              <w:rPr>
                <w:rFonts w:cs="Arial"/>
              </w:rPr>
              <w:t xml:space="preserve"> satellite </w:t>
            </w:r>
            <w:r>
              <w:rPr>
                <w:rFonts w:cs="Arial"/>
                <w:i/>
              </w:rPr>
              <w:t>LST</w:t>
            </w:r>
            <w:r>
              <w:rPr>
                <w:rFonts w:cs="Arial"/>
              </w:rPr>
              <w:t xml:space="preserve"> (skin temperature) is not </w:t>
            </w:r>
            <w:r>
              <w:rPr>
                <w:rFonts w:cs="Arial"/>
                <w:i/>
              </w:rPr>
              <w:t>near-surface air temperature</w:t>
            </w:r>
            <w:r>
              <w:rPr>
                <w:rFonts w:cs="Arial"/>
              </w:rPr>
              <w:t>. Almost all current UK heat policy — Heat-Health Alerts, overheating standards, CCRA/NAP heat risks — runs on air temperature, so direct LST uptake today is thin. That is precisely the gap.</w:t>
            </w:r>
          </w:p>
          <w:p w14:paraId="19B29FD5" w14:textId="77777777" w:rsidR="00311A95" w:rsidRDefault="005D7CC0">
            <w:pPr>
              <w:pStyle w:val="ListBullet"/>
              <w:spacing w:after="60"/>
              <w:ind w:left="220" w:hanging="150"/>
            </w:pPr>
            <w:r>
              <w:rPr>
                <w:rFonts w:cs="Arial"/>
                <w:b/>
              </w:rPr>
              <w:t>Highest-value prospective applications (Relevance 3):</w:t>
            </w:r>
            <w:r>
              <w:rPr>
                <w:rFonts w:cs="Arial"/>
              </w:rPr>
              <w:t xml:space="preserve"> intra-urban heat-exposure mapping for the Weather-Health Alerting System and Adverse Weather and Health Plan, for CCRA4 / NAP4, and for planning under the NPPF (overheating, urban heat islands, green-infrastructure siting).</w:t>
            </w:r>
          </w:p>
          <w:p w14:paraId="74AA5E55" w14:textId="77777777" w:rsidR="00311A95" w:rsidRDefault="005D7CC0">
            <w:pPr>
              <w:pStyle w:val="ListBullet"/>
              <w:spacing w:after="60"/>
              <w:ind w:left="220" w:hanging="150"/>
            </w:pPr>
            <w:r>
              <w:rPr>
                <w:rFonts w:cs="Arial"/>
                <w:b/>
              </w:rPr>
              <w:t>Timely:</w:t>
            </w:r>
            <w:r>
              <w:rPr>
                <w:rFonts w:cs="Arial"/>
              </w:rPr>
              <w:t xml:space="preserve"> UKHSA and the Met Office are already moving the Weather-Health Alerts toward finer geographic resolution — the natural insertion point for an intra-urban LST exposure layer.</w:t>
            </w:r>
          </w:p>
          <w:p w14:paraId="46F1C64F" w14:textId="77777777" w:rsidR="00311A95" w:rsidRDefault="005D7CC0">
            <w:pPr>
              <w:pStyle w:val="ListBullet"/>
              <w:spacing w:after="60"/>
              <w:ind w:left="220" w:hanging="150"/>
            </w:pPr>
            <w:r>
              <w:rPr>
                <w:rFonts w:cs="Arial"/>
                <w:b/>
              </w:rPr>
              <w:t>Maturity varies:</w:t>
            </w:r>
            <w:r>
              <w:rPr>
                <w:rFonts w:cs="Arial"/>
              </w:rPr>
              <w:t xml:space="preserve"> urban green-infrastructure cooling is </w:t>
            </w:r>
            <w:r>
              <w:rPr>
                <w:rFonts w:cs="Arial"/>
                <w:b/>
              </w:rPr>
              <w:t>Demonstrated</w:t>
            </w:r>
            <w:r>
              <w:rPr>
                <w:rFonts w:cs="Arial"/>
              </w:rPr>
              <w:t xml:space="preserve"> (tree-canopy LST studies); most heat and drought applications are </w:t>
            </w:r>
            <w:r>
              <w:rPr>
                <w:rFonts w:cs="Arial"/>
                <w:b/>
              </w:rPr>
              <w:t>Emerging</w:t>
            </w:r>
            <w:r>
              <w:rPr>
                <w:rFonts w:cs="Arial"/>
              </w:rPr>
              <w:t xml:space="preserve"> (proven in research, not yet in UK policy); planning, overheating standards and ecosystem-condition uses are </w:t>
            </w:r>
            <w:r>
              <w:rPr>
                <w:rFonts w:cs="Arial"/>
                <w:b/>
              </w:rPr>
              <w:t>Conceptual</w:t>
            </w:r>
            <w:r>
              <w:rPr>
                <w:rFonts w:cs="Arial"/>
              </w:rPr>
              <w:t>.</w:t>
            </w:r>
          </w:p>
          <w:p w14:paraId="4451A009" w14:textId="77777777" w:rsidR="00311A95" w:rsidRDefault="005D7CC0">
            <w:pPr>
              <w:pStyle w:val="ListBullet"/>
              <w:spacing w:after="60"/>
              <w:ind w:left="220" w:hanging="150"/>
            </w:pPr>
            <w:r>
              <w:rPr>
                <w:rFonts w:cs="Arial"/>
                <w:b/>
              </w:rPr>
              <w:t>Caveats:</w:t>
            </w:r>
            <w:r>
              <w:rPr>
                <w:rFonts w:cs="Arial"/>
              </w:rPr>
              <w:t xml:space="preserve"> the supplied bibliography is an extreme-LST topic reading list, not an MO publication list, so MO capability was scoped from MO/ESA sources; and four of the highest-relevance heat activities are operational processes not held in the governance workbook (marked †).</w:t>
            </w:r>
          </w:p>
        </w:tc>
      </w:tr>
    </w:tbl>
    <w:p w14:paraId="546C2F0A" w14:textId="77777777" w:rsidR="00311A95" w:rsidRDefault="00311A95">
      <w:pPr>
        <w:spacing w:after="80"/>
      </w:pPr>
    </w:p>
    <w:p w14:paraId="5555685A" w14:textId="77777777" w:rsidR="00311A95" w:rsidRDefault="005D7CC0">
      <w:pPr>
        <w:spacing w:before="220" w:after="120"/>
      </w:pPr>
      <w:r>
        <w:rPr>
          <w:rFonts w:cs="Arial"/>
          <w:b/>
          <w:color w:val="08414C"/>
          <w:sz w:val="26"/>
        </w:rPr>
        <w:t>The evidence base for a prospective UK LST product</w:t>
      </w:r>
    </w:p>
    <w:p w14:paraId="489116BE" w14:textId="77777777" w:rsidR="00311A95" w:rsidRDefault="005D7CC0">
      <w:pPr>
        <w:spacing w:after="120"/>
      </w:pPr>
      <w:r>
        <w:rPr>
          <w:rFonts w:cs="Arial"/>
          <w:sz w:val="17"/>
        </w:rPr>
        <w:t xml:space="preserve">A UK LST product would deliver satellite-derived skin-temperature fields at fine spatial resolution — resolving intra-urban hot-spots, surface temperature extremes and surface-moisture stress in ways gridded air-temperature products cannot. The Met Office sits in a climate-services / model-evaluation role on the </w:t>
      </w:r>
      <w:r>
        <w:rPr>
          <w:rFonts w:cs="Arial"/>
          <w:b/>
          <w:sz w:val="17"/>
        </w:rPr>
        <w:t>ESA CCI Land Surface Temperature</w:t>
      </w:r>
      <w:r>
        <w:rPr>
          <w:rFonts w:cs="Arial"/>
          <w:sz w:val="17"/>
        </w:rPr>
        <w:t xml:space="preserve"> record (led by the University of Leicester) and runs urban land-surface modelling (MORUSES / JULES) and Urban Climate Services. The external evidence base below shows the policy-relevant applications are established science elsewhere.</w:t>
      </w:r>
    </w:p>
    <w:p w14:paraId="01224CE5" w14:textId="77777777" w:rsidR="00311A95" w:rsidRDefault="005D7CC0">
      <w:pPr>
        <w:pStyle w:val="ListBullet"/>
        <w:spacing w:after="80"/>
      </w:pPr>
      <w:r>
        <w:rPr>
          <w:rFonts w:cs="Arial"/>
          <w:b/>
          <w:sz w:val="17"/>
        </w:rPr>
        <w:t>Urban heat island &amp; exposure</w:t>
      </w:r>
      <w:r>
        <w:rPr>
          <w:rFonts w:cs="Arial"/>
          <w:sz w:val="17"/>
        </w:rPr>
        <w:t xml:space="preserve"> — LST resolves within-city temperature variation that drives differential heat exposure and mortality (Zhao et al. 2021; </w:t>
      </w:r>
      <w:proofErr w:type="spellStart"/>
      <w:r>
        <w:rPr>
          <w:rFonts w:cs="Arial"/>
          <w:sz w:val="17"/>
        </w:rPr>
        <w:t>Tuholske</w:t>
      </w:r>
      <w:proofErr w:type="spellEnd"/>
      <w:r>
        <w:rPr>
          <w:rFonts w:cs="Arial"/>
          <w:sz w:val="17"/>
        </w:rPr>
        <w:t xml:space="preserve"> et al. 2021).</w:t>
      </w:r>
    </w:p>
    <w:p w14:paraId="1BECA6D0" w14:textId="77777777" w:rsidR="00311A95" w:rsidRDefault="005D7CC0">
      <w:pPr>
        <w:pStyle w:val="ListBullet"/>
        <w:spacing w:after="80"/>
      </w:pPr>
      <w:r>
        <w:rPr>
          <w:rFonts w:cs="Arial"/>
          <w:b/>
          <w:sz w:val="17"/>
        </w:rPr>
        <w:t>Green-infrastructure cooling</w:t>
      </w:r>
      <w:r>
        <w:rPr>
          <w:rFonts w:cs="Arial"/>
          <w:sz w:val="17"/>
        </w:rPr>
        <w:t xml:space="preserve"> — tree-canopy and green/blue space measurably lower summer LST in temperate cities, quantifiable from LST (Wang, Scott &amp; </w:t>
      </w:r>
      <w:proofErr w:type="spellStart"/>
      <w:r>
        <w:rPr>
          <w:rFonts w:cs="Arial"/>
          <w:sz w:val="17"/>
        </w:rPr>
        <w:t>Dallimer</w:t>
      </w:r>
      <w:proofErr w:type="spellEnd"/>
      <w:r>
        <w:rPr>
          <w:rFonts w:cs="Arial"/>
          <w:sz w:val="17"/>
        </w:rPr>
        <w:t xml:space="preserve"> 2023).</w:t>
      </w:r>
    </w:p>
    <w:p w14:paraId="60C84730" w14:textId="77777777" w:rsidR="00311A95" w:rsidRDefault="005D7CC0">
      <w:pPr>
        <w:pStyle w:val="ListBullet"/>
        <w:spacing w:after="80"/>
      </w:pPr>
      <w:r>
        <w:rPr>
          <w:rFonts w:cs="Arial"/>
          <w:b/>
          <w:sz w:val="17"/>
        </w:rPr>
        <w:t>Surface temperature extremes</w:t>
      </w:r>
      <w:r>
        <w:rPr>
          <w:rFonts w:cs="Arial"/>
          <w:sz w:val="17"/>
        </w:rPr>
        <w:t xml:space="preserve"> — LST captures land-surface maxima well above air temperature, relevant to infrastructure and ecosystem heat stress (</w:t>
      </w:r>
      <w:proofErr w:type="spellStart"/>
      <w:r>
        <w:rPr>
          <w:rFonts w:cs="Arial"/>
          <w:sz w:val="17"/>
        </w:rPr>
        <w:t>Mildrexler</w:t>
      </w:r>
      <w:proofErr w:type="spellEnd"/>
      <w:r>
        <w:rPr>
          <w:rFonts w:cs="Arial"/>
          <w:sz w:val="17"/>
        </w:rPr>
        <w:t xml:space="preserve"> et al. 2011; Garratt 1992).</w:t>
      </w:r>
    </w:p>
    <w:p w14:paraId="7E5FE8AB" w14:textId="77777777" w:rsidR="00311A95" w:rsidRDefault="005D7CC0">
      <w:pPr>
        <w:pStyle w:val="ListBullet"/>
        <w:spacing w:after="80"/>
      </w:pPr>
      <w:r>
        <w:rPr>
          <w:rFonts w:cs="Arial"/>
          <w:b/>
          <w:sz w:val="17"/>
        </w:rPr>
        <w:t>Surface moisture / drought</w:t>
      </w:r>
      <w:r>
        <w:rPr>
          <w:rFonts w:cs="Arial"/>
          <w:sz w:val="17"/>
        </w:rPr>
        <w:t xml:space="preserve"> — LST is a proxy for evaporative stress and soil-moisture deficit during heatwaves (Aminzadeh &amp; Or 2014).</w:t>
      </w:r>
    </w:p>
    <w:p w14:paraId="406DE3C1" w14:textId="77777777" w:rsidR="00311A95" w:rsidRDefault="005D7CC0">
      <w:pPr>
        <w:spacing w:after="120"/>
      </w:pPr>
      <w:r>
        <w:rPr>
          <w:rFonts w:cs="Arial"/>
          <w:sz w:val="17"/>
        </w:rPr>
        <w:t>A prospective MO UK LST product would translate these demonstrated capabilities into a national, policy-ready evidence layer; the table maps where that would matter and how proven each use is.</w:t>
      </w:r>
    </w:p>
    <w:p w14:paraId="52C731B6" w14:textId="77777777" w:rsidR="00311A95" w:rsidRDefault="005D7CC0">
      <w:pPr>
        <w:spacing w:before="220" w:after="120"/>
      </w:pPr>
      <w:r>
        <w:rPr>
          <w:rFonts w:cs="Arial"/>
          <w:b/>
          <w:color w:val="08414C"/>
          <w:sz w:val="26"/>
        </w:rPr>
        <w:t>Policy applications, relevance and maturity</w:t>
      </w:r>
    </w:p>
    <w:p w14:paraId="3ECB01B6" w14:textId="77777777" w:rsidR="00311A95" w:rsidRDefault="005D7CC0">
      <w:pPr>
        <w:spacing w:after="120"/>
      </w:pPr>
      <w:r>
        <w:rPr>
          <w:rFonts w:cs="Arial"/>
          <w:sz w:val="17"/>
        </w:rPr>
        <w:lastRenderedPageBreak/>
        <w:t xml:space="preserve">Two independent axes. </w:t>
      </w:r>
      <w:r>
        <w:rPr>
          <w:rFonts w:cs="Arial"/>
          <w:b/>
          <w:sz w:val="17"/>
        </w:rPr>
        <w:t>Relevance</w:t>
      </w:r>
      <w:r>
        <w:rPr>
          <w:rFonts w:cs="Arial"/>
          <w:sz w:val="17"/>
        </w:rPr>
        <w:t xml:space="preserve"> (materiality of a UK LST product to the policy): </w:t>
      </w:r>
      <w:r>
        <w:rPr>
          <w:rFonts w:cs="Arial"/>
          <w:b/>
          <w:sz w:val="17"/>
        </w:rPr>
        <w:t>3 High</w:t>
      </w:r>
      <w:r>
        <w:rPr>
          <w:rFonts w:cs="Arial"/>
          <w:sz w:val="17"/>
        </w:rPr>
        <w:t xml:space="preserve"> = would be a direct, central input; </w:t>
      </w:r>
      <w:r>
        <w:rPr>
          <w:rFonts w:cs="Arial"/>
          <w:b/>
          <w:sz w:val="17"/>
        </w:rPr>
        <w:t>2 Medium</w:t>
      </w:r>
      <w:r>
        <w:rPr>
          <w:rFonts w:cs="Arial"/>
          <w:sz w:val="17"/>
        </w:rPr>
        <w:t xml:space="preserve"> = a useful supporting evidence layer; </w:t>
      </w:r>
      <w:r>
        <w:rPr>
          <w:rFonts w:cs="Arial"/>
          <w:b/>
          <w:sz w:val="17"/>
        </w:rPr>
        <w:t>1 Low</w:t>
      </w:r>
      <w:r>
        <w:rPr>
          <w:rFonts w:cs="Arial"/>
          <w:sz w:val="17"/>
        </w:rPr>
        <w:t xml:space="preserve"> = marginal or indirect. </w:t>
      </w:r>
      <w:r>
        <w:rPr>
          <w:rFonts w:cs="Arial"/>
          <w:b/>
          <w:sz w:val="17"/>
        </w:rPr>
        <w:t>Maturity</w:t>
      </w:r>
      <w:r>
        <w:rPr>
          <w:rFonts w:cs="Arial"/>
          <w:sz w:val="17"/>
        </w:rPr>
        <w:t xml:space="preserve"> (how proven the application is): Demonstrated = proven elsewhere and transferable; Emerging = partial evidence, needs UK development/validation; Conceptual = plausible but unproven for this use. Items marked † are activities not held in the governance workbook. Policy names link to the source page.</w:t>
      </w:r>
    </w:p>
    <w:tbl>
      <w:tblPr>
        <w:tblW w:w="1440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820"/>
        <w:gridCol w:w="2560"/>
        <w:gridCol w:w="1100"/>
        <w:gridCol w:w="1300"/>
        <w:gridCol w:w="8620"/>
      </w:tblGrid>
      <w:tr w:rsidR="00311A95" w14:paraId="32E826F5" w14:textId="77777777">
        <w:trPr>
          <w:tblHeader/>
        </w:trPr>
        <w:tc>
          <w:tcPr>
            <w:tcW w:w="820" w:type="dxa"/>
            <w:shd w:val="clear" w:color="auto" w:fill="0B5563"/>
            <w:tcMar>
              <w:top w:w="60" w:type="dxa"/>
              <w:left w:w="110" w:type="dxa"/>
              <w:bottom w:w="60" w:type="dxa"/>
              <w:right w:w="110" w:type="dxa"/>
            </w:tcMar>
          </w:tcPr>
          <w:p w14:paraId="0D0D80DB" w14:textId="77777777" w:rsidR="00311A95" w:rsidRDefault="005D7CC0">
            <w:pPr>
              <w:spacing w:after="0"/>
            </w:pPr>
            <w:r>
              <w:rPr>
                <w:rFonts w:cs="Arial"/>
                <w:b/>
                <w:color w:val="FFFFFF"/>
                <w:sz w:val="17"/>
              </w:rPr>
              <w:t>Ref</w:t>
            </w:r>
          </w:p>
        </w:tc>
        <w:tc>
          <w:tcPr>
            <w:tcW w:w="2560" w:type="dxa"/>
            <w:shd w:val="clear" w:color="auto" w:fill="0B5563"/>
            <w:tcMar>
              <w:top w:w="60" w:type="dxa"/>
              <w:left w:w="110" w:type="dxa"/>
              <w:bottom w:w="60" w:type="dxa"/>
              <w:right w:w="110" w:type="dxa"/>
            </w:tcMar>
          </w:tcPr>
          <w:p w14:paraId="5A150DF3" w14:textId="77777777" w:rsidR="00311A95" w:rsidRDefault="005D7CC0">
            <w:pPr>
              <w:spacing w:after="0"/>
            </w:pPr>
            <w:r>
              <w:rPr>
                <w:rFonts w:cs="Arial"/>
                <w:b/>
                <w:color w:val="FFFFFF"/>
                <w:sz w:val="17"/>
              </w:rPr>
              <w:t>Policy activity</w:t>
            </w:r>
          </w:p>
        </w:tc>
        <w:tc>
          <w:tcPr>
            <w:tcW w:w="1100" w:type="dxa"/>
            <w:shd w:val="clear" w:color="auto" w:fill="0B5563"/>
            <w:tcMar>
              <w:top w:w="60" w:type="dxa"/>
              <w:left w:w="110" w:type="dxa"/>
              <w:bottom w:w="60" w:type="dxa"/>
              <w:right w:w="110" w:type="dxa"/>
            </w:tcMar>
          </w:tcPr>
          <w:p w14:paraId="74C50C8C" w14:textId="77777777" w:rsidR="00311A95" w:rsidRDefault="005D7CC0">
            <w:pPr>
              <w:spacing w:after="0"/>
              <w:jc w:val="center"/>
            </w:pPr>
            <w:r>
              <w:rPr>
                <w:rFonts w:cs="Arial"/>
                <w:b/>
                <w:color w:val="FFFFFF"/>
                <w:sz w:val="17"/>
              </w:rPr>
              <w:t>Relevance</w:t>
            </w:r>
          </w:p>
        </w:tc>
        <w:tc>
          <w:tcPr>
            <w:tcW w:w="1300" w:type="dxa"/>
            <w:shd w:val="clear" w:color="auto" w:fill="0B5563"/>
            <w:tcMar>
              <w:top w:w="60" w:type="dxa"/>
              <w:left w:w="110" w:type="dxa"/>
              <w:bottom w:w="60" w:type="dxa"/>
              <w:right w:w="110" w:type="dxa"/>
            </w:tcMar>
          </w:tcPr>
          <w:p w14:paraId="467F5EEE" w14:textId="77777777" w:rsidR="00311A95" w:rsidRDefault="005D7CC0">
            <w:pPr>
              <w:spacing w:after="0"/>
              <w:jc w:val="center"/>
            </w:pPr>
            <w:r>
              <w:rPr>
                <w:rFonts w:cs="Arial"/>
                <w:b/>
                <w:color w:val="FFFFFF"/>
                <w:sz w:val="17"/>
              </w:rPr>
              <w:t>Maturity</w:t>
            </w:r>
          </w:p>
        </w:tc>
        <w:tc>
          <w:tcPr>
            <w:tcW w:w="8620" w:type="dxa"/>
            <w:shd w:val="clear" w:color="auto" w:fill="0B5563"/>
            <w:tcMar>
              <w:top w:w="60" w:type="dxa"/>
              <w:left w:w="110" w:type="dxa"/>
              <w:bottom w:w="60" w:type="dxa"/>
              <w:right w:w="110" w:type="dxa"/>
            </w:tcMar>
          </w:tcPr>
          <w:p w14:paraId="1F69A4E8" w14:textId="77777777" w:rsidR="00311A95" w:rsidRDefault="005D7CC0">
            <w:pPr>
              <w:spacing w:after="0"/>
            </w:pPr>
            <w:r>
              <w:rPr>
                <w:rFonts w:cs="Arial"/>
                <w:b/>
                <w:color w:val="FFFFFF"/>
                <w:sz w:val="17"/>
              </w:rPr>
              <w:t>What a UK LST product could enable for this policy</w:t>
            </w:r>
          </w:p>
        </w:tc>
      </w:tr>
      <w:tr w:rsidR="00311A95" w14:paraId="68404655" w14:textId="77777777">
        <w:tc>
          <w:tcPr>
            <w:tcW w:w="820" w:type="dxa"/>
            <w:shd w:val="clear" w:color="auto" w:fill="CDE9D2"/>
            <w:tcMar>
              <w:top w:w="60" w:type="dxa"/>
              <w:left w:w="110" w:type="dxa"/>
              <w:bottom w:w="60" w:type="dxa"/>
              <w:right w:w="110" w:type="dxa"/>
            </w:tcMar>
          </w:tcPr>
          <w:p w14:paraId="0F2B5435" w14:textId="77777777" w:rsidR="00311A95" w:rsidRDefault="005D7CC0">
            <w:pPr>
              <w:spacing w:after="0"/>
            </w:pPr>
            <w:r>
              <w:rPr>
                <w:rFonts w:cs="Arial"/>
                <w:b/>
                <w:sz w:val="16"/>
              </w:rPr>
              <w:t>†</w:t>
            </w:r>
          </w:p>
        </w:tc>
        <w:tc>
          <w:tcPr>
            <w:tcW w:w="2560" w:type="dxa"/>
            <w:shd w:val="clear" w:color="auto" w:fill="CDE9D2"/>
            <w:tcMar>
              <w:top w:w="60" w:type="dxa"/>
              <w:left w:w="110" w:type="dxa"/>
              <w:bottom w:w="60" w:type="dxa"/>
              <w:right w:w="110" w:type="dxa"/>
            </w:tcMar>
          </w:tcPr>
          <w:p w14:paraId="0C4A2882" w14:textId="77777777" w:rsidR="00311A95" w:rsidRDefault="00311A95">
            <w:pPr>
              <w:spacing w:after="0"/>
            </w:pPr>
            <w:hyperlink r:id="rId8">
              <w:r>
                <w:rPr>
                  <w:rFonts w:cs="Arial"/>
                  <w:color w:val="10497A"/>
                  <w:sz w:val="16"/>
                  <w:u w:val="single"/>
                </w:rPr>
                <w:t>Heat-Health Alerting System / Weather-Health Alerts (UKHSA – Met Office)</w:t>
              </w:r>
            </w:hyperlink>
          </w:p>
        </w:tc>
        <w:tc>
          <w:tcPr>
            <w:tcW w:w="1100" w:type="dxa"/>
            <w:shd w:val="clear" w:color="auto" w:fill="2E7D43"/>
            <w:tcMar>
              <w:top w:w="60" w:type="dxa"/>
              <w:left w:w="110" w:type="dxa"/>
              <w:bottom w:w="60" w:type="dxa"/>
              <w:right w:w="110" w:type="dxa"/>
            </w:tcMar>
            <w:vAlign w:val="center"/>
          </w:tcPr>
          <w:p w14:paraId="1400BFFF" w14:textId="77777777" w:rsidR="00311A95" w:rsidRDefault="005D7CC0">
            <w:pPr>
              <w:spacing w:after="0"/>
              <w:jc w:val="center"/>
            </w:pPr>
            <w:r>
              <w:rPr>
                <w:rFonts w:cs="Arial"/>
                <w:b/>
                <w:color w:val="FFFFFF"/>
                <w:sz w:val="20"/>
              </w:rPr>
              <w:t>3</w:t>
            </w:r>
            <w:r>
              <w:rPr>
                <w:rFonts w:cs="Arial"/>
                <w:b/>
                <w:color w:val="FFFFFF"/>
                <w:sz w:val="12"/>
              </w:rPr>
              <w:br/>
              <w:t>HIGH</w:t>
            </w:r>
          </w:p>
        </w:tc>
        <w:tc>
          <w:tcPr>
            <w:tcW w:w="1300" w:type="dxa"/>
            <w:shd w:val="clear" w:color="auto" w:fill="C9871B"/>
            <w:tcMar>
              <w:top w:w="60" w:type="dxa"/>
              <w:left w:w="110" w:type="dxa"/>
              <w:bottom w:w="60" w:type="dxa"/>
              <w:right w:w="110" w:type="dxa"/>
            </w:tcMar>
            <w:vAlign w:val="center"/>
          </w:tcPr>
          <w:p w14:paraId="7BD25906" w14:textId="77777777" w:rsidR="00311A95" w:rsidRDefault="005D7CC0">
            <w:pPr>
              <w:spacing w:after="0"/>
              <w:jc w:val="center"/>
            </w:pPr>
            <w:r>
              <w:rPr>
                <w:rFonts w:cs="Arial"/>
                <w:b/>
                <w:color w:val="FFFFFF"/>
                <w:sz w:val="15"/>
              </w:rPr>
              <w:t>Emerging</w:t>
            </w:r>
          </w:p>
        </w:tc>
        <w:tc>
          <w:tcPr>
            <w:tcW w:w="8620" w:type="dxa"/>
            <w:shd w:val="clear" w:color="auto" w:fill="CDE9D2"/>
            <w:tcMar>
              <w:top w:w="60" w:type="dxa"/>
              <w:left w:w="110" w:type="dxa"/>
              <w:bottom w:w="60" w:type="dxa"/>
              <w:right w:w="110" w:type="dxa"/>
            </w:tcMar>
          </w:tcPr>
          <w:p w14:paraId="4FAE2EA5" w14:textId="77777777" w:rsidR="00311A95" w:rsidRDefault="005D7CC0">
            <w:pPr>
              <w:spacing w:after="0"/>
            </w:pPr>
            <w:r>
              <w:rPr>
                <w:rFonts w:cs="Arial"/>
                <w:sz w:val="16"/>
              </w:rPr>
              <w:t>Alerts run on Met Office near-surface air-temperature forecasts, not satellite LST. An LST product could add intra-urban hot-spot granularity to target interventions within alert regions — and UKHSA/Met Office are already moving toward finer-resolution alerts, the natural insertion point.</w:t>
            </w:r>
          </w:p>
        </w:tc>
      </w:tr>
      <w:tr w:rsidR="00311A95" w14:paraId="2D3A35AC" w14:textId="77777777">
        <w:tc>
          <w:tcPr>
            <w:tcW w:w="820" w:type="dxa"/>
            <w:shd w:val="clear" w:color="auto" w:fill="CDE9D2"/>
            <w:tcMar>
              <w:top w:w="60" w:type="dxa"/>
              <w:left w:w="110" w:type="dxa"/>
              <w:bottom w:w="60" w:type="dxa"/>
              <w:right w:w="110" w:type="dxa"/>
            </w:tcMar>
          </w:tcPr>
          <w:p w14:paraId="04D71548" w14:textId="77777777" w:rsidR="00311A95" w:rsidRDefault="005D7CC0">
            <w:pPr>
              <w:spacing w:after="0"/>
            </w:pPr>
            <w:r>
              <w:rPr>
                <w:rFonts w:cs="Arial"/>
                <w:b/>
                <w:sz w:val="16"/>
              </w:rPr>
              <w:t>†</w:t>
            </w:r>
          </w:p>
        </w:tc>
        <w:tc>
          <w:tcPr>
            <w:tcW w:w="2560" w:type="dxa"/>
            <w:shd w:val="clear" w:color="auto" w:fill="CDE9D2"/>
            <w:tcMar>
              <w:top w:w="60" w:type="dxa"/>
              <w:left w:w="110" w:type="dxa"/>
              <w:bottom w:w="60" w:type="dxa"/>
              <w:right w:w="110" w:type="dxa"/>
            </w:tcMar>
          </w:tcPr>
          <w:p w14:paraId="4A581BEF" w14:textId="77777777" w:rsidR="00311A95" w:rsidRDefault="00311A95">
            <w:pPr>
              <w:spacing w:after="0"/>
            </w:pPr>
            <w:hyperlink r:id="rId9">
              <w:r>
                <w:rPr>
                  <w:rFonts w:cs="Arial"/>
                  <w:color w:val="10497A"/>
                  <w:sz w:val="16"/>
                  <w:u w:val="single"/>
                </w:rPr>
                <w:t>Adverse Weather and Health Plan (AWHP) (UKHSA)</w:t>
              </w:r>
            </w:hyperlink>
          </w:p>
        </w:tc>
        <w:tc>
          <w:tcPr>
            <w:tcW w:w="1100" w:type="dxa"/>
            <w:shd w:val="clear" w:color="auto" w:fill="2E7D43"/>
            <w:tcMar>
              <w:top w:w="60" w:type="dxa"/>
              <w:left w:w="110" w:type="dxa"/>
              <w:bottom w:w="60" w:type="dxa"/>
              <w:right w:w="110" w:type="dxa"/>
            </w:tcMar>
            <w:vAlign w:val="center"/>
          </w:tcPr>
          <w:p w14:paraId="3134832E" w14:textId="77777777" w:rsidR="00311A95" w:rsidRDefault="005D7CC0">
            <w:pPr>
              <w:spacing w:after="0"/>
              <w:jc w:val="center"/>
            </w:pPr>
            <w:r>
              <w:rPr>
                <w:rFonts w:cs="Arial"/>
                <w:b/>
                <w:color w:val="FFFFFF"/>
                <w:sz w:val="20"/>
              </w:rPr>
              <w:t>3</w:t>
            </w:r>
            <w:r>
              <w:rPr>
                <w:rFonts w:cs="Arial"/>
                <w:b/>
                <w:color w:val="FFFFFF"/>
                <w:sz w:val="12"/>
              </w:rPr>
              <w:br/>
              <w:t>HIGH</w:t>
            </w:r>
          </w:p>
        </w:tc>
        <w:tc>
          <w:tcPr>
            <w:tcW w:w="1300" w:type="dxa"/>
            <w:shd w:val="clear" w:color="auto" w:fill="C9871B"/>
            <w:tcMar>
              <w:top w:w="60" w:type="dxa"/>
              <w:left w:w="110" w:type="dxa"/>
              <w:bottom w:w="60" w:type="dxa"/>
              <w:right w:w="110" w:type="dxa"/>
            </w:tcMar>
            <w:vAlign w:val="center"/>
          </w:tcPr>
          <w:p w14:paraId="46995001" w14:textId="77777777" w:rsidR="00311A95" w:rsidRDefault="005D7CC0">
            <w:pPr>
              <w:spacing w:after="0"/>
              <w:jc w:val="center"/>
            </w:pPr>
            <w:r>
              <w:rPr>
                <w:rFonts w:cs="Arial"/>
                <w:b/>
                <w:color w:val="FFFFFF"/>
                <w:sz w:val="15"/>
              </w:rPr>
              <w:t>Emerging</w:t>
            </w:r>
          </w:p>
        </w:tc>
        <w:tc>
          <w:tcPr>
            <w:tcW w:w="8620" w:type="dxa"/>
            <w:shd w:val="clear" w:color="auto" w:fill="CDE9D2"/>
            <w:tcMar>
              <w:top w:w="60" w:type="dxa"/>
              <w:left w:w="110" w:type="dxa"/>
              <w:bottom w:w="60" w:type="dxa"/>
              <w:right w:w="110" w:type="dxa"/>
            </w:tcMar>
          </w:tcPr>
          <w:p w14:paraId="029F1D78" w14:textId="77777777" w:rsidR="00311A95" w:rsidRDefault="005D7CC0">
            <w:pPr>
              <w:spacing w:after="0"/>
            </w:pPr>
            <w:r>
              <w:rPr>
                <w:rFonts w:cs="Arial"/>
                <w:sz w:val="16"/>
              </w:rPr>
              <w:t>The AWHP (a NAP commitment) is underpinned by the Weather-Health Alerting System and drives local heat-health planning. LST-derived intra-urban exposure surfaces could sharpen where warm-space and vulnerable-population actions are targeted; not yet an input.</w:t>
            </w:r>
          </w:p>
        </w:tc>
      </w:tr>
      <w:tr w:rsidR="00311A95" w14:paraId="6DB56357" w14:textId="77777777">
        <w:tc>
          <w:tcPr>
            <w:tcW w:w="820" w:type="dxa"/>
            <w:shd w:val="clear" w:color="auto" w:fill="CDE9D2"/>
            <w:tcMar>
              <w:top w:w="60" w:type="dxa"/>
              <w:left w:w="110" w:type="dxa"/>
              <w:bottom w:w="60" w:type="dxa"/>
              <w:right w:w="110" w:type="dxa"/>
            </w:tcMar>
          </w:tcPr>
          <w:p w14:paraId="2D29E05A" w14:textId="77777777" w:rsidR="00311A95" w:rsidRDefault="005D7CC0">
            <w:pPr>
              <w:spacing w:after="0"/>
            </w:pPr>
            <w:r>
              <w:rPr>
                <w:rFonts w:cs="Arial"/>
                <w:b/>
                <w:sz w:val="16"/>
              </w:rPr>
              <w:t>POL-017</w:t>
            </w:r>
          </w:p>
        </w:tc>
        <w:tc>
          <w:tcPr>
            <w:tcW w:w="2560" w:type="dxa"/>
            <w:shd w:val="clear" w:color="auto" w:fill="CDE9D2"/>
            <w:tcMar>
              <w:top w:w="60" w:type="dxa"/>
              <w:left w:w="110" w:type="dxa"/>
              <w:bottom w:w="60" w:type="dxa"/>
              <w:right w:w="110" w:type="dxa"/>
            </w:tcMar>
          </w:tcPr>
          <w:p w14:paraId="3A90B782" w14:textId="77777777" w:rsidR="00311A95" w:rsidRDefault="00311A95">
            <w:pPr>
              <w:spacing w:after="0"/>
            </w:pPr>
            <w:hyperlink r:id="rId10">
              <w:r>
                <w:rPr>
                  <w:rFonts w:cs="Arial"/>
                  <w:color w:val="10497A"/>
                  <w:sz w:val="16"/>
                  <w:u w:val="single"/>
                </w:rPr>
                <w:t>Climate Change Risk Assessment (CCRA3 2022; CCRA4 from 2026–27)</w:t>
              </w:r>
            </w:hyperlink>
          </w:p>
        </w:tc>
        <w:tc>
          <w:tcPr>
            <w:tcW w:w="1100" w:type="dxa"/>
            <w:shd w:val="clear" w:color="auto" w:fill="2E7D43"/>
            <w:tcMar>
              <w:top w:w="60" w:type="dxa"/>
              <w:left w:w="110" w:type="dxa"/>
              <w:bottom w:w="60" w:type="dxa"/>
              <w:right w:w="110" w:type="dxa"/>
            </w:tcMar>
            <w:vAlign w:val="center"/>
          </w:tcPr>
          <w:p w14:paraId="5CDCD5C2" w14:textId="77777777" w:rsidR="00311A95" w:rsidRDefault="005D7CC0">
            <w:pPr>
              <w:spacing w:after="0"/>
              <w:jc w:val="center"/>
            </w:pPr>
            <w:r>
              <w:rPr>
                <w:rFonts w:cs="Arial"/>
                <w:b/>
                <w:color w:val="FFFFFF"/>
                <w:sz w:val="20"/>
              </w:rPr>
              <w:t>3</w:t>
            </w:r>
            <w:r>
              <w:rPr>
                <w:rFonts w:cs="Arial"/>
                <w:b/>
                <w:color w:val="FFFFFF"/>
                <w:sz w:val="12"/>
              </w:rPr>
              <w:br/>
              <w:t>HIGH</w:t>
            </w:r>
          </w:p>
        </w:tc>
        <w:tc>
          <w:tcPr>
            <w:tcW w:w="1300" w:type="dxa"/>
            <w:shd w:val="clear" w:color="auto" w:fill="C9871B"/>
            <w:tcMar>
              <w:top w:w="60" w:type="dxa"/>
              <w:left w:w="110" w:type="dxa"/>
              <w:bottom w:w="60" w:type="dxa"/>
              <w:right w:w="110" w:type="dxa"/>
            </w:tcMar>
            <w:vAlign w:val="center"/>
          </w:tcPr>
          <w:p w14:paraId="1F016405" w14:textId="77777777" w:rsidR="00311A95" w:rsidRDefault="005D7CC0">
            <w:pPr>
              <w:spacing w:after="0"/>
              <w:jc w:val="center"/>
            </w:pPr>
            <w:r>
              <w:rPr>
                <w:rFonts w:cs="Arial"/>
                <w:b/>
                <w:color w:val="FFFFFF"/>
                <w:sz w:val="15"/>
              </w:rPr>
              <w:t>Emerging</w:t>
            </w:r>
          </w:p>
        </w:tc>
        <w:tc>
          <w:tcPr>
            <w:tcW w:w="8620" w:type="dxa"/>
            <w:shd w:val="clear" w:color="auto" w:fill="CDE9D2"/>
            <w:tcMar>
              <w:top w:w="60" w:type="dxa"/>
              <w:left w:w="110" w:type="dxa"/>
              <w:bottom w:w="60" w:type="dxa"/>
              <w:right w:w="110" w:type="dxa"/>
            </w:tcMar>
          </w:tcPr>
          <w:p w14:paraId="1366E6EA" w14:textId="77777777" w:rsidR="00311A95" w:rsidRDefault="005D7CC0">
            <w:pPr>
              <w:spacing w:after="0"/>
            </w:pPr>
            <w:r>
              <w:rPr>
                <w:rFonts w:cs="Arial"/>
                <w:sz w:val="16"/>
              </w:rPr>
              <w:t>Heat risks to health, buildings and infrastructure are central CCRA risks. An LST product could quantify urban heat-island exposure for CCRA4 — a high-value, near-term insertion point — though CCRA presently uses air-temperature evidence.</w:t>
            </w:r>
          </w:p>
        </w:tc>
      </w:tr>
      <w:tr w:rsidR="00311A95" w14:paraId="13D6907B" w14:textId="77777777">
        <w:tc>
          <w:tcPr>
            <w:tcW w:w="820" w:type="dxa"/>
            <w:shd w:val="clear" w:color="auto" w:fill="CDE9D2"/>
            <w:tcMar>
              <w:top w:w="60" w:type="dxa"/>
              <w:left w:w="110" w:type="dxa"/>
              <w:bottom w:w="60" w:type="dxa"/>
              <w:right w:w="110" w:type="dxa"/>
            </w:tcMar>
          </w:tcPr>
          <w:p w14:paraId="62B0F39E" w14:textId="77777777" w:rsidR="00311A95" w:rsidRDefault="005D7CC0">
            <w:pPr>
              <w:spacing w:after="0"/>
            </w:pPr>
            <w:r>
              <w:rPr>
                <w:rFonts w:cs="Arial"/>
                <w:b/>
                <w:sz w:val="16"/>
              </w:rPr>
              <w:t>POL-050</w:t>
            </w:r>
          </w:p>
        </w:tc>
        <w:tc>
          <w:tcPr>
            <w:tcW w:w="2560" w:type="dxa"/>
            <w:shd w:val="clear" w:color="auto" w:fill="CDE9D2"/>
            <w:tcMar>
              <w:top w:w="60" w:type="dxa"/>
              <w:left w:w="110" w:type="dxa"/>
              <w:bottom w:w="60" w:type="dxa"/>
              <w:right w:w="110" w:type="dxa"/>
            </w:tcMar>
          </w:tcPr>
          <w:p w14:paraId="397EEDB5" w14:textId="77777777" w:rsidR="00311A95" w:rsidRDefault="00311A95">
            <w:pPr>
              <w:spacing w:after="0"/>
            </w:pPr>
            <w:hyperlink r:id="rId11">
              <w:r>
                <w:rPr>
                  <w:rFonts w:cs="Arial"/>
                  <w:color w:val="10497A"/>
                  <w:sz w:val="16"/>
                  <w:u w:val="single"/>
                </w:rPr>
                <w:t>National Planning Policy Framework (NPPF)</w:t>
              </w:r>
            </w:hyperlink>
          </w:p>
        </w:tc>
        <w:tc>
          <w:tcPr>
            <w:tcW w:w="1100" w:type="dxa"/>
            <w:shd w:val="clear" w:color="auto" w:fill="2E7D43"/>
            <w:tcMar>
              <w:top w:w="60" w:type="dxa"/>
              <w:left w:w="110" w:type="dxa"/>
              <w:bottom w:w="60" w:type="dxa"/>
              <w:right w:w="110" w:type="dxa"/>
            </w:tcMar>
            <w:vAlign w:val="center"/>
          </w:tcPr>
          <w:p w14:paraId="55721584" w14:textId="77777777" w:rsidR="00311A95" w:rsidRDefault="005D7CC0">
            <w:pPr>
              <w:spacing w:after="0"/>
              <w:jc w:val="center"/>
            </w:pPr>
            <w:r>
              <w:rPr>
                <w:rFonts w:cs="Arial"/>
                <w:b/>
                <w:color w:val="FFFFFF"/>
                <w:sz w:val="20"/>
              </w:rPr>
              <w:t>3</w:t>
            </w:r>
            <w:r>
              <w:rPr>
                <w:rFonts w:cs="Arial"/>
                <w:b/>
                <w:color w:val="FFFFFF"/>
                <w:sz w:val="12"/>
              </w:rPr>
              <w:br/>
              <w:t>HIGH</w:t>
            </w:r>
          </w:p>
        </w:tc>
        <w:tc>
          <w:tcPr>
            <w:tcW w:w="1300" w:type="dxa"/>
            <w:shd w:val="clear" w:color="auto" w:fill="C9871B"/>
            <w:tcMar>
              <w:top w:w="60" w:type="dxa"/>
              <w:left w:w="110" w:type="dxa"/>
              <w:bottom w:w="60" w:type="dxa"/>
              <w:right w:w="110" w:type="dxa"/>
            </w:tcMar>
            <w:vAlign w:val="center"/>
          </w:tcPr>
          <w:p w14:paraId="14B03DDA" w14:textId="77777777" w:rsidR="00311A95" w:rsidRDefault="005D7CC0">
            <w:pPr>
              <w:spacing w:after="0"/>
              <w:jc w:val="center"/>
            </w:pPr>
            <w:r>
              <w:rPr>
                <w:rFonts w:cs="Arial"/>
                <w:b/>
                <w:color w:val="FFFFFF"/>
                <w:sz w:val="15"/>
              </w:rPr>
              <w:t>Emerging</w:t>
            </w:r>
          </w:p>
        </w:tc>
        <w:tc>
          <w:tcPr>
            <w:tcW w:w="8620" w:type="dxa"/>
            <w:shd w:val="clear" w:color="auto" w:fill="CDE9D2"/>
            <w:tcMar>
              <w:top w:w="60" w:type="dxa"/>
              <w:left w:w="110" w:type="dxa"/>
              <w:bottom w:w="60" w:type="dxa"/>
              <w:right w:w="110" w:type="dxa"/>
            </w:tcMar>
          </w:tcPr>
          <w:p w14:paraId="48417FF4" w14:textId="77777777" w:rsidR="00311A95" w:rsidRDefault="005D7CC0">
            <w:pPr>
              <w:spacing w:after="0"/>
            </w:pPr>
            <w:r>
              <w:rPr>
                <w:rFonts w:cs="Arial"/>
                <w:sz w:val="16"/>
              </w:rPr>
              <w:t xml:space="preserve">The operative instrument for overheating, urban heat islands and green-infrastructure provision in local plans and decisions. LST-derived urban-heat surfaces could underpin heat-risk and cooling policies in plan-making; demonstrated in some local plans (e.g. London), not </w:t>
            </w:r>
            <w:proofErr w:type="spellStart"/>
            <w:r>
              <w:rPr>
                <w:rFonts w:cs="Arial"/>
                <w:sz w:val="16"/>
              </w:rPr>
              <w:t>standardised</w:t>
            </w:r>
            <w:proofErr w:type="spellEnd"/>
            <w:r>
              <w:rPr>
                <w:rFonts w:cs="Arial"/>
                <w:sz w:val="16"/>
              </w:rPr>
              <w:t xml:space="preserve"> nationally.</w:t>
            </w:r>
          </w:p>
        </w:tc>
      </w:tr>
      <w:tr w:rsidR="00311A95" w14:paraId="30979BA6" w14:textId="77777777">
        <w:tc>
          <w:tcPr>
            <w:tcW w:w="820" w:type="dxa"/>
            <w:shd w:val="clear" w:color="auto" w:fill="FBE3B8"/>
            <w:tcMar>
              <w:top w:w="60" w:type="dxa"/>
              <w:left w:w="110" w:type="dxa"/>
              <w:bottom w:w="60" w:type="dxa"/>
              <w:right w:w="110" w:type="dxa"/>
            </w:tcMar>
          </w:tcPr>
          <w:p w14:paraId="2971742F" w14:textId="77777777" w:rsidR="00311A95" w:rsidRDefault="005D7CC0">
            <w:pPr>
              <w:spacing w:after="0"/>
            </w:pPr>
            <w:r>
              <w:rPr>
                <w:rFonts w:cs="Arial"/>
                <w:b/>
                <w:sz w:val="16"/>
              </w:rPr>
              <w:t>POL-002</w:t>
            </w:r>
          </w:p>
        </w:tc>
        <w:tc>
          <w:tcPr>
            <w:tcW w:w="2560" w:type="dxa"/>
            <w:shd w:val="clear" w:color="auto" w:fill="FBE3B8"/>
            <w:tcMar>
              <w:top w:w="60" w:type="dxa"/>
              <w:left w:w="110" w:type="dxa"/>
              <w:bottom w:w="60" w:type="dxa"/>
              <w:right w:w="110" w:type="dxa"/>
            </w:tcMar>
          </w:tcPr>
          <w:p w14:paraId="0082FD14" w14:textId="77777777" w:rsidR="00311A95" w:rsidRDefault="00311A95">
            <w:pPr>
              <w:spacing w:after="0"/>
            </w:pPr>
            <w:hyperlink r:id="rId12">
              <w:r>
                <w:rPr>
                  <w:rFonts w:cs="Arial"/>
                  <w:color w:val="10497A"/>
                  <w:sz w:val="16"/>
                  <w:u w:val="single"/>
                </w:rPr>
                <w:t xml:space="preserve">National Adaptation </w:t>
              </w:r>
              <w:proofErr w:type="spellStart"/>
              <w:r>
                <w:rPr>
                  <w:rFonts w:cs="Arial"/>
                  <w:color w:val="10497A"/>
                  <w:sz w:val="16"/>
                  <w:u w:val="single"/>
                </w:rPr>
                <w:t>Programme</w:t>
              </w:r>
              <w:proofErr w:type="spellEnd"/>
              <w:r>
                <w:rPr>
                  <w:rFonts w:cs="Arial"/>
                  <w:color w:val="10497A"/>
                  <w:sz w:val="16"/>
                  <w:u w:val="single"/>
                </w:rPr>
                <w:t xml:space="preserve"> (NAP3) 2023–28</w:t>
              </w:r>
            </w:hyperlink>
          </w:p>
        </w:tc>
        <w:tc>
          <w:tcPr>
            <w:tcW w:w="1100" w:type="dxa"/>
            <w:shd w:val="clear" w:color="auto" w:fill="C9871B"/>
            <w:tcMar>
              <w:top w:w="60" w:type="dxa"/>
              <w:left w:w="110" w:type="dxa"/>
              <w:bottom w:w="60" w:type="dxa"/>
              <w:right w:w="110" w:type="dxa"/>
            </w:tcMar>
            <w:vAlign w:val="center"/>
          </w:tcPr>
          <w:p w14:paraId="3C339F1D" w14:textId="77777777" w:rsidR="00311A95" w:rsidRDefault="005D7CC0">
            <w:pPr>
              <w:spacing w:after="0"/>
              <w:jc w:val="center"/>
            </w:pPr>
            <w:r>
              <w:rPr>
                <w:rFonts w:cs="Arial"/>
                <w:b/>
                <w:color w:val="FFFFFF"/>
                <w:sz w:val="20"/>
              </w:rPr>
              <w:t>2</w:t>
            </w:r>
            <w:r>
              <w:rPr>
                <w:rFonts w:cs="Arial"/>
                <w:b/>
                <w:color w:val="FFFFFF"/>
                <w:sz w:val="12"/>
              </w:rPr>
              <w:br/>
              <w:t>MED</w:t>
            </w:r>
          </w:p>
        </w:tc>
        <w:tc>
          <w:tcPr>
            <w:tcW w:w="1300" w:type="dxa"/>
            <w:shd w:val="clear" w:color="auto" w:fill="C9871B"/>
            <w:tcMar>
              <w:top w:w="60" w:type="dxa"/>
              <w:left w:w="110" w:type="dxa"/>
              <w:bottom w:w="60" w:type="dxa"/>
              <w:right w:w="110" w:type="dxa"/>
            </w:tcMar>
            <w:vAlign w:val="center"/>
          </w:tcPr>
          <w:p w14:paraId="236BF3E1" w14:textId="77777777" w:rsidR="00311A95" w:rsidRDefault="005D7CC0">
            <w:pPr>
              <w:spacing w:after="0"/>
              <w:jc w:val="center"/>
            </w:pPr>
            <w:r>
              <w:rPr>
                <w:rFonts w:cs="Arial"/>
                <w:b/>
                <w:color w:val="FFFFFF"/>
                <w:sz w:val="15"/>
              </w:rPr>
              <w:t>Emerging</w:t>
            </w:r>
          </w:p>
        </w:tc>
        <w:tc>
          <w:tcPr>
            <w:tcW w:w="8620" w:type="dxa"/>
            <w:shd w:val="clear" w:color="auto" w:fill="FBE3B8"/>
            <w:tcMar>
              <w:top w:w="60" w:type="dxa"/>
              <w:left w:w="110" w:type="dxa"/>
              <w:bottom w:w="60" w:type="dxa"/>
              <w:right w:w="110" w:type="dxa"/>
            </w:tcMar>
          </w:tcPr>
          <w:p w14:paraId="7F77C398" w14:textId="77777777" w:rsidR="00311A95" w:rsidRDefault="005D7CC0">
            <w:pPr>
              <w:spacing w:after="0"/>
            </w:pPr>
            <w:r>
              <w:rPr>
                <w:rFonts w:cs="Arial"/>
                <w:sz w:val="16"/>
              </w:rPr>
              <w:t xml:space="preserve">Translating CCRA heat risks into action would benefit from spatially explicit surface-heat exposure to </w:t>
            </w:r>
            <w:proofErr w:type="spellStart"/>
            <w:r>
              <w:rPr>
                <w:rFonts w:cs="Arial"/>
                <w:sz w:val="16"/>
              </w:rPr>
              <w:t>prioritise</w:t>
            </w:r>
            <w:proofErr w:type="spellEnd"/>
            <w:r>
              <w:rPr>
                <w:rFonts w:cs="Arial"/>
                <w:sz w:val="16"/>
              </w:rPr>
              <w:t xml:space="preserve"> cooling and overheating measures; the LST evidence exists but is not yet a NAP input.</w:t>
            </w:r>
          </w:p>
        </w:tc>
      </w:tr>
      <w:tr w:rsidR="00311A95" w14:paraId="2F757B27" w14:textId="77777777">
        <w:tc>
          <w:tcPr>
            <w:tcW w:w="820" w:type="dxa"/>
            <w:shd w:val="clear" w:color="auto" w:fill="FBE3B8"/>
            <w:tcMar>
              <w:top w:w="60" w:type="dxa"/>
              <w:left w:w="110" w:type="dxa"/>
              <w:bottom w:w="60" w:type="dxa"/>
              <w:right w:w="110" w:type="dxa"/>
            </w:tcMar>
          </w:tcPr>
          <w:p w14:paraId="433B0BB1" w14:textId="77777777" w:rsidR="00311A95" w:rsidRDefault="005D7CC0">
            <w:pPr>
              <w:spacing w:after="0"/>
            </w:pPr>
            <w:r>
              <w:rPr>
                <w:rFonts w:cs="Arial"/>
                <w:b/>
                <w:sz w:val="16"/>
              </w:rPr>
              <w:t>POL-001</w:t>
            </w:r>
          </w:p>
        </w:tc>
        <w:tc>
          <w:tcPr>
            <w:tcW w:w="2560" w:type="dxa"/>
            <w:shd w:val="clear" w:color="auto" w:fill="FBE3B8"/>
            <w:tcMar>
              <w:top w:w="60" w:type="dxa"/>
              <w:left w:w="110" w:type="dxa"/>
              <w:bottom w:w="60" w:type="dxa"/>
              <w:right w:w="110" w:type="dxa"/>
            </w:tcMar>
          </w:tcPr>
          <w:p w14:paraId="4B3C5DB7" w14:textId="77777777" w:rsidR="00311A95" w:rsidRDefault="00311A95">
            <w:pPr>
              <w:spacing w:after="0"/>
            </w:pPr>
            <w:hyperlink r:id="rId13">
              <w:r>
                <w:rPr>
                  <w:rFonts w:cs="Arial"/>
                  <w:color w:val="10497A"/>
                  <w:sz w:val="16"/>
                  <w:u w:val="single"/>
                </w:rPr>
                <w:t>Environmental Improvement Plan 2025 (urban cooling / green infrastructure)</w:t>
              </w:r>
            </w:hyperlink>
          </w:p>
        </w:tc>
        <w:tc>
          <w:tcPr>
            <w:tcW w:w="1100" w:type="dxa"/>
            <w:shd w:val="clear" w:color="auto" w:fill="C9871B"/>
            <w:tcMar>
              <w:top w:w="60" w:type="dxa"/>
              <w:left w:w="110" w:type="dxa"/>
              <w:bottom w:w="60" w:type="dxa"/>
              <w:right w:w="110" w:type="dxa"/>
            </w:tcMar>
            <w:vAlign w:val="center"/>
          </w:tcPr>
          <w:p w14:paraId="65E41C35" w14:textId="77777777" w:rsidR="00311A95" w:rsidRDefault="005D7CC0">
            <w:pPr>
              <w:spacing w:after="0"/>
              <w:jc w:val="center"/>
            </w:pPr>
            <w:r>
              <w:rPr>
                <w:rFonts w:cs="Arial"/>
                <w:b/>
                <w:color w:val="FFFFFF"/>
                <w:sz w:val="20"/>
              </w:rPr>
              <w:t>2</w:t>
            </w:r>
            <w:r>
              <w:rPr>
                <w:rFonts w:cs="Arial"/>
                <w:b/>
                <w:color w:val="FFFFFF"/>
                <w:sz w:val="12"/>
              </w:rPr>
              <w:br/>
              <w:t>MED</w:t>
            </w:r>
          </w:p>
        </w:tc>
        <w:tc>
          <w:tcPr>
            <w:tcW w:w="1300" w:type="dxa"/>
            <w:shd w:val="clear" w:color="auto" w:fill="0B5563"/>
            <w:tcMar>
              <w:top w:w="60" w:type="dxa"/>
              <w:left w:w="110" w:type="dxa"/>
              <w:bottom w:w="60" w:type="dxa"/>
              <w:right w:w="110" w:type="dxa"/>
            </w:tcMar>
            <w:vAlign w:val="center"/>
          </w:tcPr>
          <w:p w14:paraId="7B1AF837" w14:textId="77777777" w:rsidR="00311A95" w:rsidRDefault="005D7CC0">
            <w:pPr>
              <w:spacing w:after="0"/>
              <w:jc w:val="center"/>
            </w:pPr>
            <w:r>
              <w:rPr>
                <w:rFonts w:cs="Arial"/>
                <w:b/>
                <w:color w:val="FFFFFF"/>
                <w:sz w:val="15"/>
              </w:rPr>
              <w:t>Demonstrated</w:t>
            </w:r>
          </w:p>
        </w:tc>
        <w:tc>
          <w:tcPr>
            <w:tcW w:w="8620" w:type="dxa"/>
            <w:shd w:val="clear" w:color="auto" w:fill="FBE3B8"/>
            <w:tcMar>
              <w:top w:w="60" w:type="dxa"/>
              <w:left w:w="110" w:type="dxa"/>
              <w:bottom w:w="60" w:type="dxa"/>
              <w:right w:w="110" w:type="dxa"/>
            </w:tcMar>
          </w:tcPr>
          <w:p w14:paraId="54B14373" w14:textId="77777777" w:rsidR="00311A95" w:rsidRDefault="005D7CC0">
            <w:pPr>
              <w:spacing w:after="0"/>
            </w:pPr>
            <w:r>
              <w:rPr>
                <w:rFonts w:cs="Arial"/>
                <w:sz w:val="16"/>
              </w:rPr>
              <w:t>Green-infrastructure cooling is the best-demonstrated LST application: canopy and green/blue space measurably reduce surface temperature. An LST product would provide the national evidence layer for urban greening and cooling targets.</w:t>
            </w:r>
          </w:p>
        </w:tc>
      </w:tr>
      <w:tr w:rsidR="00311A95" w14:paraId="525D8183" w14:textId="77777777">
        <w:tc>
          <w:tcPr>
            <w:tcW w:w="820" w:type="dxa"/>
            <w:shd w:val="clear" w:color="auto" w:fill="FBE3B8"/>
            <w:tcMar>
              <w:top w:w="60" w:type="dxa"/>
              <w:left w:w="110" w:type="dxa"/>
              <w:bottom w:w="60" w:type="dxa"/>
              <w:right w:w="110" w:type="dxa"/>
            </w:tcMar>
          </w:tcPr>
          <w:p w14:paraId="490261FB" w14:textId="77777777" w:rsidR="00311A95" w:rsidRDefault="005D7CC0">
            <w:pPr>
              <w:spacing w:after="0"/>
            </w:pPr>
            <w:r>
              <w:rPr>
                <w:rFonts w:cs="Arial"/>
                <w:b/>
                <w:sz w:val="16"/>
              </w:rPr>
              <w:t>POL-010</w:t>
            </w:r>
          </w:p>
        </w:tc>
        <w:tc>
          <w:tcPr>
            <w:tcW w:w="2560" w:type="dxa"/>
            <w:shd w:val="clear" w:color="auto" w:fill="FBE3B8"/>
            <w:tcMar>
              <w:top w:w="60" w:type="dxa"/>
              <w:left w:w="110" w:type="dxa"/>
              <w:bottom w:w="60" w:type="dxa"/>
              <w:right w:w="110" w:type="dxa"/>
            </w:tcMar>
          </w:tcPr>
          <w:p w14:paraId="7B75B9B7" w14:textId="77777777" w:rsidR="00311A95" w:rsidRDefault="00311A95">
            <w:pPr>
              <w:spacing w:after="0"/>
            </w:pPr>
            <w:hyperlink r:id="rId14">
              <w:r>
                <w:rPr>
                  <w:rFonts w:cs="Arial"/>
                  <w:color w:val="10497A"/>
                  <w:sz w:val="16"/>
                  <w:u w:val="single"/>
                </w:rPr>
                <w:t>England Peat Action Plan 2021</w:t>
              </w:r>
            </w:hyperlink>
          </w:p>
        </w:tc>
        <w:tc>
          <w:tcPr>
            <w:tcW w:w="1100" w:type="dxa"/>
            <w:shd w:val="clear" w:color="auto" w:fill="C9871B"/>
            <w:tcMar>
              <w:top w:w="60" w:type="dxa"/>
              <w:left w:w="110" w:type="dxa"/>
              <w:bottom w:w="60" w:type="dxa"/>
              <w:right w:w="110" w:type="dxa"/>
            </w:tcMar>
            <w:vAlign w:val="center"/>
          </w:tcPr>
          <w:p w14:paraId="6E629205" w14:textId="77777777" w:rsidR="00311A95" w:rsidRDefault="005D7CC0">
            <w:pPr>
              <w:spacing w:after="0"/>
              <w:jc w:val="center"/>
            </w:pPr>
            <w:r>
              <w:rPr>
                <w:rFonts w:cs="Arial"/>
                <w:b/>
                <w:color w:val="FFFFFF"/>
                <w:sz w:val="20"/>
              </w:rPr>
              <w:t>2</w:t>
            </w:r>
            <w:r>
              <w:rPr>
                <w:rFonts w:cs="Arial"/>
                <w:b/>
                <w:color w:val="FFFFFF"/>
                <w:sz w:val="12"/>
              </w:rPr>
              <w:br/>
              <w:t>MED</w:t>
            </w:r>
          </w:p>
        </w:tc>
        <w:tc>
          <w:tcPr>
            <w:tcW w:w="1300" w:type="dxa"/>
            <w:shd w:val="clear" w:color="auto" w:fill="C9871B"/>
            <w:tcMar>
              <w:top w:w="60" w:type="dxa"/>
              <w:left w:w="110" w:type="dxa"/>
              <w:bottom w:w="60" w:type="dxa"/>
              <w:right w:w="110" w:type="dxa"/>
            </w:tcMar>
            <w:vAlign w:val="center"/>
          </w:tcPr>
          <w:p w14:paraId="5688C346" w14:textId="77777777" w:rsidR="00311A95" w:rsidRDefault="005D7CC0">
            <w:pPr>
              <w:spacing w:after="0"/>
              <w:jc w:val="center"/>
            </w:pPr>
            <w:r>
              <w:rPr>
                <w:rFonts w:cs="Arial"/>
                <w:b/>
                <w:color w:val="FFFFFF"/>
                <w:sz w:val="15"/>
              </w:rPr>
              <w:t>Emerging</w:t>
            </w:r>
          </w:p>
        </w:tc>
        <w:tc>
          <w:tcPr>
            <w:tcW w:w="8620" w:type="dxa"/>
            <w:shd w:val="clear" w:color="auto" w:fill="FBE3B8"/>
            <w:tcMar>
              <w:top w:w="60" w:type="dxa"/>
              <w:left w:w="110" w:type="dxa"/>
              <w:bottom w:w="60" w:type="dxa"/>
              <w:right w:w="110" w:type="dxa"/>
            </w:tcMar>
          </w:tcPr>
          <w:p w14:paraId="57B83F34" w14:textId="77777777" w:rsidR="00311A95" w:rsidRDefault="005D7CC0">
            <w:pPr>
              <w:spacing w:after="0"/>
            </w:pPr>
            <w:r>
              <w:rPr>
                <w:rFonts w:cs="Arial"/>
                <w:sz w:val="16"/>
              </w:rPr>
              <w:t>Peat surface temperature and moisture are proxies for condition, dryness and wildfire/burning risk on protected peatland. LST from thermal remote sensing is an emerging monitoring input for restoration targeting and burning-ban compliance.</w:t>
            </w:r>
          </w:p>
        </w:tc>
      </w:tr>
      <w:tr w:rsidR="00311A95" w14:paraId="55A9ECB0" w14:textId="77777777">
        <w:tc>
          <w:tcPr>
            <w:tcW w:w="820" w:type="dxa"/>
            <w:shd w:val="clear" w:color="auto" w:fill="FBE3B8"/>
            <w:tcMar>
              <w:top w:w="60" w:type="dxa"/>
              <w:left w:w="110" w:type="dxa"/>
              <w:bottom w:w="60" w:type="dxa"/>
              <w:right w:w="110" w:type="dxa"/>
            </w:tcMar>
          </w:tcPr>
          <w:p w14:paraId="683E4D56" w14:textId="77777777" w:rsidR="00311A95" w:rsidRDefault="005D7CC0">
            <w:pPr>
              <w:spacing w:after="0"/>
            </w:pPr>
            <w:r>
              <w:rPr>
                <w:rFonts w:cs="Arial"/>
                <w:b/>
                <w:sz w:val="16"/>
              </w:rPr>
              <w:t>†</w:t>
            </w:r>
          </w:p>
        </w:tc>
        <w:tc>
          <w:tcPr>
            <w:tcW w:w="2560" w:type="dxa"/>
            <w:shd w:val="clear" w:color="auto" w:fill="FBE3B8"/>
            <w:tcMar>
              <w:top w:w="60" w:type="dxa"/>
              <w:left w:w="110" w:type="dxa"/>
              <w:bottom w:w="60" w:type="dxa"/>
              <w:right w:w="110" w:type="dxa"/>
            </w:tcMar>
          </w:tcPr>
          <w:p w14:paraId="3929D8C6" w14:textId="77777777" w:rsidR="00311A95" w:rsidRDefault="00311A95">
            <w:pPr>
              <w:spacing w:after="0"/>
            </w:pPr>
            <w:hyperlink r:id="rId15">
              <w:r>
                <w:rPr>
                  <w:rFonts w:cs="Arial"/>
                  <w:color w:val="10497A"/>
                  <w:sz w:val="16"/>
                  <w:u w:val="single"/>
                </w:rPr>
                <w:t>Building Regulations Part O (overheating in new residential buildings)</w:t>
              </w:r>
            </w:hyperlink>
          </w:p>
        </w:tc>
        <w:tc>
          <w:tcPr>
            <w:tcW w:w="1100" w:type="dxa"/>
            <w:shd w:val="clear" w:color="auto" w:fill="C9871B"/>
            <w:tcMar>
              <w:top w:w="60" w:type="dxa"/>
              <w:left w:w="110" w:type="dxa"/>
              <w:bottom w:w="60" w:type="dxa"/>
              <w:right w:w="110" w:type="dxa"/>
            </w:tcMar>
            <w:vAlign w:val="center"/>
          </w:tcPr>
          <w:p w14:paraId="156DF96D" w14:textId="77777777" w:rsidR="00311A95" w:rsidRDefault="005D7CC0">
            <w:pPr>
              <w:spacing w:after="0"/>
              <w:jc w:val="center"/>
            </w:pPr>
            <w:r>
              <w:rPr>
                <w:rFonts w:cs="Arial"/>
                <w:b/>
                <w:color w:val="FFFFFF"/>
                <w:sz w:val="20"/>
              </w:rPr>
              <w:t>2</w:t>
            </w:r>
            <w:r>
              <w:rPr>
                <w:rFonts w:cs="Arial"/>
                <w:b/>
                <w:color w:val="FFFFFF"/>
                <w:sz w:val="12"/>
              </w:rPr>
              <w:br/>
              <w:t>MED</w:t>
            </w:r>
          </w:p>
        </w:tc>
        <w:tc>
          <w:tcPr>
            <w:tcW w:w="1300" w:type="dxa"/>
            <w:shd w:val="clear" w:color="auto" w:fill="5A6B73"/>
            <w:tcMar>
              <w:top w:w="60" w:type="dxa"/>
              <w:left w:w="110" w:type="dxa"/>
              <w:bottom w:w="60" w:type="dxa"/>
              <w:right w:w="110" w:type="dxa"/>
            </w:tcMar>
            <w:vAlign w:val="center"/>
          </w:tcPr>
          <w:p w14:paraId="370687BD" w14:textId="77777777" w:rsidR="00311A95" w:rsidRDefault="005D7CC0">
            <w:pPr>
              <w:spacing w:after="0"/>
              <w:jc w:val="center"/>
            </w:pPr>
            <w:r>
              <w:rPr>
                <w:rFonts w:cs="Arial"/>
                <w:b/>
                <w:color w:val="FFFFFF"/>
                <w:sz w:val="15"/>
              </w:rPr>
              <w:t>Conceptual</w:t>
            </w:r>
          </w:p>
        </w:tc>
        <w:tc>
          <w:tcPr>
            <w:tcW w:w="8620" w:type="dxa"/>
            <w:shd w:val="clear" w:color="auto" w:fill="FBE3B8"/>
            <w:tcMar>
              <w:top w:w="60" w:type="dxa"/>
              <w:left w:w="110" w:type="dxa"/>
              <w:bottom w:w="60" w:type="dxa"/>
              <w:right w:w="110" w:type="dxa"/>
            </w:tcMar>
          </w:tcPr>
          <w:p w14:paraId="10923FE5" w14:textId="77777777" w:rsidR="00311A95" w:rsidRDefault="005D7CC0">
            <w:pPr>
              <w:spacing w:after="0"/>
            </w:pPr>
            <w:r>
              <w:rPr>
                <w:rFonts w:cs="Arial"/>
                <w:sz w:val="16"/>
              </w:rPr>
              <w:t xml:space="preserve">Part </w:t>
            </w:r>
            <w:proofErr w:type="spellStart"/>
            <w:r>
              <w:rPr>
                <w:rFonts w:cs="Arial"/>
                <w:sz w:val="16"/>
              </w:rPr>
              <w:t>O</w:t>
            </w:r>
            <w:proofErr w:type="spellEnd"/>
            <w:r>
              <w:rPr>
                <w:rFonts w:cs="Arial"/>
                <w:sz w:val="16"/>
              </w:rPr>
              <w:t xml:space="preserve"> assessments run on CIBSE design summer-year weather files (air temperature). An LST product could inform location-specific urban-heat uplift to those files — an inferred, not-yet-established pathway.</w:t>
            </w:r>
          </w:p>
        </w:tc>
      </w:tr>
      <w:tr w:rsidR="00311A95" w14:paraId="6BEAE25E" w14:textId="77777777">
        <w:tc>
          <w:tcPr>
            <w:tcW w:w="820" w:type="dxa"/>
            <w:shd w:val="clear" w:color="auto" w:fill="FBE3B8"/>
            <w:tcMar>
              <w:top w:w="60" w:type="dxa"/>
              <w:left w:w="110" w:type="dxa"/>
              <w:bottom w:w="60" w:type="dxa"/>
              <w:right w:w="110" w:type="dxa"/>
            </w:tcMar>
          </w:tcPr>
          <w:p w14:paraId="72E9F420" w14:textId="77777777" w:rsidR="00311A95" w:rsidRDefault="005D7CC0">
            <w:pPr>
              <w:spacing w:after="0"/>
            </w:pPr>
            <w:r>
              <w:rPr>
                <w:rFonts w:cs="Arial"/>
                <w:b/>
                <w:sz w:val="16"/>
              </w:rPr>
              <w:t>†</w:t>
            </w:r>
          </w:p>
        </w:tc>
        <w:tc>
          <w:tcPr>
            <w:tcW w:w="2560" w:type="dxa"/>
            <w:shd w:val="clear" w:color="auto" w:fill="FBE3B8"/>
            <w:tcMar>
              <w:top w:w="60" w:type="dxa"/>
              <w:left w:w="110" w:type="dxa"/>
              <w:bottom w:w="60" w:type="dxa"/>
              <w:right w:w="110" w:type="dxa"/>
            </w:tcMar>
          </w:tcPr>
          <w:p w14:paraId="144767D0" w14:textId="77777777" w:rsidR="00311A95" w:rsidRDefault="00311A95">
            <w:pPr>
              <w:spacing w:after="0"/>
            </w:pPr>
            <w:hyperlink r:id="rId16">
              <w:r>
                <w:rPr>
                  <w:rFonts w:cs="Arial"/>
                  <w:color w:val="10497A"/>
                  <w:sz w:val="16"/>
                  <w:u w:val="single"/>
                </w:rPr>
                <w:t>NSWWS Extreme Heat warnings (Met Office)</w:t>
              </w:r>
            </w:hyperlink>
          </w:p>
        </w:tc>
        <w:tc>
          <w:tcPr>
            <w:tcW w:w="1100" w:type="dxa"/>
            <w:shd w:val="clear" w:color="auto" w:fill="C9871B"/>
            <w:tcMar>
              <w:top w:w="60" w:type="dxa"/>
              <w:left w:w="110" w:type="dxa"/>
              <w:bottom w:w="60" w:type="dxa"/>
              <w:right w:w="110" w:type="dxa"/>
            </w:tcMar>
            <w:vAlign w:val="center"/>
          </w:tcPr>
          <w:p w14:paraId="12665787" w14:textId="77777777" w:rsidR="00311A95" w:rsidRDefault="005D7CC0">
            <w:pPr>
              <w:spacing w:after="0"/>
              <w:jc w:val="center"/>
            </w:pPr>
            <w:r>
              <w:rPr>
                <w:rFonts w:cs="Arial"/>
                <w:b/>
                <w:color w:val="FFFFFF"/>
                <w:sz w:val="20"/>
              </w:rPr>
              <w:t>2</w:t>
            </w:r>
            <w:r>
              <w:rPr>
                <w:rFonts w:cs="Arial"/>
                <w:b/>
                <w:color w:val="FFFFFF"/>
                <w:sz w:val="12"/>
              </w:rPr>
              <w:br/>
              <w:t>MED</w:t>
            </w:r>
          </w:p>
        </w:tc>
        <w:tc>
          <w:tcPr>
            <w:tcW w:w="1300" w:type="dxa"/>
            <w:shd w:val="clear" w:color="auto" w:fill="5A6B73"/>
            <w:tcMar>
              <w:top w:w="60" w:type="dxa"/>
              <w:left w:w="110" w:type="dxa"/>
              <w:bottom w:w="60" w:type="dxa"/>
              <w:right w:w="110" w:type="dxa"/>
            </w:tcMar>
            <w:vAlign w:val="center"/>
          </w:tcPr>
          <w:p w14:paraId="7B389C06" w14:textId="77777777" w:rsidR="00311A95" w:rsidRDefault="005D7CC0">
            <w:pPr>
              <w:spacing w:after="0"/>
              <w:jc w:val="center"/>
            </w:pPr>
            <w:r>
              <w:rPr>
                <w:rFonts w:cs="Arial"/>
                <w:b/>
                <w:color w:val="FFFFFF"/>
                <w:sz w:val="15"/>
              </w:rPr>
              <w:t>Conceptual</w:t>
            </w:r>
          </w:p>
        </w:tc>
        <w:tc>
          <w:tcPr>
            <w:tcW w:w="8620" w:type="dxa"/>
            <w:shd w:val="clear" w:color="auto" w:fill="FBE3B8"/>
            <w:tcMar>
              <w:top w:w="60" w:type="dxa"/>
              <w:left w:w="110" w:type="dxa"/>
              <w:bottom w:w="60" w:type="dxa"/>
              <w:right w:w="110" w:type="dxa"/>
            </w:tcMar>
          </w:tcPr>
          <w:p w14:paraId="45C6850B" w14:textId="77777777" w:rsidR="00311A95" w:rsidRDefault="005D7CC0">
            <w:pPr>
              <w:spacing w:after="0"/>
            </w:pPr>
            <w:r>
              <w:rPr>
                <w:rFonts w:cs="Arial"/>
                <w:sz w:val="16"/>
              </w:rPr>
              <w:t>Extreme-heat warnings are air-temperature and impact based; LST could add surface-heat context for built-up areas, but this is a speculative enhancement rather than a defined need.</w:t>
            </w:r>
          </w:p>
        </w:tc>
      </w:tr>
      <w:tr w:rsidR="00311A95" w14:paraId="0794F14A" w14:textId="77777777">
        <w:tc>
          <w:tcPr>
            <w:tcW w:w="820" w:type="dxa"/>
            <w:shd w:val="clear" w:color="auto" w:fill="FBE3B8"/>
            <w:tcMar>
              <w:top w:w="60" w:type="dxa"/>
              <w:left w:w="110" w:type="dxa"/>
              <w:bottom w:w="60" w:type="dxa"/>
              <w:right w:w="110" w:type="dxa"/>
            </w:tcMar>
          </w:tcPr>
          <w:p w14:paraId="2CFB1527" w14:textId="77777777" w:rsidR="00311A95" w:rsidRDefault="005D7CC0">
            <w:pPr>
              <w:spacing w:after="0"/>
            </w:pPr>
            <w:r>
              <w:rPr>
                <w:rFonts w:cs="Arial"/>
                <w:b/>
                <w:sz w:val="16"/>
              </w:rPr>
              <w:t>POL-026</w:t>
            </w:r>
          </w:p>
        </w:tc>
        <w:tc>
          <w:tcPr>
            <w:tcW w:w="2560" w:type="dxa"/>
            <w:shd w:val="clear" w:color="auto" w:fill="FBE3B8"/>
            <w:tcMar>
              <w:top w:w="60" w:type="dxa"/>
              <w:left w:w="110" w:type="dxa"/>
              <w:bottom w:w="60" w:type="dxa"/>
              <w:right w:w="110" w:type="dxa"/>
            </w:tcMar>
          </w:tcPr>
          <w:p w14:paraId="37674D50" w14:textId="77777777" w:rsidR="00311A95" w:rsidRDefault="00311A95">
            <w:pPr>
              <w:spacing w:after="0"/>
            </w:pPr>
            <w:hyperlink r:id="rId17">
              <w:r>
                <w:rPr>
                  <w:rFonts w:cs="Arial"/>
                  <w:color w:val="10497A"/>
                  <w:sz w:val="16"/>
                  <w:u w:val="single"/>
                </w:rPr>
                <w:t xml:space="preserve">Natural Capital &amp; Ecosystem Assessment (NCEA) </w:t>
              </w:r>
              <w:proofErr w:type="spellStart"/>
              <w:r>
                <w:rPr>
                  <w:rFonts w:cs="Arial"/>
                  <w:color w:val="10497A"/>
                  <w:sz w:val="16"/>
                  <w:u w:val="single"/>
                </w:rPr>
                <w:t>Programme</w:t>
              </w:r>
              <w:proofErr w:type="spellEnd"/>
            </w:hyperlink>
          </w:p>
        </w:tc>
        <w:tc>
          <w:tcPr>
            <w:tcW w:w="1100" w:type="dxa"/>
            <w:shd w:val="clear" w:color="auto" w:fill="C9871B"/>
            <w:tcMar>
              <w:top w:w="60" w:type="dxa"/>
              <w:left w:w="110" w:type="dxa"/>
              <w:bottom w:w="60" w:type="dxa"/>
              <w:right w:w="110" w:type="dxa"/>
            </w:tcMar>
            <w:vAlign w:val="center"/>
          </w:tcPr>
          <w:p w14:paraId="110DCF3B" w14:textId="77777777" w:rsidR="00311A95" w:rsidRDefault="005D7CC0">
            <w:pPr>
              <w:spacing w:after="0"/>
              <w:jc w:val="center"/>
            </w:pPr>
            <w:r>
              <w:rPr>
                <w:rFonts w:cs="Arial"/>
                <w:b/>
                <w:color w:val="FFFFFF"/>
                <w:sz w:val="20"/>
              </w:rPr>
              <w:t>2</w:t>
            </w:r>
            <w:r>
              <w:rPr>
                <w:rFonts w:cs="Arial"/>
                <w:b/>
                <w:color w:val="FFFFFF"/>
                <w:sz w:val="12"/>
              </w:rPr>
              <w:br/>
              <w:t>MED</w:t>
            </w:r>
          </w:p>
        </w:tc>
        <w:tc>
          <w:tcPr>
            <w:tcW w:w="1300" w:type="dxa"/>
            <w:shd w:val="clear" w:color="auto" w:fill="5A6B73"/>
            <w:tcMar>
              <w:top w:w="60" w:type="dxa"/>
              <w:left w:w="110" w:type="dxa"/>
              <w:bottom w:w="60" w:type="dxa"/>
              <w:right w:w="110" w:type="dxa"/>
            </w:tcMar>
            <w:vAlign w:val="center"/>
          </w:tcPr>
          <w:p w14:paraId="59D3C3C1" w14:textId="77777777" w:rsidR="00311A95" w:rsidRDefault="005D7CC0">
            <w:pPr>
              <w:spacing w:after="0"/>
              <w:jc w:val="center"/>
            </w:pPr>
            <w:r>
              <w:rPr>
                <w:rFonts w:cs="Arial"/>
                <w:b/>
                <w:color w:val="FFFFFF"/>
                <w:sz w:val="15"/>
              </w:rPr>
              <w:t>Conceptual</w:t>
            </w:r>
          </w:p>
        </w:tc>
        <w:tc>
          <w:tcPr>
            <w:tcW w:w="8620" w:type="dxa"/>
            <w:shd w:val="clear" w:color="auto" w:fill="FBE3B8"/>
            <w:tcMar>
              <w:top w:w="60" w:type="dxa"/>
              <w:left w:w="110" w:type="dxa"/>
              <w:bottom w:w="60" w:type="dxa"/>
              <w:right w:w="110" w:type="dxa"/>
            </w:tcMar>
          </w:tcPr>
          <w:p w14:paraId="2C099B3B" w14:textId="77777777" w:rsidR="00311A95" w:rsidRDefault="005D7CC0">
            <w:pPr>
              <w:spacing w:after="0"/>
            </w:pPr>
            <w:r>
              <w:rPr>
                <w:rFonts w:cs="Arial"/>
                <w:sz w:val="16"/>
              </w:rPr>
              <w:t>NCEA builds national baselines of ecosystem extent and condition. Surface temperature could feed a heat-stress condition layer for habitats and urban green space, but its use in condition accounts is not yet defined.</w:t>
            </w:r>
          </w:p>
        </w:tc>
      </w:tr>
      <w:tr w:rsidR="00311A95" w14:paraId="410D2065" w14:textId="77777777">
        <w:tc>
          <w:tcPr>
            <w:tcW w:w="820" w:type="dxa"/>
            <w:shd w:val="clear" w:color="auto" w:fill="FBE3B8"/>
            <w:tcMar>
              <w:top w:w="60" w:type="dxa"/>
              <w:left w:w="110" w:type="dxa"/>
              <w:bottom w:w="60" w:type="dxa"/>
              <w:right w:w="110" w:type="dxa"/>
            </w:tcMar>
          </w:tcPr>
          <w:p w14:paraId="77F968F7" w14:textId="77777777" w:rsidR="00311A95" w:rsidRDefault="005D7CC0">
            <w:pPr>
              <w:spacing w:after="0"/>
            </w:pPr>
            <w:r>
              <w:rPr>
                <w:rFonts w:cs="Arial"/>
                <w:b/>
                <w:sz w:val="16"/>
              </w:rPr>
              <w:t>POL-009</w:t>
            </w:r>
          </w:p>
        </w:tc>
        <w:tc>
          <w:tcPr>
            <w:tcW w:w="2560" w:type="dxa"/>
            <w:shd w:val="clear" w:color="auto" w:fill="FBE3B8"/>
            <w:tcMar>
              <w:top w:w="60" w:type="dxa"/>
              <w:left w:w="110" w:type="dxa"/>
              <w:bottom w:w="60" w:type="dxa"/>
              <w:right w:w="110" w:type="dxa"/>
            </w:tcMar>
          </w:tcPr>
          <w:p w14:paraId="363CB7B4" w14:textId="77777777" w:rsidR="00311A95" w:rsidRDefault="00311A95">
            <w:pPr>
              <w:spacing w:after="0"/>
            </w:pPr>
            <w:hyperlink r:id="rId18">
              <w:r>
                <w:rPr>
                  <w:rFonts w:cs="Arial"/>
                  <w:color w:val="10497A"/>
                  <w:sz w:val="16"/>
                  <w:u w:val="single"/>
                </w:rPr>
                <w:t>Land Use Framework 2025</w:t>
              </w:r>
            </w:hyperlink>
          </w:p>
        </w:tc>
        <w:tc>
          <w:tcPr>
            <w:tcW w:w="1100" w:type="dxa"/>
            <w:shd w:val="clear" w:color="auto" w:fill="C9871B"/>
            <w:tcMar>
              <w:top w:w="60" w:type="dxa"/>
              <w:left w:w="110" w:type="dxa"/>
              <w:bottom w:w="60" w:type="dxa"/>
              <w:right w:w="110" w:type="dxa"/>
            </w:tcMar>
            <w:vAlign w:val="center"/>
          </w:tcPr>
          <w:p w14:paraId="5260447D" w14:textId="77777777" w:rsidR="00311A95" w:rsidRDefault="005D7CC0">
            <w:pPr>
              <w:spacing w:after="0"/>
              <w:jc w:val="center"/>
            </w:pPr>
            <w:r>
              <w:rPr>
                <w:rFonts w:cs="Arial"/>
                <w:b/>
                <w:color w:val="FFFFFF"/>
                <w:sz w:val="20"/>
              </w:rPr>
              <w:t>2</w:t>
            </w:r>
            <w:r>
              <w:rPr>
                <w:rFonts w:cs="Arial"/>
                <w:b/>
                <w:color w:val="FFFFFF"/>
                <w:sz w:val="12"/>
              </w:rPr>
              <w:br/>
              <w:t>MED</w:t>
            </w:r>
          </w:p>
        </w:tc>
        <w:tc>
          <w:tcPr>
            <w:tcW w:w="1300" w:type="dxa"/>
            <w:shd w:val="clear" w:color="auto" w:fill="5A6B73"/>
            <w:tcMar>
              <w:top w:w="60" w:type="dxa"/>
              <w:left w:w="110" w:type="dxa"/>
              <w:bottom w:w="60" w:type="dxa"/>
              <w:right w:w="110" w:type="dxa"/>
            </w:tcMar>
            <w:vAlign w:val="center"/>
          </w:tcPr>
          <w:p w14:paraId="52304FEB" w14:textId="77777777" w:rsidR="00311A95" w:rsidRDefault="005D7CC0">
            <w:pPr>
              <w:spacing w:after="0"/>
              <w:jc w:val="center"/>
            </w:pPr>
            <w:r>
              <w:rPr>
                <w:rFonts w:cs="Arial"/>
                <w:b/>
                <w:color w:val="FFFFFF"/>
                <w:sz w:val="15"/>
              </w:rPr>
              <w:t>Conceptual</w:t>
            </w:r>
          </w:p>
        </w:tc>
        <w:tc>
          <w:tcPr>
            <w:tcW w:w="8620" w:type="dxa"/>
            <w:shd w:val="clear" w:color="auto" w:fill="FBE3B8"/>
            <w:tcMar>
              <w:top w:w="60" w:type="dxa"/>
              <w:left w:w="110" w:type="dxa"/>
              <w:bottom w:w="60" w:type="dxa"/>
              <w:right w:w="110" w:type="dxa"/>
            </w:tcMar>
          </w:tcPr>
          <w:p w14:paraId="2276C26A" w14:textId="77777777" w:rsidR="00311A95" w:rsidRDefault="005D7CC0">
            <w:pPr>
              <w:spacing w:after="0"/>
            </w:pPr>
            <w:r>
              <w:rPr>
                <w:rFonts w:cs="Arial"/>
                <w:sz w:val="16"/>
              </w:rPr>
              <w:t>Spatial land-use and development decisions could use LST-derived urban-heat surfaces to steer cooling-sensitive siting and green-space placement; plausible but not yet an articulated function.</w:t>
            </w:r>
          </w:p>
        </w:tc>
      </w:tr>
      <w:tr w:rsidR="00311A95" w14:paraId="0BC2B9AF" w14:textId="77777777">
        <w:tc>
          <w:tcPr>
            <w:tcW w:w="820" w:type="dxa"/>
            <w:shd w:val="clear" w:color="auto" w:fill="DCE4E9"/>
            <w:tcMar>
              <w:top w:w="60" w:type="dxa"/>
              <w:left w:w="110" w:type="dxa"/>
              <w:bottom w:w="60" w:type="dxa"/>
              <w:right w:w="110" w:type="dxa"/>
            </w:tcMar>
          </w:tcPr>
          <w:p w14:paraId="2FA08BE6" w14:textId="77777777" w:rsidR="00311A95" w:rsidRDefault="005D7CC0">
            <w:pPr>
              <w:spacing w:after="0"/>
            </w:pPr>
            <w:r>
              <w:rPr>
                <w:rFonts w:cs="Arial"/>
                <w:b/>
                <w:sz w:val="16"/>
              </w:rPr>
              <w:t>POL-013</w:t>
            </w:r>
          </w:p>
        </w:tc>
        <w:tc>
          <w:tcPr>
            <w:tcW w:w="2560" w:type="dxa"/>
            <w:shd w:val="clear" w:color="auto" w:fill="DCE4E9"/>
            <w:tcMar>
              <w:top w:w="60" w:type="dxa"/>
              <w:left w:w="110" w:type="dxa"/>
              <w:bottom w:w="60" w:type="dxa"/>
              <w:right w:w="110" w:type="dxa"/>
            </w:tcMar>
          </w:tcPr>
          <w:p w14:paraId="3D23BBCA" w14:textId="77777777" w:rsidR="00311A95" w:rsidRDefault="00311A95">
            <w:pPr>
              <w:spacing w:after="0"/>
            </w:pPr>
            <w:hyperlink r:id="rId19">
              <w:r>
                <w:rPr>
                  <w:rFonts w:cs="Arial"/>
                  <w:color w:val="10497A"/>
                  <w:sz w:val="16"/>
                  <w:u w:val="single"/>
                </w:rPr>
                <w:t>Environmental Land Management schemes (drought / soil-moisture stress)</w:t>
              </w:r>
            </w:hyperlink>
          </w:p>
        </w:tc>
        <w:tc>
          <w:tcPr>
            <w:tcW w:w="1100" w:type="dxa"/>
            <w:shd w:val="clear" w:color="auto" w:fill="5A6B73"/>
            <w:tcMar>
              <w:top w:w="60" w:type="dxa"/>
              <w:left w:w="110" w:type="dxa"/>
              <w:bottom w:w="60" w:type="dxa"/>
              <w:right w:w="110" w:type="dxa"/>
            </w:tcMar>
            <w:vAlign w:val="center"/>
          </w:tcPr>
          <w:p w14:paraId="1EE807EE" w14:textId="77777777" w:rsidR="00311A95" w:rsidRDefault="005D7CC0">
            <w:pPr>
              <w:spacing w:after="0"/>
              <w:jc w:val="center"/>
            </w:pPr>
            <w:r>
              <w:rPr>
                <w:rFonts w:cs="Arial"/>
                <w:b/>
                <w:color w:val="FFFFFF"/>
                <w:sz w:val="20"/>
              </w:rPr>
              <w:t>1</w:t>
            </w:r>
            <w:r>
              <w:rPr>
                <w:rFonts w:cs="Arial"/>
                <w:b/>
                <w:color w:val="FFFFFF"/>
                <w:sz w:val="12"/>
              </w:rPr>
              <w:br/>
              <w:t>LOW</w:t>
            </w:r>
          </w:p>
        </w:tc>
        <w:tc>
          <w:tcPr>
            <w:tcW w:w="1300" w:type="dxa"/>
            <w:shd w:val="clear" w:color="auto" w:fill="C9871B"/>
            <w:tcMar>
              <w:top w:w="60" w:type="dxa"/>
              <w:left w:w="110" w:type="dxa"/>
              <w:bottom w:w="60" w:type="dxa"/>
              <w:right w:w="110" w:type="dxa"/>
            </w:tcMar>
            <w:vAlign w:val="center"/>
          </w:tcPr>
          <w:p w14:paraId="4684FD3E" w14:textId="77777777" w:rsidR="00311A95" w:rsidRDefault="005D7CC0">
            <w:pPr>
              <w:spacing w:after="0"/>
              <w:jc w:val="center"/>
            </w:pPr>
            <w:r>
              <w:rPr>
                <w:rFonts w:cs="Arial"/>
                <w:b/>
                <w:color w:val="FFFFFF"/>
                <w:sz w:val="15"/>
              </w:rPr>
              <w:t>Emerging</w:t>
            </w:r>
          </w:p>
        </w:tc>
        <w:tc>
          <w:tcPr>
            <w:tcW w:w="8620" w:type="dxa"/>
            <w:shd w:val="clear" w:color="auto" w:fill="DCE4E9"/>
            <w:tcMar>
              <w:top w:w="60" w:type="dxa"/>
              <w:left w:w="110" w:type="dxa"/>
              <w:bottom w:w="60" w:type="dxa"/>
              <w:right w:w="110" w:type="dxa"/>
            </w:tcMar>
          </w:tcPr>
          <w:p w14:paraId="76F40DCF" w14:textId="77777777" w:rsidR="00311A95" w:rsidRDefault="005D7CC0">
            <w:pPr>
              <w:spacing w:after="0"/>
            </w:pPr>
            <w:r>
              <w:rPr>
                <w:rFonts w:cs="Arial"/>
                <w:sz w:val="16"/>
              </w:rPr>
              <w:t xml:space="preserve">LST is a </w:t>
            </w:r>
            <w:proofErr w:type="spellStart"/>
            <w:r>
              <w:rPr>
                <w:rFonts w:cs="Arial"/>
                <w:sz w:val="16"/>
              </w:rPr>
              <w:t>recognised</w:t>
            </w:r>
            <w:proofErr w:type="spellEnd"/>
            <w:r>
              <w:rPr>
                <w:rFonts w:cs="Arial"/>
                <w:sz w:val="16"/>
              </w:rPr>
              <w:t xml:space="preserve"> proxy for evaporative stress and soil-moisture deficit; an LST product could support drought-sensitive land-management targeting, with research evidence but no current scheme use.</w:t>
            </w:r>
          </w:p>
        </w:tc>
      </w:tr>
      <w:tr w:rsidR="00311A95" w14:paraId="41F30693" w14:textId="77777777">
        <w:tc>
          <w:tcPr>
            <w:tcW w:w="820" w:type="dxa"/>
            <w:shd w:val="clear" w:color="auto" w:fill="DCE4E9"/>
            <w:tcMar>
              <w:top w:w="60" w:type="dxa"/>
              <w:left w:w="110" w:type="dxa"/>
              <w:bottom w:w="60" w:type="dxa"/>
              <w:right w:w="110" w:type="dxa"/>
            </w:tcMar>
          </w:tcPr>
          <w:p w14:paraId="485A2F3D" w14:textId="77777777" w:rsidR="00311A95" w:rsidRDefault="005D7CC0">
            <w:pPr>
              <w:spacing w:after="0"/>
            </w:pPr>
            <w:r>
              <w:rPr>
                <w:rFonts w:cs="Arial"/>
                <w:b/>
                <w:sz w:val="16"/>
              </w:rPr>
              <w:t>POL-058</w:t>
            </w:r>
          </w:p>
        </w:tc>
        <w:tc>
          <w:tcPr>
            <w:tcW w:w="2560" w:type="dxa"/>
            <w:shd w:val="clear" w:color="auto" w:fill="DCE4E9"/>
            <w:tcMar>
              <w:top w:w="60" w:type="dxa"/>
              <w:left w:w="110" w:type="dxa"/>
              <w:bottom w:w="60" w:type="dxa"/>
              <w:right w:w="110" w:type="dxa"/>
            </w:tcMar>
          </w:tcPr>
          <w:p w14:paraId="46D307A2" w14:textId="77777777" w:rsidR="00311A95" w:rsidRDefault="00311A95">
            <w:pPr>
              <w:spacing w:after="0"/>
            </w:pPr>
            <w:hyperlink r:id="rId20">
              <w:r>
                <w:rPr>
                  <w:rFonts w:cs="Arial"/>
                  <w:color w:val="10497A"/>
                  <w:sz w:val="16"/>
                  <w:u w:val="single"/>
                </w:rPr>
                <w:t>Clean Air Strategy 2019 (heat – air-quality interaction)</w:t>
              </w:r>
            </w:hyperlink>
          </w:p>
        </w:tc>
        <w:tc>
          <w:tcPr>
            <w:tcW w:w="1100" w:type="dxa"/>
            <w:shd w:val="clear" w:color="auto" w:fill="5A6B73"/>
            <w:tcMar>
              <w:top w:w="60" w:type="dxa"/>
              <w:left w:w="110" w:type="dxa"/>
              <w:bottom w:w="60" w:type="dxa"/>
              <w:right w:w="110" w:type="dxa"/>
            </w:tcMar>
            <w:vAlign w:val="center"/>
          </w:tcPr>
          <w:p w14:paraId="28D8AED7" w14:textId="77777777" w:rsidR="00311A95" w:rsidRDefault="005D7CC0">
            <w:pPr>
              <w:spacing w:after="0"/>
              <w:jc w:val="center"/>
            </w:pPr>
            <w:r>
              <w:rPr>
                <w:rFonts w:cs="Arial"/>
                <w:b/>
                <w:color w:val="FFFFFF"/>
                <w:sz w:val="20"/>
              </w:rPr>
              <w:t>1</w:t>
            </w:r>
            <w:r>
              <w:rPr>
                <w:rFonts w:cs="Arial"/>
                <w:b/>
                <w:color w:val="FFFFFF"/>
                <w:sz w:val="12"/>
              </w:rPr>
              <w:br/>
              <w:t>LOW</w:t>
            </w:r>
          </w:p>
        </w:tc>
        <w:tc>
          <w:tcPr>
            <w:tcW w:w="1300" w:type="dxa"/>
            <w:shd w:val="clear" w:color="auto" w:fill="5A6B73"/>
            <w:tcMar>
              <w:top w:w="60" w:type="dxa"/>
              <w:left w:w="110" w:type="dxa"/>
              <w:bottom w:w="60" w:type="dxa"/>
              <w:right w:w="110" w:type="dxa"/>
            </w:tcMar>
            <w:vAlign w:val="center"/>
          </w:tcPr>
          <w:p w14:paraId="1BB8318B" w14:textId="77777777" w:rsidR="00311A95" w:rsidRDefault="005D7CC0">
            <w:pPr>
              <w:spacing w:after="0"/>
              <w:jc w:val="center"/>
            </w:pPr>
            <w:r>
              <w:rPr>
                <w:rFonts w:cs="Arial"/>
                <w:b/>
                <w:color w:val="FFFFFF"/>
                <w:sz w:val="15"/>
              </w:rPr>
              <w:t>Conceptual</w:t>
            </w:r>
          </w:p>
        </w:tc>
        <w:tc>
          <w:tcPr>
            <w:tcW w:w="8620" w:type="dxa"/>
            <w:shd w:val="clear" w:color="auto" w:fill="DCE4E9"/>
            <w:tcMar>
              <w:top w:w="60" w:type="dxa"/>
              <w:left w:w="110" w:type="dxa"/>
              <w:bottom w:w="60" w:type="dxa"/>
              <w:right w:w="110" w:type="dxa"/>
            </w:tcMar>
          </w:tcPr>
          <w:p w14:paraId="04516742" w14:textId="77777777" w:rsidR="00311A95" w:rsidRDefault="005D7CC0">
            <w:pPr>
              <w:spacing w:after="0"/>
            </w:pPr>
            <w:r>
              <w:rPr>
                <w:rFonts w:cs="Arial"/>
                <w:sz w:val="16"/>
              </w:rPr>
              <w:t xml:space="preserve">Urban heat and ground-level ozone episodes coincide during heatwaves; LST urban-heat surfaces could </w:t>
            </w:r>
            <w:proofErr w:type="spellStart"/>
            <w:r>
              <w:rPr>
                <w:rFonts w:cs="Arial"/>
                <w:sz w:val="16"/>
              </w:rPr>
              <w:t>contextualise</w:t>
            </w:r>
            <w:proofErr w:type="spellEnd"/>
            <w:r>
              <w:rPr>
                <w:rFonts w:cs="Arial"/>
                <w:sz w:val="16"/>
              </w:rPr>
              <w:t xml:space="preserve"> air-quality risk in cities, but the link to this strategy is indirect.</w:t>
            </w:r>
          </w:p>
        </w:tc>
      </w:tr>
    </w:tbl>
    <w:p w14:paraId="235006B4" w14:textId="77777777" w:rsidR="00311A95" w:rsidRDefault="005D7CC0">
      <w:pPr>
        <w:spacing w:before="220" w:after="120"/>
      </w:pPr>
      <w:r>
        <w:rPr>
          <w:rFonts w:cs="Arial"/>
          <w:b/>
          <w:color w:val="08414C"/>
          <w:sz w:val="26"/>
        </w:rPr>
        <w:lastRenderedPageBreak/>
        <w:t>Policy indicators</w:t>
      </w:r>
    </w:p>
    <w:p w14:paraId="501DDDF0" w14:textId="77777777" w:rsidR="00311A95" w:rsidRDefault="005D7CC0">
      <w:pPr>
        <w:spacing w:after="120"/>
      </w:pPr>
      <w:r>
        <w:rPr>
          <w:rFonts w:cs="Arial"/>
          <w:sz w:val="17"/>
        </w:rPr>
        <w:t xml:space="preserve">A scan of </w:t>
      </w:r>
      <w:r>
        <w:rPr>
          <w:rFonts w:cs="Arial"/>
          <w:i/>
          <w:sz w:val="17"/>
        </w:rPr>
        <w:t>biodiversity_indicators_manual_v6</w:t>
      </w:r>
      <w:r>
        <w:rPr>
          <w:rFonts w:cs="Arial"/>
          <w:sz w:val="17"/>
        </w:rPr>
        <w:t xml:space="preserve"> for indicators whose measured quantity a UK LST product could directly inform — surface-temperature extremes and evaporative stress / drought — complemented by a focused web scan for authoritative indicators absent from the workbook. Pure GIS-area indicators (e.g. urban tree cover) were excluded because their measured quantity takes no climate input. These are supporting evidence links, consistent with LST's Emerging maturity for most UK uses. Items marked † are not held in the indicators workbook.</w:t>
      </w:r>
    </w:p>
    <w:tbl>
      <w:tblPr>
        <w:tblW w:w="14400" w:type="dxa"/>
        <w:tblBorders>
          <w:top w:val="single" w:sz="2" w:space="0" w:color="C5D0D4"/>
          <w:left w:val="single" w:sz="2" w:space="0" w:color="C5D0D4"/>
          <w:bottom w:val="single" w:sz="2" w:space="0" w:color="C5D0D4"/>
          <w:right w:val="single" w:sz="2" w:space="0" w:color="C5D0D4"/>
          <w:insideH w:val="single" w:sz="2" w:space="0" w:color="C5D0D4"/>
          <w:insideV w:val="single" w:sz="2" w:space="0" w:color="C5D0D4"/>
        </w:tblBorders>
        <w:tblLayout w:type="fixed"/>
        <w:tblLook w:val="04A0" w:firstRow="1" w:lastRow="0" w:firstColumn="1" w:lastColumn="0" w:noHBand="0" w:noVBand="1"/>
      </w:tblPr>
      <w:tblGrid>
        <w:gridCol w:w="1200"/>
        <w:gridCol w:w="5000"/>
        <w:gridCol w:w="3500"/>
        <w:gridCol w:w="4700"/>
      </w:tblGrid>
      <w:tr w:rsidR="00311A95" w14:paraId="2EFF53B2" w14:textId="77777777">
        <w:trPr>
          <w:tblHeader/>
        </w:trPr>
        <w:tc>
          <w:tcPr>
            <w:tcW w:w="1200" w:type="dxa"/>
            <w:shd w:val="clear" w:color="auto" w:fill="0B5563"/>
            <w:tcMar>
              <w:top w:w="60" w:type="dxa"/>
              <w:left w:w="110" w:type="dxa"/>
              <w:bottom w:w="60" w:type="dxa"/>
              <w:right w:w="110" w:type="dxa"/>
            </w:tcMar>
          </w:tcPr>
          <w:p w14:paraId="24D82305" w14:textId="77777777" w:rsidR="00311A95" w:rsidRDefault="005D7CC0">
            <w:pPr>
              <w:spacing w:after="0"/>
            </w:pPr>
            <w:r>
              <w:rPr>
                <w:rFonts w:cs="Arial"/>
                <w:b/>
                <w:color w:val="FFFFFF"/>
                <w:sz w:val="17"/>
              </w:rPr>
              <w:t>Indicator (ref)</w:t>
            </w:r>
          </w:p>
        </w:tc>
        <w:tc>
          <w:tcPr>
            <w:tcW w:w="5000" w:type="dxa"/>
            <w:shd w:val="clear" w:color="auto" w:fill="0B5563"/>
            <w:tcMar>
              <w:top w:w="60" w:type="dxa"/>
              <w:left w:w="110" w:type="dxa"/>
              <w:bottom w:w="60" w:type="dxa"/>
              <w:right w:w="110" w:type="dxa"/>
            </w:tcMar>
          </w:tcPr>
          <w:p w14:paraId="12C440B3" w14:textId="77777777" w:rsidR="00311A95" w:rsidRDefault="005D7CC0">
            <w:pPr>
              <w:spacing w:after="0"/>
            </w:pPr>
            <w:r>
              <w:rPr>
                <w:rFonts w:cs="Arial"/>
                <w:b/>
                <w:color w:val="FFFFFF"/>
                <w:sz w:val="17"/>
              </w:rPr>
              <w:t>Indicator name</w:t>
            </w:r>
          </w:p>
        </w:tc>
        <w:tc>
          <w:tcPr>
            <w:tcW w:w="3500" w:type="dxa"/>
            <w:shd w:val="clear" w:color="auto" w:fill="0B5563"/>
            <w:tcMar>
              <w:top w:w="60" w:type="dxa"/>
              <w:left w:w="110" w:type="dxa"/>
              <w:bottom w:w="60" w:type="dxa"/>
              <w:right w:w="110" w:type="dxa"/>
            </w:tcMar>
          </w:tcPr>
          <w:p w14:paraId="0DF2CA41" w14:textId="77777777" w:rsidR="00311A95" w:rsidRDefault="005D7CC0">
            <w:pPr>
              <w:spacing w:after="0"/>
            </w:pPr>
            <w:r>
              <w:rPr>
                <w:rFonts w:cs="Arial"/>
                <w:b/>
                <w:color w:val="FFFFFF"/>
                <w:sz w:val="17"/>
              </w:rPr>
              <w:t>Source framework</w:t>
            </w:r>
          </w:p>
        </w:tc>
        <w:tc>
          <w:tcPr>
            <w:tcW w:w="4700" w:type="dxa"/>
            <w:shd w:val="clear" w:color="auto" w:fill="0B5563"/>
            <w:tcMar>
              <w:top w:w="60" w:type="dxa"/>
              <w:left w:w="110" w:type="dxa"/>
              <w:bottom w:w="60" w:type="dxa"/>
              <w:right w:w="110" w:type="dxa"/>
            </w:tcMar>
          </w:tcPr>
          <w:p w14:paraId="3645CE12" w14:textId="77777777" w:rsidR="00311A95" w:rsidRDefault="005D7CC0">
            <w:pPr>
              <w:spacing w:after="0"/>
            </w:pPr>
            <w:r>
              <w:rPr>
                <w:rFonts w:cs="Arial"/>
                <w:b/>
                <w:color w:val="FFFFFF"/>
                <w:sz w:val="17"/>
              </w:rPr>
              <w:t>Current policy application(s)</w:t>
            </w:r>
          </w:p>
        </w:tc>
      </w:tr>
      <w:tr w:rsidR="00311A95" w14:paraId="7CAC0B24" w14:textId="77777777">
        <w:tc>
          <w:tcPr>
            <w:tcW w:w="1200" w:type="dxa"/>
            <w:shd w:val="clear" w:color="auto" w:fill="FFFFFF"/>
            <w:tcMar>
              <w:top w:w="60" w:type="dxa"/>
              <w:left w:w="110" w:type="dxa"/>
              <w:bottom w:w="60" w:type="dxa"/>
              <w:right w:w="110" w:type="dxa"/>
            </w:tcMar>
          </w:tcPr>
          <w:p w14:paraId="143A8E43" w14:textId="77777777" w:rsidR="00311A95" w:rsidRDefault="005D7CC0">
            <w:pPr>
              <w:spacing w:after="0"/>
            </w:pPr>
            <w:r>
              <w:rPr>
                <w:rFonts w:cs="Arial"/>
                <w:b/>
                <w:sz w:val="16"/>
              </w:rPr>
              <w:t>IND-E-044</w:t>
            </w:r>
          </w:p>
        </w:tc>
        <w:tc>
          <w:tcPr>
            <w:tcW w:w="5000" w:type="dxa"/>
            <w:shd w:val="clear" w:color="auto" w:fill="FFFFFF"/>
            <w:tcMar>
              <w:top w:w="60" w:type="dxa"/>
              <w:left w:w="110" w:type="dxa"/>
              <w:bottom w:w="60" w:type="dxa"/>
              <w:right w:w="110" w:type="dxa"/>
            </w:tcMar>
          </w:tcPr>
          <w:p w14:paraId="25705577" w14:textId="77777777" w:rsidR="00311A95" w:rsidRDefault="005D7CC0">
            <w:pPr>
              <w:spacing w:after="0"/>
            </w:pPr>
            <w:r>
              <w:rPr>
                <w:rFonts w:cs="Arial"/>
                <w:sz w:val="16"/>
              </w:rPr>
              <w:t>Disruption or unwanted impacts caused by drought</w:t>
            </w:r>
          </w:p>
        </w:tc>
        <w:tc>
          <w:tcPr>
            <w:tcW w:w="3500" w:type="dxa"/>
            <w:shd w:val="clear" w:color="auto" w:fill="FFFFFF"/>
            <w:tcMar>
              <w:top w:w="60" w:type="dxa"/>
              <w:left w:w="110" w:type="dxa"/>
              <w:bottom w:w="60" w:type="dxa"/>
              <w:right w:w="110" w:type="dxa"/>
            </w:tcMar>
          </w:tcPr>
          <w:p w14:paraId="618B87C0" w14:textId="77777777" w:rsidR="00311A95" w:rsidRDefault="005D7CC0">
            <w:pPr>
              <w:spacing w:after="0"/>
            </w:pPr>
            <w:r>
              <w:rPr>
                <w:rFonts w:cs="Arial"/>
                <w:sz w:val="16"/>
              </w:rPr>
              <w:t>Environmental Indicator Framework (EIF)</w:t>
            </w:r>
          </w:p>
        </w:tc>
        <w:tc>
          <w:tcPr>
            <w:tcW w:w="4700" w:type="dxa"/>
            <w:shd w:val="clear" w:color="auto" w:fill="FFFFFF"/>
            <w:tcMar>
              <w:top w:w="60" w:type="dxa"/>
              <w:left w:w="110" w:type="dxa"/>
              <w:bottom w:w="60" w:type="dxa"/>
              <w:right w:w="110" w:type="dxa"/>
            </w:tcMar>
          </w:tcPr>
          <w:p w14:paraId="40E3C291" w14:textId="77777777" w:rsidR="00311A95" w:rsidRDefault="00311A95">
            <w:pPr>
              <w:spacing w:after="0"/>
            </w:pPr>
            <w:hyperlink r:id="rId21">
              <w:r>
                <w:rPr>
                  <w:rFonts w:cs="Arial"/>
                  <w:color w:val="10497A"/>
                  <w:sz w:val="16"/>
                  <w:u w:val="single"/>
                </w:rPr>
                <w:t>EIP 2025</w:t>
              </w:r>
            </w:hyperlink>
            <w:r w:rsidR="005D7CC0">
              <w:rPr>
                <w:rFonts w:cs="Arial"/>
                <w:sz w:val="16"/>
              </w:rPr>
              <w:t xml:space="preserve"> (Environment Act 2021); GBF</w:t>
            </w:r>
          </w:p>
        </w:tc>
      </w:tr>
      <w:tr w:rsidR="00311A95" w14:paraId="3C9F4C83" w14:textId="77777777">
        <w:tc>
          <w:tcPr>
            <w:tcW w:w="1200" w:type="dxa"/>
            <w:shd w:val="clear" w:color="auto" w:fill="F2F6F7"/>
            <w:tcMar>
              <w:top w:w="60" w:type="dxa"/>
              <w:left w:w="110" w:type="dxa"/>
              <w:bottom w:w="60" w:type="dxa"/>
              <w:right w:w="110" w:type="dxa"/>
            </w:tcMar>
          </w:tcPr>
          <w:p w14:paraId="6F345571" w14:textId="77777777" w:rsidR="00311A95" w:rsidRDefault="005D7CC0">
            <w:pPr>
              <w:spacing w:after="0"/>
            </w:pPr>
            <w:r>
              <w:rPr>
                <w:rFonts w:cs="Arial"/>
                <w:b/>
                <w:sz w:val="16"/>
              </w:rPr>
              <w:t>IND-C-145</w:t>
            </w:r>
          </w:p>
        </w:tc>
        <w:tc>
          <w:tcPr>
            <w:tcW w:w="5000" w:type="dxa"/>
            <w:shd w:val="clear" w:color="auto" w:fill="F2F6F7"/>
            <w:tcMar>
              <w:top w:w="60" w:type="dxa"/>
              <w:left w:w="110" w:type="dxa"/>
              <w:bottom w:w="60" w:type="dxa"/>
              <w:right w:w="110" w:type="dxa"/>
            </w:tcMar>
          </w:tcPr>
          <w:p w14:paraId="45BEC982" w14:textId="77777777" w:rsidR="00311A95" w:rsidRDefault="005D7CC0">
            <w:pPr>
              <w:spacing w:after="0"/>
            </w:pPr>
            <w:r>
              <w:rPr>
                <w:rFonts w:cs="Arial"/>
                <w:sz w:val="16"/>
              </w:rPr>
              <w:t>Drought plan trigger levels and water restrictions incidence (England and Wales)</w:t>
            </w:r>
          </w:p>
        </w:tc>
        <w:tc>
          <w:tcPr>
            <w:tcW w:w="3500" w:type="dxa"/>
            <w:shd w:val="clear" w:color="auto" w:fill="F2F6F7"/>
            <w:tcMar>
              <w:top w:w="60" w:type="dxa"/>
              <w:left w:w="110" w:type="dxa"/>
              <w:bottom w:w="60" w:type="dxa"/>
              <w:right w:w="110" w:type="dxa"/>
            </w:tcMar>
          </w:tcPr>
          <w:p w14:paraId="43456B00" w14:textId="77777777" w:rsidR="00311A95" w:rsidRDefault="005D7CC0">
            <w:pPr>
              <w:spacing w:after="0"/>
            </w:pPr>
            <w:r>
              <w:rPr>
                <w:rFonts w:cs="Arial"/>
                <w:sz w:val="16"/>
              </w:rPr>
              <w:t>CCC Adaptation Monitoring Framework 2023–25</w:t>
            </w:r>
          </w:p>
        </w:tc>
        <w:tc>
          <w:tcPr>
            <w:tcW w:w="4700" w:type="dxa"/>
            <w:shd w:val="clear" w:color="auto" w:fill="F2F6F7"/>
            <w:tcMar>
              <w:top w:w="60" w:type="dxa"/>
              <w:left w:w="110" w:type="dxa"/>
              <w:bottom w:w="60" w:type="dxa"/>
              <w:right w:w="110" w:type="dxa"/>
            </w:tcMar>
          </w:tcPr>
          <w:p w14:paraId="5926B29E" w14:textId="77777777" w:rsidR="00311A95" w:rsidRDefault="00311A95">
            <w:pPr>
              <w:spacing w:after="0"/>
            </w:pPr>
            <w:hyperlink r:id="rId22">
              <w:r>
                <w:rPr>
                  <w:rFonts w:cs="Arial"/>
                  <w:color w:val="10497A"/>
                  <w:sz w:val="16"/>
                  <w:u w:val="single"/>
                </w:rPr>
                <w:t>NAP3</w:t>
              </w:r>
            </w:hyperlink>
            <w:r w:rsidR="005D7CC0">
              <w:rPr>
                <w:rFonts w:cs="Arial"/>
                <w:sz w:val="16"/>
              </w:rPr>
              <w:t xml:space="preserve"> / CCRA (Climate Change Act 2008, s.58)</w:t>
            </w:r>
          </w:p>
        </w:tc>
      </w:tr>
      <w:tr w:rsidR="00311A95" w14:paraId="4AC2786C" w14:textId="77777777">
        <w:tc>
          <w:tcPr>
            <w:tcW w:w="1200" w:type="dxa"/>
            <w:shd w:val="clear" w:color="auto" w:fill="FFFFFF"/>
            <w:tcMar>
              <w:top w:w="60" w:type="dxa"/>
              <w:left w:w="110" w:type="dxa"/>
              <w:bottom w:w="60" w:type="dxa"/>
              <w:right w:w="110" w:type="dxa"/>
            </w:tcMar>
          </w:tcPr>
          <w:p w14:paraId="464713C2" w14:textId="77777777" w:rsidR="00311A95" w:rsidRDefault="005D7CC0">
            <w:pPr>
              <w:spacing w:after="0"/>
            </w:pPr>
            <w:r>
              <w:rPr>
                <w:rFonts w:cs="Arial"/>
                <w:b/>
                <w:sz w:val="16"/>
              </w:rPr>
              <w:t>IND-C-114</w:t>
            </w:r>
          </w:p>
        </w:tc>
        <w:tc>
          <w:tcPr>
            <w:tcW w:w="5000" w:type="dxa"/>
            <w:shd w:val="clear" w:color="auto" w:fill="FFFFFF"/>
            <w:tcMar>
              <w:top w:w="60" w:type="dxa"/>
              <w:left w:w="110" w:type="dxa"/>
              <w:bottom w:w="60" w:type="dxa"/>
              <w:right w:w="110" w:type="dxa"/>
            </w:tcMar>
          </w:tcPr>
          <w:p w14:paraId="2FCDCEF9" w14:textId="77777777" w:rsidR="00311A95" w:rsidRDefault="005D7CC0">
            <w:pPr>
              <w:spacing w:after="0"/>
            </w:pPr>
            <w:r>
              <w:rPr>
                <w:rFonts w:cs="Arial"/>
                <w:sz w:val="16"/>
              </w:rPr>
              <w:t>Forest and woodland resilience to climate change (drought, disease, wind) (UK)</w:t>
            </w:r>
          </w:p>
        </w:tc>
        <w:tc>
          <w:tcPr>
            <w:tcW w:w="3500" w:type="dxa"/>
            <w:shd w:val="clear" w:color="auto" w:fill="FFFFFF"/>
            <w:tcMar>
              <w:top w:w="60" w:type="dxa"/>
              <w:left w:w="110" w:type="dxa"/>
              <w:bottom w:w="60" w:type="dxa"/>
              <w:right w:w="110" w:type="dxa"/>
            </w:tcMar>
          </w:tcPr>
          <w:p w14:paraId="0589E39A" w14:textId="77777777" w:rsidR="00311A95" w:rsidRDefault="005D7CC0">
            <w:pPr>
              <w:spacing w:after="0"/>
            </w:pPr>
            <w:r>
              <w:rPr>
                <w:rFonts w:cs="Arial"/>
                <w:sz w:val="16"/>
              </w:rPr>
              <w:t>CCC Adaptation Monitoring Framework 2023–25</w:t>
            </w:r>
          </w:p>
        </w:tc>
        <w:tc>
          <w:tcPr>
            <w:tcW w:w="4700" w:type="dxa"/>
            <w:shd w:val="clear" w:color="auto" w:fill="FFFFFF"/>
            <w:tcMar>
              <w:top w:w="60" w:type="dxa"/>
              <w:left w:w="110" w:type="dxa"/>
              <w:bottom w:w="60" w:type="dxa"/>
              <w:right w:w="110" w:type="dxa"/>
            </w:tcMar>
          </w:tcPr>
          <w:p w14:paraId="15ED46D1" w14:textId="77777777" w:rsidR="00311A95" w:rsidRDefault="00311A95">
            <w:pPr>
              <w:spacing w:after="0"/>
            </w:pPr>
            <w:hyperlink r:id="rId23">
              <w:r>
                <w:rPr>
                  <w:rFonts w:cs="Arial"/>
                  <w:color w:val="10497A"/>
                  <w:sz w:val="16"/>
                  <w:u w:val="single"/>
                </w:rPr>
                <w:t>NAP3</w:t>
              </w:r>
            </w:hyperlink>
            <w:r w:rsidR="005D7CC0">
              <w:rPr>
                <w:rFonts w:cs="Arial"/>
                <w:sz w:val="16"/>
              </w:rPr>
              <w:t xml:space="preserve"> / CCRA (Climate Change Act 2008, s.58)</w:t>
            </w:r>
          </w:p>
        </w:tc>
      </w:tr>
      <w:tr w:rsidR="00311A95" w14:paraId="69E5F217" w14:textId="77777777">
        <w:tc>
          <w:tcPr>
            <w:tcW w:w="1200" w:type="dxa"/>
            <w:shd w:val="clear" w:color="auto" w:fill="F2F6F7"/>
            <w:tcMar>
              <w:top w:w="60" w:type="dxa"/>
              <w:left w:w="110" w:type="dxa"/>
              <w:bottom w:w="60" w:type="dxa"/>
              <w:right w:w="110" w:type="dxa"/>
            </w:tcMar>
          </w:tcPr>
          <w:p w14:paraId="21929F6D" w14:textId="77777777" w:rsidR="00311A95" w:rsidRDefault="005D7CC0">
            <w:pPr>
              <w:spacing w:after="0"/>
            </w:pPr>
            <w:r>
              <w:rPr>
                <w:rFonts w:cs="Arial"/>
                <w:b/>
                <w:sz w:val="16"/>
              </w:rPr>
              <w:t>IND-C-130</w:t>
            </w:r>
          </w:p>
        </w:tc>
        <w:tc>
          <w:tcPr>
            <w:tcW w:w="5000" w:type="dxa"/>
            <w:shd w:val="clear" w:color="auto" w:fill="F2F6F7"/>
            <w:tcMar>
              <w:top w:w="60" w:type="dxa"/>
              <w:left w:w="110" w:type="dxa"/>
              <w:bottom w:w="60" w:type="dxa"/>
              <w:right w:w="110" w:type="dxa"/>
            </w:tcMar>
          </w:tcPr>
          <w:p w14:paraId="10FAEA6C" w14:textId="77777777" w:rsidR="00311A95" w:rsidRDefault="005D7CC0">
            <w:pPr>
              <w:spacing w:after="0"/>
            </w:pPr>
            <w:r>
              <w:rPr>
                <w:rFonts w:cs="Arial"/>
                <w:sz w:val="16"/>
              </w:rPr>
              <w:t>Heat-related mortality and morbidity (England and Wales) — LST informs the intra-urban heat-exposure term, not the outcome count</w:t>
            </w:r>
          </w:p>
        </w:tc>
        <w:tc>
          <w:tcPr>
            <w:tcW w:w="3500" w:type="dxa"/>
            <w:shd w:val="clear" w:color="auto" w:fill="F2F6F7"/>
            <w:tcMar>
              <w:top w:w="60" w:type="dxa"/>
              <w:left w:w="110" w:type="dxa"/>
              <w:bottom w:w="60" w:type="dxa"/>
              <w:right w:w="110" w:type="dxa"/>
            </w:tcMar>
          </w:tcPr>
          <w:p w14:paraId="04FFF233" w14:textId="77777777" w:rsidR="00311A95" w:rsidRDefault="005D7CC0">
            <w:pPr>
              <w:spacing w:after="0"/>
            </w:pPr>
            <w:r>
              <w:rPr>
                <w:rFonts w:cs="Arial"/>
                <w:sz w:val="16"/>
              </w:rPr>
              <w:t>CCC Adaptation Monitoring Framework 2023–25</w:t>
            </w:r>
          </w:p>
        </w:tc>
        <w:tc>
          <w:tcPr>
            <w:tcW w:w="4700" w:type="dxa"/>
            <w:shd w:val="clear" w:color="auto" w:fill="F2F6F7"/>
            <w:tcMar>
              <w:top w:w="60" w:type="dxa"/>
              <w:left w:w="110" w:type="dxa"/>
              <w:bottom w:w="60" w:type="dxa"/>
              <w:right w:w="110" w:type="dxa"/>
            </w:tcMar>
          </w:tcPr>
          <w:p w14:paraId="69FB5482" w14:textId="77777777" w:rsidR="00311A95" w:rsidRDefault="00311A95">
            <w:pPr>
              <w:spacing w:after="0"/>
            </w:pPr>
            <w:hyperlink r:id="rId24">
              <w:r>
                <w:rPr>
                  <w:rFonts w:cs="Arial"/>
                  <w:color w:val="10497A"/>
                  <w:sz w:val="16"/>
                  <w:u w:val="single"/>
                </w:rPr>
                <w:t>NAP3</w:t>
              </w:r>
            </w:hyperlink>
            <w:r w:rsidR="005D7CC0">
              <w:rPr>
                <w:rFonts w:cs="Arial"/>
                <w:sz w:val="16"/>
              </w:rPr>
              <w:t xml:space="preserve"> / CCRA (Climate Change Act 2008, s.58)</w:t>
            </w:r>
          </w:p>
        </w:tc>
      </w:tr>
      <w:tr w:rsidR="00311A95" w14:paraId="0287B093" w14:textId="77777777">
        <w:tc>
          <w:tcPr>
            <w:tcW w:w="1200" w:type="dxa"/>
            <w:shd w:val="clear" w:color="auto" w:fill="FFFFFF"/>
            <w:tcMar>
              <w:top w:w="60" w:type="dxa"/>
              <w:left w:w="110" w:type="dxa"/>
              <w:bottom w:w="60" w:type="dxa"/>
              <w:right w:w="110" w:type="dxa"/>
            </w:tcMar>
          </w:tcPr>
          <w:p w14:paraId="358547A7" w14:textId="77777777" w:rsidR="00311A95" w:rsidRDefault="005D7CC0">
            <w:pPr>
              <w:spacing w:after="0"/>
            </w:pPr>
            <w:r>
              <w:rPr>
                <w:rFonts w:cs="Arial"/>
                <w:b/>
                <w:sz w:val="16"/>
              </w:rPr>
              <w:t>†</w:t>
            </w:r>
          </w:p>
        </w:tc>
        <w:tc>
          <w:tcPr>
            <w:tcW w:w="5000" w:type="dxa"/>
            <w:shd w:val="clear" w:color="auto" w:fill="FFFFFF"/>
            <w:tcMar>
              <w:top w:w="60" w:type="dxa"/>
              <w:left w:w="110" w:type="dxa"/>
              <w:bottom w:w="60" w:type="dxa"/>
              <w:right w:w="110" w:type="dxa"/>
            </w:tcMar>
          </w:tcPr>
          <w:p w14:paraId="551AAFB4" w14:textId="77777777" w:rsidR="00311A95" w:rsidRDefault="00311A95">
            <w:pPr>
              <w:spacing w:after="0"/>
            </w:pPr>
            <w:hyperlink r:id="rId25">
              <w:r>
                <w:rPr>
                  <w:rFonts w:cs="Arial"/>
                  <w:color w:val="10497A"/>
                  <w:sz w:val="16"/>
                  <w:u w:val="single"/>
                </w:rPr>
                <w:t>Heat mortality monitoring report, England</w:t>
              </w:r>
            </w:hyperlink>
            <w:r w:rsidR="005D7CC0">
              <w:rPr>
                <w:rFonts w:cs="Arial"/>
                <w:sz w:val="16"/>
              </w:rPr>
              <w:t xml:space="preserve"> — UKHSA Official Statistic (annual since 2016). LST could refine the intra-urban heat-exposure term (currently regional mean air temperature).</w:t>
            </w:r>
          </w:p>
        </w:tc>
        <w:tc>
          <w:tcPr>
            <w:tcW w:w="3500" w:type="dxa"/>
            <w:shd w:val="clear" w:color="auto" w:fill="FFFFFF"/>
            <w:tcMar>
              <w:top w:w="60" w:type="dxa"/>
              <w:left w:w="110" w:type="dxa"/>
              <w:bottom w:w="60" w:type="dxa"/>
              <w:right w:w="110" w:type="dxa"/>
            </w:tcMar>
          </w:tcPr>
          <w:p w14:paraId="7BD364A7" w14:textId="77777777" w:rsidR="00311A95" w:rsidRDefault="005D7CC0">
            <w:pPr>
              <w:spacing w:after="0"/>
            </w:pPr>
            <w:r>
              <w:rPr>
                <w:rFonts w:cs="Arial"/>
                <w:sz w:val="16"/>
              </w:rPr>
              <w:t>UKHSA Official Statistics (web scan; not in workbook — overlaps CCC IND-C-130)</w:t>
            </w:r>
          </w:p>
        </w:tc>
        <w:tc>
          <w:tcPr>
            <w:tcW w:w="4700" w:type="dxa"/>
            <w:shd w:val="clear" w:color="auto" w:fill="FFFFFF"/>
            <w:tcMar>
              <w:top w:w="60" w:type="dxa"/>
              <w:left w:w="110" w:type="dxa"/>
              <w:bottom w:w="60" w:type="dxa"/>
              <w:right w:w="110" w:type="dxa"/>
            </w:tcMar>
          </w:tcPr>
          <w:p w14:paraId="77C959D1" w14:textId="77777777" w:rsidR="00311A95" w:rsidRDefault="00311A95">
            <w:pPr>
              <w:spacing w:after="0"/>
            </w:pPr>
            <w:hyperlink r:id="rId26">
              <w:r>
                <w:rPr>
                  <w:rFonts w:cs="Arial"/>
                  <w:color w:val="10497A"/>
                  <w:sz w:val="16"/>
                  <w:u w:val="single"/>
                </w:rPr>
                <w:t>Adverse Weather and Health Plan</w:t>
              </w:r>
            </w:hyperlink>
            <w:r w:rsidR="005D7CC0">
              <w:rPr>
                <w:rFonts w:cs="Arial"/>
                <w:sz w:val="16"/>
              </w:rPr>
              <w:t>; NAP3 Goals 1–2</w:t>
            </w:r>
          </w:p>
        </w:tc>
      </w:tr>
    </w:tbl>
    <w:p w14:paraId="2A8D9E71" w14:textId="77777777" w:rsidR="00311A95" w:rsidRDefault="005D7CC0">
      <w:pPr>
        <w:spacing w:before="220" w:after="120"/>
      </w:pPr>
      <w:r>
        <w:rPr>
          <w:rFonts w:cs="Arial"/>
          <w:b/>
          <w:color w:val="08414C"/>
          <w:sz w:val="26"/>
        </w:rPr>
        <w:t>Methods</w:t>
      </w:r>
    </w:p>
    <w:p w14:paraId="160420E2" w14:textId="77777777" w:rsidR="00311A95" w:rsidRDefault="005D7CC0">
      <w:pPr>
        <w:pStyle w:val="ListNumber"/>
        <w:spacing w:after="80"/>
      </w:pPr>
      <w:r>
        <w:rPr>
          <w:rFonts w:cs="Arial"/>
          <w:b/>
          <w:sz w:val="17"/>
        </w:rPr>
        <w:t>Capability scoped from external evidence</w:t>
      </w:r>
      <w:r>
        <w:rPr>
          <w:rFonts w:cs="Arial"/>
          <w:sz w:val="17"/>
        </w:rPr>
        <w:t>, not from MO outputs: the supplied bibliography is an extreme-LST topic reading list, used to establish what LST applications are demonstrated elsewhere and how mature each is for UK policy use.</w:t>
      </w:r>
    </w:p>
    <w:p w14:paraId="376E41B0" w14:textId="77777777" w:rsidR="00311A95" w:rsidRDefault="005D7CC0">
      <w:pPr>
        <w:pStyle w:val="ListNumber"/>
        <w:spacing w:after="80"/>
      </w:pPr>
      <w:r>
        <w:rPr>
          <w:rFonts w:cs="Arial"/>
          <w:b/>
          <w:sz w:val="17"/>
        </w:rPr>
        <w:t xml:space="preserve">MO/ESA capability </w:t>
      </w:r>
      <w:proofErr w:type="spellStart"/>
      <w:r>
        <w:rPr>
          <w:rFonts w:cs="Arial"/>
          <w:b/>
          <w:sz w:val="17"/>
        </w:rPr>
        <w:t>characterised</w:t>
      </w:r>
      <w:proofErr w:type="spellEnd"/>
      <w:r>
        <w:rPr>
          <w:rFonts w:cs="Arial"/>
          <w:sz w:val="17"/>
        </w:rPr>
        <w:t xml:space="preserve"> by inspecting MO and ESA pages (accessed June 2026): the ESA CCI </w:t>
      </w:r>
      <w:proofErr w:type="spellStart"/>
      <w:r>
        <w:rPr>
          <w:rFonts w:cs="Arial"/>
          <w:sz w:val="17"/>
        </w:rPr>
        <w:t>LST_cci</w:t>
      </w:r>
      <w:proofErr w:type="spellEnd"/>
      <w:r>
        <w:rPr>
          <w:rFonts w:cs="Arial"/>
          <w:sz w:val="17"/>
        </w:rPr>
        <w:t xml:space="preserve"> project (Met Office climate-services / CMUG partner), UKCP18 urban-resolving projections, the State of the UK Climate (NCIC) monitoring and attribution, and the Urban Climate Services team.</w:t>
      </w:r>
    </w:p>
    <w:p w14:paraId="1BDAD0A3" w14:textId="77777777" w:rsidR="00311A95" w:rsidRDefault="005D7CC0">
      <w:pPr>
        <w:pStyle w:val="ListNumber"/>
        <w:spacing w:after="80"/>
      </w:pPr>
      <w:r>
        <w:rPr>
          <w:rFonts w:cs="Arial"/>
          <w:b/>
          <w:sz w:val="17"/>
        </w:rPr>
        <w:t>Policy candidates</w:t>
      </w:r>
      <w:r>
        <w:rPr>
          <w:rFonts w:cs="Arial"/>
          <w:sz w:val="17"/>
        </w:rPr>
        <w:t xml:space="preserve"> drawn from a full sweep of the governance workbook’s Policies &amp; Activities sheet (uk_climate_nature_governance_v15, 64 records; POL IDs stable across versions): screened across the Climate, Urban &amp; Buildings, Health, Nature, Land and Water sectors for a plausible surface-temperature dependency. Supplemented with operational heat activities absent from the workbook — the Weather-Health Alerting System, the Adverse Weather and Health Plan, NSWWS Extreme Heat warnings and Building Regulations Part O — marked †. Marine (sea-surface-temperature) records were excluded as out of scope for a land product.</w:t>
      </w:r>
    </w:p>
    <w:p w14:paraId="3482AC92" w14:textId="77777777" w:rsidR="00311A95" w:rsidRDefault="005D7CC0">
      <w:pPr>
        <w:pStyle w:val="ListNumber"/>
        <w:spacing w:after="80"/>
      </w:pPr>
      <w:r>
        <w:rPr>
          <w:rFonts w:cs="Arial"/>
          <w:b/>
          <w:sz w:val="17"/>
        </w:rPr>
        <w:t>Scoring</w:t>
      </w:r>
      <w:r>
        <w:rPr>
          <w:rFonts w:cs="Arial"/>
          <w:sz w:val="17"/>
        </w:rPr>
        <w:t xml:space="preserve"> used two independent axes. </w:t>
      </w:r>
      <w:r>
        <w:rPr>
          <w:rFonts w:cs="Arial"/>
          <w:i/>
          <w:sz w:val="17"/>
        </w:rPr>
        <w:t>Relevance</w:t>
      </w:r>
      <w:r>
        <w:rPr>
          <w:rFonts w:cs="Arial"/>
          <w:sz w:val="17"/>
        </w:rPr>
        <w:t xml:space="preserve"> (materiality of a UK LST product to the policy): central input = 3; supporting evidence layer = 2; marginal/indirect = 1. </w:t>
      </w:r>
      <w:r>
        <w:rPr>
          <w:rFonts w:cs="Arial"/>
          <w:i/>
          <w:sz w:val="17"/>
        </w:rPr>
        <w:t>Maturity</w:t>
      </w:r>
      <w:r>
        <w:rPr>
          <w:rFonts w:cs="Arial"/>
          <w:sz w:val="17"/>
        </w:rPr>
        <w:t>: Demonstrated where the application is proven elsewhere and transferable; Emerging where partial evidence needs UK development; Conceptual where the use is plausible but unproven. Kept separate so a high-value-but-immature application is not mistaken for a low-relevance one.</w:t>
      </w:r>
    </w:p>
    <w:p w14:paraId="14232F17" w14:textId="77777777" w:rsidR="00311A95" w:rsidRDefault="005D7CC0">
      <w:pPr>
        <w:pStyle w:val="ListNumber"/>
        <w:spacing w:after="80"/>
      </w:pPr>
      <w:r>
        <w:rPr>
          <w:rFonts w:cs="Arial"/>
          <w:b/>
          <w:sz w:val="17"/>
        </w:rPr>
        <w:t>Indicator scan</w:t>
      </w:r>
      <w:r>
        <w:rPr>
          <w:rFonts w:cs="Arial"/>
          <w:sz w:val="17"/>
        </w:rPr>
        <w:t xml:space="preserve"> of biodiversity_indicators_manual_v6 across its framework sheets, keyword-filtered for heat, surface/skin temperature and drought, then narrowed to indicators whose measured quantity an LST product could directly inform (surface-temperature extremes, evaporative stress / drought); urban tree-cover indicators were excluded because their measured quantity (a GIS area) takes no climate input. A focused web scan for authoritative indicators absent from the workbook found the UKHSA Heat mortality monitoring report (Official Statistic; overlaps CCC IND-C-130), marked †. Throughout, satellite LST (skin temperature) was treated as distinct from near-surface air temperature.</w:t>
      </w:r>
    </w:p>
    <w:p w14:paraId="24D234DD" w14:textId="77777777" w:rsidR="00311A95" w:rsidRDefault="005D7CC0">
      <w:pPr>
        <w:spacing w:before="80" w:after="60"/>
      </w:pPr>
      <w:r>
        <w:rPr>
          <w:rFonts w:cs="Arial"/>
          <w:b/>
          <w:color w:val="08414C"/>
        </w:rPr>
        <w:t>Main gaps and caveats</w:t>
      </w:r>
    </w:p>
    <w:p w14:paraId="2F42BBE8" w14:textId="77777777" w:rsidR="00311A95" w:rsidRDefault="005D7CC0">
      <w:pPr>
        <w:spacing w:after="120"/>
      </w:pPr>
      <w:r>
        <w:rPr>
          <w:rFonts w:cs="Arial"/>
          <w:sz w:val="17"/>
        </w:rPr>
        <w:t xml:space="preserve">Two structural caveats. First, the bibliography is an external extreme-LST reading list, not an MO publication list, so MO capability was scoped from MO/ESA sources rather than the file. Second, satellite LST and near-surface air temperature are distinct: most UK heat policy runs on air temperature, so direct LST uptake is currently thin and most LST links here are Emerging or Conceptual. Four of the highest-relevance heat activities are operational processes not held in the governance workbook — the Weather-Health Alerting System, the Adverse Weather and Health Plan, NSWWS Extreme Heat warnings and Building Regulations Part O (marked †) — and are arguably worth adding as records. The Part O link runs via CIBSE weather files (inferred, </w:t>
      </w:r>
      <w:r>
        <w:rPr>
          <w:rFonts w:cs="Arial"/>
          <w:sz w:val="17"/>
        </w:rPr>
        <w:lastRenderedPageBreak/>
        <w:t>medium confidence); the NPPF, NCEA and Clean Air links are credible but not yet evidenced in current policy text. Sea-surface-temperature and marine-heatwave uses were excluded as out of scope for a land product.</w:t>
      </w:r>
    </w:p>
    <w:p w14:paraId="2E2F80E9" w14:textId="77777777" w:rsidR="00311A95" w:rsidRDefault="005D7CC0">
      <w:pPr>
        <w:spacing w:before="220" w:after="120"/>
      </w:pPr>
      <w:r>
        <w:rPr>
          <w:rFonts w:cs="Arial"/>
          <w:b/>
          <w:color w:val="08414C"/>
          <w:sz w:val="26"/>
        </w:rPr>
        <w:t>References</w:t>
      </w:r>
    </w:p>
    <w:p w14:paraId="6F712503" w14:textId="77777777" w:rsidR="00311A95" w:rsidRDefault="005D7CC0">
      <w:pPr>
        <w:spacing w:after="60"/>
      </w:pPr>
      <w:r>
        <w:rPr>
          <w:rFonts w:cs="Arial"/>
          <w:b/>
          <w:color w:val="08414C"/>
        </w:rPr>
        <w:t>Evidence base (external literature)</w:t>
      </w:r>
    </w:p>
    <w:p w14:paraId="62A5D109" w14:textId="77777777" w:rsidR="00311A95" w:rsidRDefault="005D7CC0">
      <w:pPr>
        <w:pStyle w:val="ListNumber"/>
        <w:spacing w:after="60"/>
      </w:pPr>
      <w:r>
        <w:rPr>
          <w:rFonts w:cs="Arial"/>
          <w:sz w:val="16"/>
        </w:rPr>
        <w:t xml:space="preserve">Aminzadeh, M. &amp; Or, D. (2014) Soil evaporation and surface temperature during heat waves. </w:t>
      </w:r>
      <w:r>
        <w:rPr>
          <w:rFonts w:cs="Arial"/>
          <w:i/>
          <w:sz w:val="16"/>
        </w:rPr>
        <w:t>Water Resources Research</w:t>
      </w:r>
      <w:r>
        <w:rPr>
          <w:rFonts w:cs="Arial"/>
          <w:sz w:val="16"/>
        </w:rPr>
        <w:t>.</w:t>
      </w:r>
    </w:p>
    <w:p w14:paraId="0E512428" w14:textId="77777777" w:rsidR="00311A95" w:rsidRDefault="005D7CC0">
      <w:pPr>
        <w:pStyle w:val="ListNumber"/>
        <w:spacing w:after="60"/>
      </w:pPr>
      <w:proofErr w:type="spellStart"/>
      <w:r>
        <w:rPr>
          <w:rFonts w:cs="Arial"/>
          <w:sz w:val="16"/>
        </w:rPr>
        <w:t>Mildrexler</w:t>
      </w:r>
      <w:proofErr w:type="spellEnd"/>
      <w:r>
        <w:rPr>
          <w:rFonts w:cs="Arial"/>
          <w:sz w:val="16"/>
        </w:rPr>
        <w:t xml:space="preserve">, D.J., Zhao, M. &amp; Running, S.W. (2011) A global review of positive and negative land surface temperature extremes. </w:t>
      </w:r>
      <w:r>
        <w:rPr>
          <w:rFonts w:cs="Arial"/>
          <w:i/>
          <w:sz w:val="16"/>
        </w:rPr>
        <w:t>Scientific Reports</w:t>
      </w:r>
      <w:r>
        <w:rPr>
          <w:rFonts w:cs="Arial"/>
          <w:sz w:val="16"/>
        </w:rPr>
        <w:t>.</w:t>
      </w:r>
    </w:p>
    <w:p w14:paraId="59E4DCDC" w14:textId="77777777" w:rsidR="00311A95" w:rsidRDefault="005D7CC0">
      <w:pPr>
        <w:pStyle w:val="ListNumber"/>
        <w:spacing w:after="60"/>
      </w:pPr>
      <w:r>
        <w:rPr>
          <w:rFonts w:cs="Arial"/>
          <w:sz w:val="16"/>
        </w:rPr>
        <w:t xml:space="preserve">Garratt, J.R. (1992) Extreme maximum land surface temperatures. </w:t>
      </w:r>
      <w:r>
        <w:rPr>
          <w:rFonts w:cs="Arial"/>
          <w:i/>
          <w:sz w:val="16"/>
        </w:rPr>
        <w:t>Journal of Applied Meteorology</w:t>
      </w:r>
      <w:r>
        <w:rPr>
          <w:rFonts w:cs="Arial"/>
          <w:sz w:val="16"/>
        </w:rPr>
        <w:t>.</w:t>
      </w:r>
    </w:p>
    <w:p w14:paraId="3BF9C4F4" w14:textId="77777777" w:rsidR="00311A95" w:rsidRDefault="005D7CC0">
      <w:pPr>
        <w:pStyle w:val="ListNumber"/>
        <w:spacing w:after="60"/>
      </w:pPr>
      <w:proofErr w:type="spellStart"/>
      <w:r>
        <w:rPr>
          <w:rFonts w:cs="Arial"/>
          <w:sz w:val="16"/>
        </w:rPr>
        <w:t>Tuholske</w:t>
      </w:r>
      <w:proofErr w:type="spellEnd"/>
      <w:r>
        <w:rPr>
          <w:rFonts w:cs="Arial"/>
          <w:sz w:val="16"/>
        </w:rPr>
        <w:t xml:space="preserve">, C. et al. (2021) Global urban population exposure to extreme heat. </w:t>
      </w:r>
      <w:r>
        <w:rPr>
          <w:rFonts w:cs="Arial"/>
          <w:i/>
          <w:sz w:val="16"/>
        </w:rPr>
        <w:t>Environmental Research Letters</w:t>
      </w:r>
      <w:r>
        <w:rPr>
          <w:rFonts w:cs="Arial"/>
          <w:sz w:val="16"/>
        </w:rPr>
        <w:t>.</w:t>
      </w:r>
    </w:p>
    <w:p w14:paraId="7805A718" w14:textId="77777777" w:rsidR="00311A95" w:rsidRDefault="005D7CC0">
      <w:pPr>
        <w:pStyle w:val="ListNumber"/>
        <w:spacing w:after="60"/>
      </w:pPr>
      <w:r>
        <w:rPr>
          <w:rFonts w:cs="Arial"/>
          <w:sz w:val="16"/>
        </w:rPr>
        <w:t xml:space="preserve">Zhao, L. et al. (2021) Strong contributions of local background climate to the urban heat island effect. </w:t>
      </w:r>
      <w:r>
        <w:rPr>
          <w:rFonts w:cs="Arial"/>
          <w:i/>
          <w:sz w:val="16"/>
        </w:rPr>
        <w:t>Nature Climate Change</w:t>
      </w:r>
      <w:r>
        <w:rPr>
          <w:rFonts w:cs="Arial"/>
          <w:sz w:val="16"/>
        </w:rPr>
        <w:t>.</w:t>
      </w:r>
    </w:p>
    <w:p w14:paraId="0BE8377D" w14:textId="77777777" w:rsidR="00311A95" w:rsidRDefault="005D7CC0">
      <w:pPr>
        <w:pStyle w:val="ListNumber"/>
        <w:spacing w:after="60"/>
      </w:pPr>
      <w:r>
        <w:rPr>
          <w:rFonts w:cs="Arial"/>
          <w:sz w:val="16"/>
        </w:rPr>
        <w:t xml:space="preserve">Wang, X., Scott, C.E. &amp; Dallimer, M. (2023) High summer land surface temperatures in a temperate city are mitigated by tree canopy cover. </w:t>
      </w:r>
      <w:r>
        <w:rPr>
          <w:rFonts w:cs="Arial"/>
          <w:i/>
          <w:sz w:val="16"/>
        </w:rPr>
        <w:t>Urban Climate</w:t>
      </w:r>
      <w:r>
        <w:rPr>
          <w:rFonts w:cs="Arial"/>
          <w:sz w:val="16"/>
        </w:rPr>
        <w:t>.</w:t>
      </w:r>
    </w:p>
    <w:p w14:paraId="66A55BF2" w14:textId="77777777" w:rsidR="00311A95" w:rsidRDefault="005D7CC0">
      <w:pPr>
        <w:spacing w:before="120" w:after="60"/>
      </w:pPr>
      <w:r>
        <w:rPr>
          <w:rFonts w:cs="Arial"/>
          <w:b/>
          <w:color w:val="08414C"/>
        </w:rPr>
        <w:t>Met Office / ESA capability and other sources</w:t>
      </w:r>
    </w:p>
    <w:p w14:paraId="70C55330" w14:textId="77777777" w:rsidR="00311A95" w:rsidRDefault="005D7CC0">
      <w:pPr>
        <w:pStyle w:val="ListBullet"/>
        <w:spacing w:after="60"/>
      </w:pPr>
      <w:r>
        <w:rPr>
          <w:rFonts w:cs="Arial"/>
          <w:sz w:val="16"/>
        </w:rPr>
        <w:t>ESA Climate Change Initiative — Land Surface Temperature (</w:t>
      </w:r>
      <w:proofErr w:type="spellStart"/>
      <w:r>
        <w:rPr>
          <w:rFonts w:cs="Arial"/>
          <w:sz w:val="16"/>
        </w:rPr>
        <w:t>LST_cci</w:t>
      </w:r>
      <w:proofErr w:type="spellEnd"/>
      <w:r>
        <w:rPr>
          <w:rFonts w:cs="Arial"/>
          <w:sz w:val="16"/>
        </w:rPr>
        <w:t xml:space="preserve">); led by University of Leicester; Met Office climate-services / CMUG partner. </w:t>
      </w:r>
      <w:hyperlink r:id="rId27">
        <w:r w:rsidR="00311A95">
          <w:rPr>
            <w:rFonts w:cs="Arial"/>
            <w:color w:val="10497A"/>
            <w:sz w:val="16"/>
            <w:u w:val="single"/>
          </w:rPr>
          <w:t>climate.esa.int/.../land-surface-temperature</w:t>
        </w:r>
      </w:hyperlink>
    </w:p>
    <w:p w14:paraId="5D155771" w14:textId="77777777" w:rsidR="00311A95" w:rsidRDefault="005D7CC0">
      <w:pPr>
        <w:pStyle w:val="ListBullet"/>
        <w:spacing w:after="60"/>
      </w:pPr>
      <w:r>
        <w:rPr>
          <w:rFonts w:cs="Arial"/>
          <w:sz w:val="16"/>
        </w:rPr>
        <w:t>Met Office (28 July 2022) Record high temperatures verified — 40.3°</w:t>
      </w:r>
      <w:proofErr w:type="spellStart"/>
      <w:r>
        <w:rPr>
          <w:rFonts w:cs="Arial"/>
          <w:sz w:val="16"/>
        </w:rPr>
        <w:t>C at</w:t>
      </w:r>
      <w:proofErr w:type="spellEnd"/>
      <w:r>
        <w:rPr>
          <w:rFonts w:cs="Arial"/>
          <w:sz w:val="16"/>
        </w:rPr>
        <w:t xml:space="preserve"> Coningsby, Lincolnshire.</w:t>
      </w:r>
    </w:p>
    <w:p w14:paraId="16C85F66" w14:textId="77777777" w:rsidR="00311A95" w:rsidRDefault="005D7CC0">
      <w:pPr>
        <w:pStyle w:val="ListBullet"/>
        <w:spacing w:after="60"/>
      </w:pPr>
      <w:r>
        <w:rPr>
          <w:rFonts w:cs="Arial"/>
          <w:sz w:val="16"/>
        </w:rPr>
        <w:t>Kendon, M. et al. (2023) State of the UK Climate 2022 (Met Office National Climate Information Centre).</w:t>
      </w:r>
    </w:p>
    <w:p w14:paraId="20007B43" w14:textId="77777777" w:rsidR="00311A95" w:rsidRDefault="005D7CC0">
      <w:pPr>
        <w:pStyle w:val="ListBullet"/>
        <w:spacing w:after="60"/>
      </w:pPr>
      <w:r>
        <w:rPr>
          <w:rFonts w:cs="Arial"/>
          <w:sz w:val="16"/>
        </w:rPr>
        <w:t>World Weather Attribution (2022) Without human-caused climate change temperatures of 40°C in the UK would have been extremely unlikely.</w:t>
      </w:r>
    </w:p>
    <w:p w14:paraId="4D857D73" w14:textId="77777777" w:rsidR="00311A95" w:rsidRDefault="005D7CC0">
      <w:pPr>
        <w:pStyle w:val="ListBullet"/>
        <w:spacing w:after="60"/>
      </w:pPr>
      <w:r>
        <w:rPr>
          <w:rFonts w:cs="Arial"/>
          <w:sz w:val="16"/>
        </w:rPr>
        <w:t>Met Office, Urban climate impacts research (MORUSES / JULES urban land-surface modelling) and Urban Climate Services ‘Heat Packs’.</w:t>
      </w:r>
    </w:p>
    <w:p w14:paraId="152A82E4" w14:textId="77777777" w:rsidR="00311A95" w:rsidRDefault="005D7CC0">
      <w:pPr>
        <w:pStyle w:val="ListBullet"/>
        <w:spacing w:after="60"/>
      </w:pPr>
      <w:r>
        <w:rPr>
          <w:rFonts w:cs="Arial"/>
          <w:sz w:val="16"/>
        </w:rPr>
        <w:t xml:space="preserve">UKHSA &amp; Met Office, </w:t>
      </w:r>
      <w:hyperlink r:id="rId28">
        <w:r w:rsidR="00311A95">
          <w:rPr>
            <w:rFonts w:cs="Arial"/>
            <w:color w:val="10497A"/>
            <w:sz w:val="16"/>
            <w:u w:val="single"/>
          </w:rPr>
          <w:t>Heat-Health Alerting system</w:t>
        </w:r>
      </w:hyperlink>
      <w:r>
        <w:rPr>
          <w:rFonts w:cs="Arial"/>
          <w:sz w:val="16"/>
        </w:rPr>
        <w:t xml:space="preserve"> / Weather-Health Alerts and </w:t>
      </w:r>
      <w:hyperlink r:id="rId29">
        <w:r w:rsidR="00311A95">
          <w:rPr>
            <w:rFonts w:cs="Arial"/>
            <w:color w:val="10497A"/>
            <w:sz w:val="16"/>
            <w:u w:val="single"/>
          </w:rPr>
          <w:t>Adverse Weather and Health Plan</w:t>
        </w:r>
      </w:hyperlink>
      <w:r>
        <w:rPr>
          <w:rFonts w:cs="Arial"/>
          <w:sz w:val="16"/>
        </w:rPr>
        <w:t xml:space="preserve"> (GOV.UK, accessed June 2026).</w:t>
      </w:r>
    </w:p>
    <w:p w14:paraId="1AEC1DB4" w14:textId="77777777" w:rsidR="00311A95" w:rsidRDefault="005D7CC0">
      <w:pPr>
        <w:pStyle w:val="ListBullet"/>
        <w:spacing w:after="60"/>
      </w:pPr>
      <w:r>
        <w:rPr>
          <w:rFonts w:cs="Arial"/>
          <w:sz w:val="16"/>
        </w:rPr>
        <w:t>uk_climate_nature_governance_v15.xlsx, Policies &amp; Activities sheet.</w:t>
      </w:r>
    </w:p>
    <w:sectPr w:rsidR="00311A95" w:rsidSect="00034616">
      <w:headerReference w:type="default" r:id="rId30"/>
      <w:footerReference w:type="default" r:id="rId31"/>
      <w:pgSz w:w="15840" w:h="12240" w:orient="landscape"/>
      <w:pgMar w:top="1080" w:right="720" w:bottom="900" w:left="720" w:header="54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054DA3" w14:textId="77777777" w:rsidR="00DA2305" w:rsidRDefault="00DA2305">
      <w:pPr>
        <w:spacing w:after="0" w:line="240" w:lineRule="auto"/>
      </w:pPr>
      <w:r>
        <w:separator/>
      </w:r>
    </w:p>
  </w:endnote>
  <w:endnote w:type="continuationSeparator" w:id="0">
    <w:p w14:paraId="26325849" w14:textId="77777777" w:rsidR="00DA2305" w:rsidRDefault="00DA2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D12AE6" w14:textId="77777777" w:rsidR="00311A95" w:rsidRDefault="005D7CC0">
    <w:pPr>
      <w:pStyle w:val="Footer"/>
      <w:pBdr>
        <w:top w:val="single" w:sz="4" w:space="4" w:color="C5D0D4"/>
      </w:pBdr>
      <w:tabs>
        <w:tab w:val="right" w:pos="14400"/>
      </w:tabs>
    </w:pPr>
    <w:r>
      <w:rPr>
        <w:rFonts w:cs="Arial"/>
        <w:color w:val="5A6B73"/>
        <w:sz w:val="14"/>
      </w:rPr>
      <w:t>Prospective product · evidence base external · governance refs uk_climate_nature_governance_v15</w:t>
    </w:r>
    <w:r>
      <w:rPr>
        <w:rFonts w:cs="Arial"/>
        <w:color w:val="5A6B73"/>
        <w:sz w:val="14"/>
      </w:rPr>
      <w:tab/>
      <w:t xml:space="preserve">Page </w:t>
    </w:r>
    <w:r>
      <w:fldChar w:fldCharType="begin"/>
    </w:r>
    <w:r>
      <w:instrText>PAGE</w:instrText>
    </w:r>
    <w:r>
      <w:fldChar w:fldCharType="separate"/>
    </w:r>
    <w:r w:rsidR="008159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05A54C" w14:textId="77777777" w:rsidR="00DA2305" w:rsidRDefault="00DA2305">
      <w:pPr>
        <w:spacing w:after="0" w:line="240" w:lineRule="auto"/>
      </w:pPr>
      <w:r>
        <w:separator/>
      </w:r>
    </w:p>
  </w:footnote>
  <w:footnote w:type="continuationSeparator" w:id="0">
    <w:p w14:paraId="278D76B8" w14:textId="77777777" w:rsidR="00DA2305" w:rsidRDefault="00DA2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77DCA0" w14:textId="58EC2ED1" w:rsidR="00311A95" w:rsidRPr="0081596D" w:rsidRDefault="0081596D" w:rsidP="0081596D">
    <w:pPr>
      <w:pStyle w:val="Header"/>
      <w:rPr>
        <w:rFonts w:cs="Arial"/>
        <w:color w:val="5A6B73"/>
        <w:sz w:val="15"/>
      </w:rPr>
    </w:pPr>
    <w:r w:rsidRPr="0081596D">
      <w:rPr>
        <w:rFonts w:cs="Arial"/>
        <w:b/>
        <w:color w:val="5A6B73"/>
        <w:sz w:val="15"/>
      </w:rPr>
      <w:t>Mapping the UK Climate &amp; Nature Policy Landscape for a new Met Office UK Land Surface Temperature (LST) product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386177">
    <w:abstractNumId w:val="8"/>
  </w:num>
  <w:num w:numId="2" w16cid:durableId="359475670">
    <w:abstractNumId w:val="6"/>
  </w:num>
  <w:num w:numId="3" w16cid:durableId="662321582">
    <w:abstractNumId w:val="5"/>
  </w:num>
  <w:num w:numId="4" w16cid:durableId="1136609323">
    <w:abstractNumId w:val="4"/>
  </w:num>
  <w:num w:numId="5" w16cid:durableId="1987975607">
    <w:abstractNumId w:val="7"/>
  </w:num>
  <w:num w:numId="6" w16cid:durableId="671954652">
    <w:abstractNumId w:val="3"/>
  </w:num>
  <w:num w:numId="7" w16cid:durableId="1646617036">
    <w:abstractNumId w:val="2"/>
  </w:num>
  <w:num w:numId="8" w16cid:durableId="718823603">
    <w:abstractNumId w:val="1"/>
  </w:num>
  <w:num w:numId="9" w16cid:durableId="9488576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AFA"/>
    <w:rsid w:val="0015074B"/>
    <w:rsid w:val="001A635C"/>
    <w:rsid w:val="0029639D"/>
    <w:rsid w:val="00311A95"/>
    <w:rsid w:val="00314959"/>
    <w:rsid w:val="00326F90"/>
    <w:rsid w:val="00345F83"/>
    <w:rsid w:val="005D7CC0"/>
    <w:rsid w:val="0081596D"/>
    <w:rsid w:val="00AA1D8D"/>
    <w:rsid w:val="00B47730"/>
    <w:rsid w:val="00C21C84"/>
    <w:rsid w:val="00C73A24"/>
    <w:rsid w:val="00CB0664"/>
    <w:rsid w:val="00DA2305"/>
    <w:rsid w:val="00F55B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4B10D"/>
  <w14:defaultImageDpi w14:val="300"/>
  <w15:docId w15:val="{BB18B7B4-33EF-304E-A9ED-0E1DDB19B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2A3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publications/environmental-improvement-plan" TargetMode="External"/><Relationship Id="rId18" Type="http://schemas.openxmlformats.org/officeDocument/2006/relationships/hyperlink" Target="https://www.gov.uk/government/consultations/land-use-in-england-a-framework-for-the-future" TargetMode="External"/><Relationship Id="rId26" Type="http://schemas.openxmlformats.org/officeDocument/2006/relationships/hyperlink" Target="https://www.gov.uk/government/publications/adverse-weather-and-health-plan" TargetMode="External"/><Relationship Id="rId3" Type="http://schemas.openxmlformats.org/officeDocument/2006/relationships/styles" Target="styles.xml"/><Relationship Id="rId21" Type="http://schemas.openxmlformats.org/officeDocument/2006/relationships/hyperlink" Target="https://www.gov.uk/government/publications/environmental-improvement-plan" TargetMode="External"/><Relationship Id="rId7" Type="http://schemas.openxmlformats.org/officeDocument/2006/relationships/endnotes" Target="endnotes.xml"/><Relationship Id="rId12" Type="http://schemas.openxmlformats.org/officeDocument/2006/relationships/hyperlink" Target="https://www.gov.uk/government/publications/third-national-adaptation-programme-nap3" TargetMode="External"/><Relationship Id="rId17" Type="http://schemas.openxmlformats.org/officeDocument/2006/relationships/hyperlink" Target="https://www.gov.uk/government/publications/natural-capital-and-ecosystem-assessment-ncea-programme/natural-capital-and-ecosystem-assessment-ncea-programme" TargetMode="External"/><Relationship Id="rId25" Type="http://schemas.openxmlformats.org/officeDocument/2006/relationships/hyperlink" Target="https://www.gov.uk/government/publications/heat-mortality-monitoring-report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eather.metoffice.gov.uk/guides/warnings" TargetMode="External"/><Relationship Id="rId20" Type="http://schemas.openxmlformats.org/officeDocument/2006/relationships/hyperlink" Target="https://www.gov.uk/government/publications/clean-air-strategy-2019" TargetMode="External"/><Relationship Id="rId29" Type="http://schemas.openxmlformats.org/officeDocument/2006/relationships/hyperlink" Target="https://www.gov.uk/government/publications/adverse-weather-and-health-pla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government/publications/national-planning-policy-framework--2" TargetMode="External"/><Relationship Id="rId24" Type="http://schemas.openxmlformats.org/officeDocument/2006/relationships/hyperlink" Target="https://www.gov.uk/government/publications/third-national-adaptation-programme-nap3"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v.uk/government/publications/overheating-approved-document-o" TargetMode="External"/><Relationship Id="rId23" Type="http://schemas.openxmlformats.org/officeDocument/2006/relationships/hyperlink" Target="https://www.gov.uk/government/publications/third-national-adaptation-programme-nap3" TargetMode="External"/><Relationship Id="rId28" Type="http://schemas.openxmlformats.org/officeDocument/2006/relationships/hyperlink" Target="https://www.gov.uk/guidance/heat-health-alerting-system" TargetMode="External"/><Relationship Id="rId10" Type="http://schemas.openxmlformats.org/officeDocument/2006/relationships/hyperlink" Target="https://www.gov.uk/government/publications/climate-change-risk-assessment-2022" TargetMode="External"/><Relationship Id="rId19" Type="http://schemas.openxmlformats.org/officeDocument/2006/relationships/hyperlink" Target="https://www.gov.uk/government/publications/environmental-land-management-schemes-overview"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v.uk/government/publications/adverse-weather-and-health-plan" TargetMode="External"/><Relationship Id="rId14" Type="http://schemas.openxmlformats.org/officeDocument/2006/relationships/hyperlink" Target="https://www.gov.uk/government/publications/england-peat-action-plan" TargetMode="External"/><Relationship Id="rId22" Type="http://schemas.openxmlformats.org/officeDocument/2006/relationships/hyperlink" Target="https://www.gov.uk/government/publications/third-national-adaptation-programme-nap3" TargetMode="External"/><Relationship Id="rId27" Type="http://schemas.openxmlformats.org/officeDocument/2006/relationships/hyperlink" Target="https://climate.esa.int/en/projects/land-surface-temperature/" TargetMode="External"/><Relationship Id="rId30" Type="http://schemas.openxmlformats.org/officeDocument/2006/relationships/header" Target="header1.xml"/><Relationship Id="rId8" Type="http://schemas.openxmlformats.org/officeDocument/2006/relationships/hyperlink" Target="https://www.gov.uk/guidance/heat-health-alert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2479</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Mosedale, Jonathan</cp:lastModifiedBy>
  <cp:revision>4</cp:revision>
  <cp:lastPrinted>2026-07-16T08:40:00Z</cp:lastPrinted>
  <dcterms:created xsi:type="dcterms:W3CDTF">2026-07-15T11:43:00Z</dcterms:created>
  <dcterms:modified xsi:type="dcterms:W3CDTF">2026-09-02T12:48:00Z</dcterms:modified>
  <cp:category/>
</cp:coreProperties>
</file>