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685402" w14:paraId="7729B3C5" w14:textId="77777777">
        <w:tc>
          <w:tcPr>
            <w:tcW w:w="14400" w:type="dxa"/>
            <w:shd w:val="clear" w:color="auto" w:fill="0B556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B08688" w14:textId="06A5CE32" w:rsidR="00685402" w:rsidRDefault="00B64F38">
            <w:pPr>
              <w:spacing w:after="40"/>
            </w:pPr>
            <w:r>
              <w:rPr>
                <w:rFonts w:cs="Arial"/>
                <w:b/>
                <w:color w:val="FFFFFF"/>
                <w:sz w:val="30"/>
              </w:rPr>
              <w:t xml:space="preserve">Mapping the UK Climate &amp; Nature Policy Landscape for a new </w:t>
            </w:r>
            <w:r w:rsidR="00000000">
              <w:rPr>
                <w:rFonts w:cs="Arial"/>
                <w:b/>
                <w:color w:val="FFFFFF"/>
                <w:sz w:val="30"/>
              </w:rPr>
              <w:t>UK marine heatwave product</w:t>
            </w:r>
          </w:p>
          <w:p w14:paraId="1C25F4B6" w14:textId="21E4156E" w:rsidR="00685402" w:rsidRDefault="00000000">
            <w:pPr>
              <w:spacing w:after="0"/>
            </w:pPr>
            <w:r>
              <w:rPr>
                <w:rFonts w:cs="Arial"/>
                <w:color w:val="D6E6E9"/>
              </w:rPr>
              <w:t xml:space="preserve">Gap </w:t>
            </w:r>
            <w:proofErr w:type="gramStart"/>
            <w:r>
              <w:rPr>
                <w:rFonts w:cs="Arial"/>
                <w:color w:val="D6E6E9"/>
              </w:rPr>
              <w:t>assessment  ·</w:t>
            </w:r>
            <w:proofErr w:type="gramEnd"/>
            <w:r>
              <w:rPr>
                <w:rFonts w:cs="Arial"/>
                <w:color w:val="D6E6E9"/>
              </w:rPr>
              <w:t xml:space="preserve">  Prepared July 2026</w:t>
            </w:r>
          </w:p>
        </w:tc>
      </w:tr>
    </w:tbl>
    <w:p w14:paraId="15E27B9D" w14:textId="77777777" w:rsidR="00685402" w:rsidRDefault="00685402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685402" w14:paraId="12F27BAE" w14:textId="77777777">
        <w:tc>
          <w:tcPr>
            <w:tcW w:w="14400" w:type="dxa"/>
            <w:tcBorders>
              <w:top w:val="single" w:sz="4" w:space="0" w:color="0B5563"/>
              <w:left w:val="single" w:sz="24" w:space="0" w:color="0B5563"/>
              <w:bottom w:val="single" w:sz="4" w:space="0" w:color="0B5563"/>
              <w:right w:val="single" w:sz="4" w:space="0" w:color="0B5563"/>
            </w:tcBorders>
            <w:shd w:val="clear" w:color="auto" w:fill="EAF2F3"/>
            <w:tcMar>
              <w:top w:w="140" w:type="dxa"/>
              <w:left w:w="200" w:type="dxa"/>
              <w:bottom w:w="120" w:type="dxa"/>
              <w:right w:w="200" w:type="dxa"/>
            </w:tcMar>
          </w:tcPr>
          <w:p w14:paraId="2CACF0DB" w14:textId="77777777" w:rsidR="00685402" w:rsidRDefault="00000000">
            <w:pPr>
              <w:spacing w:after="60"/>
            </w:pPr>
            <w:r>
              <w:rPr>
                <w:rFonts w:cs="Arial"/>
                <w:b/>
                <w:color w:val="08414C"/>
                <w:sz w:val="22"/>
              </w:rPr>
              <w:t>Key points</w:t>
            </w:r>
          </w:p>
          <w:p w14:paraId="01A0CB98" w14:textId="77777777" w:rsidR="00685402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This product does not yet exist as an operational Met Office service.</w:t>
            </w:r>
            <w:r>
              <w:rPr>
                <w:rFonts w:cs="Arial"/>
              </w:rPr>
              <w:t xml:space="preserve"> This is a gap assessment: the external literature (Holbrook 2019; Oliver 2018; Cornes/MCCIP 2025) shows marine heatwaves (MHWs) are now well characterised and their ecological and fisheries impacts are established, and this asks what UK policy could do with a national, policy-facing MO MHW product.</w:t>
            </w:r>
          </w:p>
          <w:p w14:paraId="10AF2504" w14:textId="77777777" w:rsidR="00685402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The building blocks already exist at the Met Office.</w:t>
            </w:r>
            <w:r>
              <w:rPr>
                <w:rFonts w:cs="Arial"/>
              </w:rPr>
              <w:t xml:space="preserve"> OSTIA (daily satellite+in-situ sea surface temperature), the FOAM / Copernicus Marine North-West Shelf system (3D temperature, incl. sub-surface and seafloor) and the ESA SST_cci record are all MO-run. The gap is not raw data but an </w:t>
            </w:r>
            <w:r>
              <w:rPr>
                <w:rFonts w:cs="Arial"/>
                <w:b/>
              </w:rPr>
              <w:t>operational, categorised, forecast MHW product</w:t>
            </w:r>
            <w:r>
              <w:rPr>
                <w:rFonts w:cs="Arial"/>
              </w:rPr>
              <w:t xml:space="preserve"> (event onset, duration, category I–IV, sector impact layers) — none exists for UK policy today.</w:t>
            </w:r>
          </w:p>
          <w:p w14:paraId="2A2BD708" w14:textId="77777777" w:rsidR="00685402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Highest-value prospective applications (Relevance 3):</w:t>
            </w:r>
            <w:r>
              <w:rPr>
                <w:rFonts w:cs="Arial"/>
              </w:rPr>
              <w:t xml:space="preserve"> the Marine Climate Change Impacts Partnership (MCCIP) sea-temperature evidence stream, the UK Marine Strategy 2025 Programme of Measures (Good Environmental Status), the Fisheries Act 2020 climate-change objective / Fisheries Management Plans (†), and CCRA4 (Met Office-led Technical Report, mid-2026; CCRA4 laid Jan 2027).</w:t>
            </w:r>
          </w:p>
          <w:p w14:paraId="6EE5254F" w14:textId="77777777" w:rsidR="00685402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Timely:</w:t>
            </w:r>
            <w:r>
              <w:rPr>
                <w:rFonts w:cs="Arial"/>
              </w:rPr>
              <w:t xml:space="preserve"> Cefas and the Met Office are already building UK MHW-prediction capability — the </w:t>
            </w:r>
            <w:r>
              <w:rPr>
                <w:rFonts w:cs="Arial"/>
                <w:i/>
              </w:rPr>
              <w:t>40 priority questions</w:t>
            </w:r>
            <w:r>
              <w:rPr>
                <w:rFonts w:cs="Arial"/>
              </w:rPr>
              <w:t xml:space="preserve"> horizon-scan (Pinnegar, Rowland et al., npj Ocean Sustainability 2025) and the Defra Marine Science programme (Sep 2024) — the natural home for an operational product.</w:t>
            </w:r>
          </w:p>
          <w:p w14:paraId="67D53042" w14:textId="77777777" w:rsidR="00685402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Maturity varies:</w:t>
            </w:r>
            <w:r>
              <w:rPr>
                <w:rFonts w:cs="Arial"/>
              </w:rPr>
              <w:t xml:space="preserve"> MHW monitoring itself is </w:t>
            </w:r>
            <w:r>
              <w:rPr>
                <w:rFonts w:cs="Arial"/>
                <w:b/>
              </w:rPr>
              <w:t>Demonstrated</w:t>
            </w:r>
            <w:r>
              <w:rPr>
                <w:rFonts w:cs="Arial"/>
              </w:rPr>
              <w:t xml:space="preserve"> (EEA/Copernicus/MCCIP already publish UK &amp; European SST and MHW indices); operational forecasting into fisheries, aquaculture and adaptation processes is </w:t>
            </w:r>
            <w:r>
              <w:rPr>
                <w:rFonts w:cs="Arial"/>
                <w:b/>
              </w:rPr>
              <w:t>Emerging</w:t>
            </w:r>
            <w:r>
              <w:rPr>
                <w:rFonts w:cs="Arial"/>
              </w:rPr>
              <w:t xml:space="preserve">; marine-planning, protected-area and blue-carbon uses are </w:t>
            </w:r>
            <w:r>
              <w:rPr>
                <w:rFonts w:cs="Arial"/>
                <w:b/>
              </w:rPr>
              <w:t>Conceptual</w:t>
            </w:r>
            <w:r>
              <w:rPr>
                <w:rFonts w:cs="Arial"/>
              </w:rPr>
              <w:t>.</w:t>
            </w:r>
          </w:p>
          <w:p w14:paraId="78A9536D" w14:textId="77777777" w:rsidR="00685402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Caveats:</w:t>
            </w:r>
            <w:r>
              <w:rPr>
                <w:rFonts w:cs="Arial"/>
              </w:rPr>
              <w:t xml:space="preserve"> the bibliography is an external MHW reading list, not an MO publication list, so MO capability was scoped from MO/Cefas/Copernicus sources; and three of the highest-value marine activities — the Fisheries Act/JFS/FMPs, aquaculture food-safety (HAB/</w:t>
            </w:r>
            <w:r>
              <w:rPr>
                <w:rFonts w:cs="Arial"/>
                <w:i/>
              </w:rPr>
              <w:t>Vibrio</w:t>
            </w:r>
            <w:r>
              <w:rPr>
                <w:rFonts w:cs="Arial"/>
              </w:rPr>
              <w:t>) monitoring, and the UK Blue Carbon Evidence Partnership — are operational processes not held in the governance workbook (marked †).</w:t>
            </w:r>
          </w:p>
        </w:tc>
      </w:tr>
    </w:tbl>
    <w:p w14:paraId="7B7F7815" w14:textId="77777777" w:rsidR="00685402" w:rsidRDefault="00685402">
      <w:pPr>
        <w:spacing w:after="80"/>
      </w:pPr>
    </w:p>
    <w:p w14:paraId="642EAE78" w14:textId="77777777" w:rsidR="00685402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The evidence base for a prospective UK marine heatwave product</w:t>
      </w:r>
    </w:p>
    <w:p w14:paraId="6DE8208F" w14:textId="77777777" w:rsidR="00685402" w:rsidRDefault="00000000">
      <w:pPr>
        <w:spacing w:after="120"/>
      </w:pPr>
      <w:r>
        <w:rPr>
          <w:rFonts w:cs="Arial"/>
          <w:sz w:val="17"/>
        </w:rPr>
        <w:t>A UK marine heatwave product would deliver operational, categorised ocean-heat information — daily sea surface temperature (SST) anomalies and MHW category (Hobday I–IV: moderate to extreme), sub-surface and seafloor temperature / ocean heat content, and short-range to seasonal forecasts of MHW onset, duration and decline — across the UK Exclusive Economic Zone and North-West European shelf at a few-kilometre resolution, on a 1982-to-present satellite baseline. The Met Office already runs the underpinning systems (OSTIA SST; the FOAM / Copernicus Marine North-West Shelf model; the ESA SST_cci climate record) and co-leads UK MHW science with Cefas. The external evidence base below shows the policy-relevant applications are established science elsewhere.</w:t>
      </w:r>
    </w:p>
    <w:p w14:paraId="7D360E86" w14:textId="77777777" w:rsidR="00685402" w:rsidRDefault="00000000">
      <w:pPr>
        <w:pStyle w:val="ListBullet"/>
        <w:spacing w:after="80"/>
      </w:pPr>
      <w:r>
        <w:rPr>
          <w:rFonts w:cs="Arial"/>
          <w:b/>
          <w:sz w:val="17"/>
        </w:rPr>
        <w:t>Intensifying UK MHWs</w:t>
      </w:r>
      <w:r>
        <w:rPr>
          <w:rFonts w:cs="Arial"/>
          <w:sz w:val="17"/>
        </w:rPr>
        <w:t xml:space="preserve"> — around UK and Irish seas MHWs have grown in frequency, duration and magnitude; projections indicate coastal regions could be in MHW conditions for more than half the year by 2100 under high emissions (Cornes et al. / MCCIP 2025).</w:t>
      </w:r>
    </w:p>
    <w:p w14:paraId="1DD81F32" w14:textId="77777777" w:rsidR="00685402" w:rsidRDefault="00000000">
      <w:pPr>
        <w:pStyle w:val="ListBullet"/>
        <w:spacing w:after="80"/>
      </w:pPr>
      <w:r>
        <w:rPr>
          <w:rFonts w:cs="Arial"/>
          <w:b/>
          <w:sz w:val="17"/>
        </w:rPr>
        <w:t>Fisheries and distribution shifts</w:t>
      </w:r>
      <w:r>
        <w:rPr>
          <w:rFonts w:cs="Arial"/>
          <w:sz w:val="17"/>
        </w:rPr>
        <w:t xml:space="preserve"> — MHWs drive shifts in the distribution and productivity of commercially important fish and shellfish, directly relevant to stock assessment and fisheries management (Holbrook et al. 2019; Plecha et al. 2021).</w:t>
      </w:r>
    </w:p>
    <w:p w14:paraId="07318607" w14:textId="77777777" w:rsidR="00685402" w:rsidRDefault="00000000">
      <w:pPr>
        <w:pStyle w:val="ListBullet"/>
        <w:spacing w:after="80"/>
      </w:pPr>
      <w:r>
        <w:rPr>
          <w:rFonts w:cs="Arial"/>
          <w:b/>
          <w:sz w:val="17"/>
        </w:rPr>
        <w:t>Habitat damage</w:t>
      </w:r>
      <w:r>
        <w:rPr>
          <w:rFonts w:cs="Arial"/>
          <w:sz w:val="17"/>
        </w:rPr>
        <w:t xml:space="preserve"> — MHWs cause measurable stress and mortality in seagrass, kelp and other temperature-sensitive habitats, with knock-on effects on blue-carbon storage (Jung et al. 2023; Ford et al. 2025).</w:t>
      </w:r>
    </w:p>
    <w:p w14:paraId="11EF6B40" w14:textId="77777777" w:rsidR="00685402" w:rsidRDefault="00000000">
      <w:pPr>
        <w:pStyle w:val="ListBullet"/>
        <w:spacing w:after="80"/>
      </w:pPr>
      <w:r>
        <w:rPr>
          <w:rFonts w:cs="Arial"/>
          <w:b/>
          <w:sz w:val="17"/>
        </w:rPr>
        <w:t>Compound and sub-surface events</w:t>
      </w:r>
      <w:r>
        <w:rPr>
          <w:rFonts w:cs="Arial"/>
          <w:sz w:val="17"/>
        </w:rPr>
        <w:t xml:space="preserve"> — coastal MHWs can be generated or amplified by atmospheric heat and stratification, and seafloor/sub-surface heatwaves with non-summer impacts are poorly captured by SST-only monitoring (Dzwonkowski et al. 2020; European Commission 2026).</w:t>
      </w:r>
    </w:p>
    <w:p w14:paraId="28F22C46" w14:textId="77777777" w:rsidR="00685402" w:rsidRDefault="00000000">
      <w:pPr>
        <w:spacing w:after="120"/>
      </w:pPr>
      <w:r>
        <w:rPr>
          <w:rFonts w:cs="Arial"/>
          <w:sz w:val="17"/>
        </w:rPr>
        <w:lastRenderedPageBreak/>
        <w:t>A prospective MO UK marine heatwave product would translate these demonstrated capabilities into a national, policy-ready evidence and early-warning layer; the table maps where that would matter and how proven each use is.</w:t>
      </w:r>
    </w:p>
    <w:p w14:paraId="6D9951D8" w14:textId="77777777" w:rsidR="00685402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Policy applications, relevance and maturity</w:t>
      </w:r>
    </w:p>
    <w:p w14:paraId="2DE5B232" w14:textId="77777777" w:rsidR="00685402" w:rsidRDefault="00000000">
      <w:pPr>
        <w:spacing w:after="120"/>
      </w:pPr>
      <w:r>
        <w:rPr>
          <w:rFonts w:cs="Arial"/>
          <w:sz w:val="17"/>
        </w:rPr>
        <w:t xml:space="preserve">Two independent axes. </w:t>
      </w:r>
      <w:r>
        <w:rPr>
          <w:rFonts w:cs="Arial"/>
          <w:b/>
          <w:sz w:val="17"/>
        </w:rPr>
        <w:t>Relevance</w:t>
      </w:r>
      <w:r>
        <w:rPr>
          <w:rFonts w:cs="Arial"/>
          <w:sz w:val="17"/>
        </w:rPr>
        <w:t xml:space="preserve"> (materiality of a UK marine heatwave product to the policy): </w:t>
      </w:r>
      <w:r>
        <w:rPr>
          <w:rFonts w:cs="Arial"/>
          <w:b/>
          <w:sz w:val="17"/>
        </w:rPr>
        <w:t>3 High</w:t>
      </w:r>
      <w:r>
        <w:rPr>
          <w:rFonts w:cs="Arial"/>
          <w:sz w:val="17"/>
        </w:rPr>
        <w:t xml:space="preserve"> = would be a direct, central input; </w:t>
      </w:r>
      <w:r>
        <w:rPr>
          <w:rFonts w:cs="Arial"/>
          <w:b/>
          <w:sz w:val="17"/>
        </w:rPr>
        <w:t>2 Medium</w:t>
      </w:r>
      <w:r>
        <w:rPr>
          <w:rFonts w:cs="Arial"/>
          <w:sz w:val="17"/>
        </w:rPr>
        <w:t xml:space="preserve"> = a useful supporting evidence layer; </w:t>
      </w:r>
      <w:r>
        <w:rPr>
          <w:rFonts w:cs="Arial"/>
          <w:b/>
          <w:sz w:val="17"/>
        </w:rPr>
        <w:t>1 Low</w:t>
      </w:r>
      <w:r>
        <w:rPr>
          <w:rFonts w:cs="Arial"/>
          <w:sz w:val="17"/>
        </w:rPr>
        <w:t xml:space="preserve"> = marginal or indirect. </w:t>
      </w:r>
      <w:r>
        <w:rPr>
          <w:rFonts w:cs="Arial"/>
          <w:b/>
          <w:sz w:val="17"/>
        </w:rPr>
        <w:t>Maturity</w:t>
      </w:r>
      <w:r>
        <w:rPr>
          <w:rFonts w:cs="Arial"/>
          <w:sz w:val="17"/>
        </w:rPr>
        <w:t xml:space="preserve"> (how proven the application is): Demonstrated = proven elsewhere or already used and transferable; Emerging = partial evidence, needs UK development/validation; Conceptual = plausible but unproven for this use. Items marked † are activities not held in the governance workbook. Policy names link to the source page.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100"/>
        <w:gridCol w:w="1300"/>
        <w:gridCol w:w="1400"/>
        <w:gridCol w:w="7700"/>
      </w:tblGrid>
      <w:tr w:rsidR="00685402" w14:paraId="0DF2BA70" w14:textId="77777777">
        <w:trPr>
          <w:tblHeader/>
        </w:trPr>
        <w:tc>
          <w:tcPr>
            <w:tcW w:w="9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20333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Ref</w:t>
            </w:r>
          </w:p>
        </w:tc>
        <w:tc>
          <w:tcPr>
            <w:tcW w:w="31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1AFF7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Policy activity</w:t>
            </w:r>
          </w:p>
        </w:tc>
        <w:tc>
          <w:tcPr>
            <w:tcW w:w="13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87AE9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Relevance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010DE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Maturity</w:t>
            </w:r>
          </w:p>
        </w:tc>
        <w:tc>
          <w:tcPr>
            <w:tcW w:w="77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3CE6C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What a UK marine heatwave product could enable for this policy</w:t>
            </w:r>
          </w:p>
        </w:tc>
      </w:tr>
      <w:tr w:rsidR="00685402" w14:paraId="4C063592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70CD1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POL-049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37542" w14:textId="77777777" w:rsidR="00685402" w:rsidRDefault="00000000">
            <w:pPr>
              <w:spacing w:after="0"/>
            </w:pPr>
            <w:hyperlink r:id="rId8">
              <w:r>
                <w:rPr>
                  <w:rFonts w:cs="Arial"/>
                  <w:color w:val="10497A"/>
                  <w:sz w:val="16"/>
                  <w:u w:val="single"/>
                </w:rPr>
                <w:t>Marine Climate Change Impacts Partnership (MCCIP)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63BD1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1AEC5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Demonstrated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AA058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The established research→policy channel for UK marine climate evidence. MCCIP already publishes a </w:t>
            </w:r>
            <w:r>
              <w:rPr>
                <w:rFonts w:cs="Arial"/>
                <w:b/>
                <w:sz w:val="16"/>
              </w:rPr>
              <w:t>Sea Temperature</w:t>
            </w:r>
            <w:r>
              <w:rPr>
                <w:rFonts w:cs="Arial"/>
                <w:sz w:val="16"/>
              </w:rPr>
              <w:t xml:space="preserve"> evidence stream (rolling updates; Annual Summary 2025) that MO ocean data feed, and which underpins Defra/agency and UK Marine Strategy assessments. A dedicated MHW product would slot directly into this route — the clearest and most proven application.</w:t>
            </w:r>
          </w:p>
        </w:tc>
      </w:tr>
      <w:tr w:rsidR="00685402" w14:paraId="30F08F9A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20792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POL-028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29243C" w14:textId="77777777" w:rsidR="00685402" w:rsidRDefault="00000000">
            <w:pPr>
              <w:spacing w:after="0"/>
            </w:pPr>
            <w:hyperlink r:id="rId9">
              <w:r>
                <w:rPr>
                  <w:rFonts w:cs="Arial"/>
                  <w:color w:val="10497A"/>
                  <w:sz w:val="16"/>
                  <w:u w:val="single"/>
                </w:rPr>
                <w:t>UK Marine Strategy 2025 — Programme of Measures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FF47A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2CEB3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095D3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The Part One 2025 assessment explicitly flags ocean warming and marine heatwaves as risks to achieving Good Environmental Status. An MHW product would provide the temperature/ocean-heat evidence layer for the pelagic-habitat, food-web and fish-stock GES descriptors — evidenced in the strategy text but not yet a formal operational input.</w:t>
            </w:r>
          </w:p>
        </w:tc>
      </w:tr>
      <w:tr w:rsidR="00685402" w14:paraId="233DC976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1D985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27D3D" w14:textId="77777777" w:rsidR="00685402" w:rsidRDefault="00000000">
            <w:pPr>
              <w:spacing w:after="0"/>
            </w:pPr>
            <w:hyperlink r:id="rId10">
              <w:r>
                <w:rPr>
                  <w:rFonts w:cs="Arial"/>
                  <w:color w:val="10497A"/>
                  <w:sz w:val="16"/>
                  <w:u w:val="single"/>
                </w:rPr>
                <w:t>Fisheries Act 2020 climate-change objective / Joint Fisheries Statement &amp; Fisheries Management Plans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B504B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443DC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C2E01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The Act's climate-change objective and the FMPs must account for climate-driven shifts in stock distribution and productivity. MHW monitoring and forecasts could inform stock advice, seasonal management and the ecosystem-based approach set out in the 2022 Joint Fisheries Statement. Not held as a workbook record (†); MCCIP already issues fish/fisheries/aquaculture policy briefs on this.</w:t>
            </w:r>
          </w:p>
        </w:tc>
      </w:tr>
      <w:tr w:rsidR="00685402" w14:paraId="69BCFB04" w14:textId="77777777">
        <w:tc>
          <w:tcPr>
            <w:tcW w:w="9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67954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POL-017</w:t>
            </w:r>
          </w:p>
        </w:tc>
        <w:tc>
          <w:tcPr>
            <w:tcW w:w="31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94D9A" w14:textId="77777777" w:rsidR="00685402" w:rsidRDefault="00000000">
            <w:pPr>
              <w:spacing w:after="0"/>
            </w:pPr>
            <w:hyperlink r:id="rId11">
              <w:r>
                <w:rPr>
                  <w:rFonts w:cs="Arial"/>
                  <w:color w:val="10497A"/>
                  <w:sz w:val="16"/>
                  <w:u w:val="single"/>
                </w:rPr>
                <w:t>Climate Change Risk Assessment (CCRA3 2022; CCRA4-IA 2026, CCRA4 laid Jan 2027)</w:t>
              </w:r>
            </w:hyperlink>
          </w:p>
        </w:tc>
        <w:tc>
          <w:tcPr>
            <w:tcW w:w="13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2EEBA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D30FC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FE1B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Marine and fisheries climate risks are central CCRA risks and the Met Office leads the CCRA4-IA Technical Report (publishing mid-2026). An operational MHW product is a high-value, near-term input to quantify ocean-heat exposure for CCRA4 and the subsequent NAP — though present assessments rely on SST trends and projections rather than a categorised MHW product.</w:t>
            </w:r>
          </w:p>
        </w:tc>
      </w:tr>
      <w:tr w:rsidR="00685402" w14:paraId="20660737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6C4EA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POL-002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CED2B" w14:textId="77777777" w:rsidR="00685402" w:rsidRDefault="00000000">
            <w:pPr>
              <w:spacing w:after="0"/>
            </w:pPr>
            <w:hyperlink r:id="rId12">
              <w:r>
                <w:rPr>
                  <w:rFonts w:cs="Arial"/>
                  <w:color w:val="10497A"/>
                  <w:sz w:val="16"/>
                  <w:u w:val="single"/>
                </w:rPr>
                <w:t>National Adaptation Programme (NAP3) 2023–2028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37240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2BCBF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FA767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Translating CCRA marine risks into action would benefit from spatially explicit ocean-heat and MHW information to prioritise fisheries, aquaculture and habitat-resilience measures; the evidence exists but is not yet a defined NAP input.</w:t>
            </w:r>
          </w:p>
        </w:tc>
      </w:tr>
      <w:tr w:rsidR="00685402" w14:paraId="4E0969D8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F98EF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POL-001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AB509" w14:textId="77777777" w:rsidR="00685402" w:rsidRDefault="00000000">
            <w:pPr>
              <w:spacing w:after="0"/>
            </w:pPr>
            <w:hyperlink r:id="rId13">
              <w:r>
                <w:rPr>
                  <w:rFonts w:cs="Arial"/>
                  <w:color w:val="10497A"/>
                  <w:sz w:val="16"/>
                  <w:u w:val="single"/>
                </w:rPr>
                <w:t>Environmental Improvement Plan 2025 (marine environment goals)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FD430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C1EEF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BAD70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The EIP's clean-and-healthy-seas and marine-protected-site goals, and the associated EIF marine-condition indicators, are sensitive to ocean warming and MHWs. An MHW product could attribute temperature-driven condition change in the pelagic-habitat and fish/shellfish indicators; not yet an input.</w:t>
            </w:r>
          </w:p>
        </w:tc>
      </w:tr>
      <w:tr w:rsidR="00685402" w14:paraId="491FA3FA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E5A3C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POL-003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896AC" w14:textId="77777777" w:rsidR="00685402" w:rsidRDefault="00000000">
            <w:pPr>
              <w:spacing w:after="0"/>
            </w:pPr>
            <w:hyperlink r:id="rId14">
              <w:r>
                <w:rPr>
                  <w:rFonts w:cs="Arial"/>
                  <w:color w:val="10497A"/>
                  <w:sz w:val="16"/>
                  <w:u w:val="single"/>
                </w:rPr>
                <w:t>UK National Biodiversity Strategy and Action Plan 2025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92D62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EEDD4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6C711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Delivers GBF targets on climate-change pressure (Target 8) and invasive non-native species (Target 6). MHW and ocean-heat information could help anticipate thermally driven range shifts and which marine INNS become establishment-capable under UK warming.</w:t>
            </w:r>
          </w:p>
        </w:tc>
      </w:tr>
      <w:tr w:rsidR="00685402" w14:paraId="0EB7F6C4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28EA0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6840A" w14:textId="77777777" w:rsidR="00685402" w:rsidRDefault="00000000">
            <w:pPr>
              <w:spacing w:after="0"/>
            </w:pPr>
            <w:hyperlink r:id="rId15">
              <w:r>
                <w:rPr>
                  <w:rFonts w:cs="Arial"/>
                  <w:color w:val="10497A"/>
                  <w:sz w:val="16"/>
                  <w:u w:val="single"/>
                </w:rPr>
                <w:t>Aquaculture &amp; shellfish food-safety monitoring (Cefas – FSA / Food Standards Scotland; HABs and Vibrio)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44D65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A0CC3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84BFC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MHWs are linked to harmful algal blooms and elevated pathogenic </w:t>
            </w:r>
            <w:r>
              <w:rPr>
                <w:rFonts w:cs="Arial"/>
                <w:i/>
                <w:sz w:val="16"/>
              </w:rPr>
              <w:t>Vibrio</w:t>
            </w:r>
            <w:r>
              <w:rPr>
                <w:rFonts w:cs="Arial"/>
                <w:sz w:val="16"/>
              </w:rPr>
              <w:t xml:space="preserve"> in UK shellfish waters (Cefas, 2018 event). MHW forecasts could pre-warn biotoxin and </w:t>
            </w:r>
            <w:r>
              <w:rPr>
                <w:rFonts w:cs="Arial"/>
                <w:i/>
                <w:sz w:val="16"/>
              </w:rPr>
              <w:t>Vibrio</w:t>
            </w:r>
            <w:r>
              <w:rPr>
                <w:rFonts w:cs="Arial"/>
                <w:sz w:val="16"/>
              </w:rPr>
              <w:t xml:space="preserve"> risk for the biotoxin-monitoring and classification programmes protecting shellfisheries and public health. Operational process not held in the workbook (†).</w:t>
            </w:r>
          </w:p>
        </w:tc>
      </w:tr>
      <w:tr w:rsidR="00685402" w14:paraId="67357730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26630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POL-025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726FE" w14:textId="77777777" w:rsidR="00685402" w:rsidRDefault="00000000">
            <w:pPr>
              <w:spacing w:after="0"/>
            </w:pPr>
            <w:hyperlink r:id="rId16">
              <w:r>
                <w:rPr>
                  <w:rFonts w:cs="Arial"/>
                  <w:color w:val="10497A"/>
                  <w:sz w:val="16"/>
                  <w:u w:val="single"/>
                </w:rPr>
                <w:t>UK National Climate Science Partnership (UKNCSP)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F92CD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F829D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28719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Met Office-led coordinating mechanism for translating climate science into CCRA/NAP and policy. It is a natural, but as yet latent, route to channel operational ocean-heat/MHW outputs into marine policy — an enabler rather than a defined application.</w:t>
            </w:r>
          </w:p>
        </w:tc>
      </w:tr>
      <w:tr w:rsidR="00685402" w14:paraId="0777AE16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A539E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lastRenderedPageBreak/>
              <w:t>POL-026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68C72" w14:textId="77777777" w:rsidR="00685402" w:rsidRDefault="00000000">
            <w:pPr>
              <w:spacing w:after="0"/>
            </w:pPr>
            <w:hyperlink r:id="rId17">
              <w:r>
                <w:rPr>
                  <w:rFonts w:cs="Arial"/>
                  <w:color w:val="10497A"/>
                  <w:sz w:val="16"/>
                  <w:u w:val="single"/>
                </w:rPr>
                <w:t>Natural Capital &amp; Ecosystem Assessment (NCEA) Programme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6C629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CD715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3FF58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NCEA builds national marine and coastal natural-capital baselines of extent and condition. Ocean-heat and MHW exposure could feed a thermal-stress condition layer for marine habitats, but its use in condition accounts is not yet defined.</w:t>
            </w:r>
          </w:p>
        </w:tc>
      </w:tr>
      <w:tr w:rsidR="00685402" w14:paraId="0AD6DB17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E30AD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POL-059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E168B" w14:textId="77777777" w:rsidR="00685402" w:rsidRDefault="00000000">
            <w:pPr>
              <w:spacing w:after="0"/>
            </w:pPr>
            <w:hyperlink r:id="rId18">
              <w:r>
                <w:rPr>
                  <w:rFonts w:cs="Arial"/>
                  <w:color w:val="10497A"/>
                  <w:sz w:val="16"/>
                  <w:u w:val="single"/>
                </w:rPr>
                <w:t>UK Marine Policy Statement and Marine Plans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3A717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DF9F8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B660C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Marine spatial planning decisions (aquaculture siting, MPA management, developments) could screen thermal exposure and MHW risk; plausible but not an articulated function of the plans.</w:t>
            </w:r>
          </w:p>
        </w:tc>
      </w:tr>
      <w:tr w:rsidR="00685402" w14:paraId="76C4A163" w14:textId="77777777">
        <w:tc>
          <w:tcPr>
            <w:tcW w:w="9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FB714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POL-060</w:t>
            </w:r>
          </w:p>
        </w:tc>
        <w:tc>
          <w:tcPr>
            <w:tcW w:w="31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F5D2B" w14:textId="77777777" w:rsidR="00685402" w:rsidRDefault="00000000">
            <w:pPr>
              <w:spacing w:after="0"/>
            </w:pPr>
            <w:hyperlink r:id="rId19">
              <w:r>
                <w:rPr>
                  <w:rFonts w:cs="Arial"/>
                  <w:color w:val="10497A"/>
                  <w:sz w:val="16"/>
                  <w:u w:val="single"/>
                </w:rPr>
                <w:t>Highly Protected Marine Areas (HPMAs)</w:t>
              </w:r>
            </w:hyperlink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631D5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4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291D8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770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71E0A9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The three designated HPMAs (2023) and future sites aim to build ecosystem resilience, partly to climate change. MHW/thermal-exposure surfaces could inform siting and resilience monitoring of the network, but this is an inferred, not-yet-established use.</w:t>
            </w:r>
          </w:p>
        </w:tc>
      </w:tr>
      <w:tr w:rsidR="00685402" w14:paraId="06ACA44E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045AD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POL-022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E01A6" w14:textId="77777777" w:rsidR="00685402" w:rsidRDefault="00000000">
            <w:pPr>
              <w:spacing w:after="0"/>
            </w:pPr>
            <w:hyperlink r:id="rId20">
              <w:r>
                <w:rPr>
                  <w:rFonts w:cs="Arial"/>
                  <w:color w:val="10497A"/>
                  <w:sz w:val="16"/>
                  <w:u w:val="single"/>
                </w:rPr>
                <w:t>30×30 Technical Working Group (marine)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20443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A58B3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9CD7A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Marine protected-area network design toward 30×30 could account for warming and MHW exposure to improve network resilience; a marginal, unproven use at present.</w:t>
            </w:r>
          </w:p>
        </w:tc>
      </w:tr>
      <w:tr w:rsidR="00685402" w14:paraId="00F01219" w14:textId="77777777">
        <w:tc>
          <w:tcPr>
            <w:tcW w:w="9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7F5CA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31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D1BBA" w14:textId="77777777" w:rsidR="00685402" w:rsidRDefault="00000000">
            <w:pPr>
              <w:spacing w:after="0"/>
            </w:pPr>
            <w:hyperlink r:id="rId21">
              <w:r>
                <w:rPr>
                  <w:rFonts w:cs="Arial"/>
                  <w:color w:val="10497A"/>
                  <w:sz w:val="16"/>
                  <w:u w:val="single"/>
                </w:rPr>
                <w:t>UK Blue Carbon Evidence Partnership (UKBCEP)</w:t>
              </w:r>
            </w:hyperlink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D8424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4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31D2F" w14:textId="77777777" w:rsidR="00685402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770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3988D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MHWs damage seagrass and saltmarsh and can alter coastal-carbon fluxes. Ocean-heat information could contextualise blue-carbon condition and permanence risk, but the link to the partnership's evidence work is speculative. Operational activity not held in the workbook (†).</w:t>
            </w:r>
          </w:p>
        </w:tc>
      </w:tr>
    </w:tbl>
    <w:p w14:paraId="14F2F764" w14:textId="77777777" w:rsidR="00685402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Policy indicators</w:t>
      </w:r>
    </w:p>
    <w:p w14:paraId="4809748C" w14:textId="77777777" w:rsidR="00685402" w:rsidRDefault="00000000">
      <w:pPr>
        <w:spacing w:after="120"/>
      </w:pPr>
      <w:r>
        <w:rPr>
          <w:rFonts w:cs="Arial"/>
          <w:sz w:val="17"/>
        </w:rPr>
        <w:t xml:space="preserve">A scan of </w:t>
      </w:r>
      <w:r>
        <w:rPr>
          <w:rFonts w:cs="Arial"/>
          <w:i/>
          <w:sz w:val="17"/>
        </w:rPr>
        <w:t>indicators_climate_nature.xlsx</w:t>
      </w:r>
      <w:r>
        <w:rPr>
          <w:rFonts w:cs="Arial"/>
          <w:sz w:val="17"/>
        </w:rPr>
        <w:t xml:space="preserve"> across its framework sheets for indicators whose measured quantity a UK marine heatwave product could directly inform — ocean heat / marine-heatwave intensity, and temperature-driven marine habitat, plankton and fish-stock condition — complemented by a focused web scan for authoritative indicators absent from the workbook. Pure GIS-area or fishing-pressure indicators (e.g. protected-area extent at sea, proportion of stocks harvested sustainably) were excluded because their measured quantity takes no ocean-temperature input. Items marked † are not held in the indicators workbook.</w:t>
      </w:r>
    </w:p>
    <w:tbl>
      <w:tblPr>
        <w:tblW w:w="0" w:type="auto"/>
        <w:tblBorders>
          <w:top w:val="single" w:sz="2" w:space="0" w:color="C5D0D4"/>
          <w:left w:val="single" w:sz="2" w:space="0" w:color="C5D0D4"/>
          <w:bottom w:val="single" w:sz="2" w:space="0" w:color="C5D0D4"/>
          <w:right w:val="single" w:sz="2" w:space="0" w:color="C5D0D4"/>
          <w:insideH w:val="single" w:sz="2" w:space="0" w:color="C5D0D4"/>
          <w:insideV w:val="single" w:sz="2" w:space="0" w:color="C5D0D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5000"/>
        <w:gridCol w:w="3500"/>
        <w:gridCol w:w="4700"/>
      </w:tblGrid>
      <w:tr w:rsidR="00685402" w14:paraId="5D8C62CB" w14:textId="77777777">
        <w:trPr>
          <w:tblHeader/>
        </w:trPr>
        <w:tc>
          <w:tcPr>
            <w:tcW w:w="12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C8ED33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Indicator (ref)</w:t>
            </w:r>
          </w:p>
        </w:tc>
        <w:tc>
          <w:tcPr>
            <w:tcW w:w="50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08097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w="35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1EA23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Source framework</w:t>
            </w:r>
          </w:p>
        </w:tc>
        <w:tc>
          <w:tcPr>
            <w:tcW w:w="47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00CEB" w14:textId="77777777" w:rsidR="00685402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Current policy application(s)</w:t>
            </w:r>
          </w:p>
        </w:tc>
      </w:tr>
      <w:tr w:rsidR="00685402" w14:paraId="39BE6401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6F443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IND-B-162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5AB79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Ocean heat content and marine heatwaves in European seas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00179" w14:textId="77777777" w:rsidR="00685402" w:rsidRDefault="00000000">
            <w:pPr>
              <w:spacing w:after="0"/>
            </w:pPr>
            <w:hyperlink r:id="rId22">
              <w:r>
                <w:rPr>
                  <w:rFonts w:cs="Arial"/>
                  <w:color w:val="10497A"/>
                  <w:sz w:val="16"/>
                  <w:u w:val="single"/>
                </w:rPr>
                <w:t>EEA Biodiversity / climate indicators</w:t>
              </w:r>
            </w:hyperlink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5417F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 xml:space="preserve">EU Climate Adaptation Strategy / EEA state-of-environment reporting; UK analogue via MCCIP. </w:t>
            </w:r>
            <w:r>
              <w:rPr>
                <w:rFonts w:cs="Arial"/>
                <w:i/>
                <w:sz w:val="16"/>
              </w:rPr>
              <w:t>The product's measured quantity is this indicator.</w:t>
            </w:r>
          </w:p>
        </w:tc>
      </w:tr>
      <w:tr w:rsidR="00685402" w14:paraId="30150422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F3D0C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IND-C-103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5E886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Marine and coastal habitat extent and condition (UK)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63D7E" w14:textId="77777777" w:rsidR="00685402" w:rsidRDefault="00000000">
            <w:pPr>
              <w:spacing w:after="0"/>
            </w:pPr>
            <w:hyperlink r:id="rId23">
              <w:r>
                <w:rPr>
                  <w:rFonts w:cs="Arial"/>
                  <w:color w:val="10497A"/>
                  <w:sz w:val="16"/>
                  <w:u w:val="single"/>
                </w:rPr>
                <w:t>CCC Adaptation Monitoring Framework 2023–25</w:t>
              </w:r>
            </w:hyperlink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1B1F6" w14:textId="77777777" w:rsidR="00685402" w:rsidRDefault="00000000">
            <w:pPr>
              <w:spacing w:after="0"/>
            </w:pPr>
            <w:hyperlink r:id="rId24">
              <w:r>
                <w:rPr>
                  <w:rFonts w:cs="Arial"/>
                  <w:color w:val="10497A"/>
                  <w:sz w:val="16"/>
                  <w:u w:val="single"/>
                </w:rPr>
                <w:t>NAP3</w:t>
              </w:r>
            </w:hyperlink>
            <w:r>
              <w:rPr>
                <w:rFonts w:cs="Arial"/>
                <w:sz w:val="16"/>
              </w:rPr>
              <w:t xml:space="preserve"> / CCRA (Climate Change Act 2008, s.58)</w:t>
            </w:r>
          </w:p>
        </w:tc>
      </w:tr>
      <w:tr w:rsidR="00685402" w14:paraId="5887832A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C570E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IND-C-115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49198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Fish stock status and catches in UK waters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2686F" w14:textId="77777777" w:rsidR="00685402" w:rsidRDefault="00000000">
            <w:pPr>
              <w:spacing w:after="0"/>
            </w:pPr>
            <w:hyperlink r:id="rId25">
              <w:r>
                <w:rPr>
                  <w:rFonts w:cs="Arial"/>
                  <w:color w:val="10497A"/>
                  <w:sz w:val="16"/>
                  <w:u w:val="single"/>
                </w:rPr>
                <w:t>CCC Adaptation Monitoring Framework 2023–25</w:t>
              </w:r>
            </w:hyperlink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D3999" w14:textId="77777777" w:rsidR="00685402" w:rsidRDefault="00000000">
            <w:pPr>
              <w:spacing w:after="0"/>
            </w:pPr>
            <w:hyperlink r:id="rId26">
              <w:r>
                <w:rPr>
                  <w:rFonts w:cs="Arial"/>
                  <w:color w:val="10497A"/>
                  <w:sz w:val="16"/>
                  <w:u w:val="single"/>
                </w:rPr>
                <w:t>NAP3</w:t>
              </w:r>
            </w:hyperlink>
            <w:r>
              <w:rPr>
                <w:rFonts w:cs="Arial"/>
                <w:sz w:val="16"/>
              </w:rPr>
              <w:t xml:space="preserve"> / CCRA; Fisheries Act 2020</w:t>
            </w:r>
          </w:p>
        </w:tc>
      </w:tr>
      <w:tr w:rsidR="00685402" w14:paraId="4384FA92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FC144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IND-E-019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633D5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Diverse seas: condition of pelagic habitats (plankton community state)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F3BF6" w14:textId="77777777" w:rsidR="00685402" w:rsidRDefault="00000000">
            <w:pPr>
              <w:spacing w:after="0"/>
            </w:pPr>
            <w:hyperlink r:id="rId27">
              <w:r>
                <w:rPr>
                  <w:rFonts w:cs="Arial"/>
                  <w:color w:val="10497A"/>
                  <w:sz w:val="16"/>
                  <w:u w:val="single"/>
                </w:rPr>
                <w:t>Environmental Indicator Framework (EIF)</w:t>
              </w:r>
            </w:hyperlink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C0E15" w14:textId="77777777" w:rsidR="00685402" w:rsidRDefault="00000000">
            <w:pPr>
              <w:spacing w:after="0"/>
            </w:pPr>
            <w:hyperlink r:id="rId28">
              <w:r>
                <w:rPr>
                  <w:rFonts w:cs="Arial"/>
                  <w:color w:val="10497A"/>
                  <w:sz w:val="16"/>
                  <w:u w:val="single"/>
                </w:rPr>
                <w:t>EIP 2025</w:t>
              </w:r>
            </w:hyperlink>
            <w:r>
              <w:rPr>
                <w:rFonts w:cs="Arial"/>
                <w:sz w:val="16"/>
              </w:rPr>
              <w:t xml:space="preserve"> (Environment Act 2021); UK Marine Strategy GES</w:t>
            </w:r>
          </w:p>
        </w:tc>
      </w:tr>
      <w:tr w:rsidR="00685402" w14:paraId="237D21B0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D7CB1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IND-J-035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58158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Pressure from climate change on biodiversity (species range exposure)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FEE26" w14:textId="77777777" w:rsidR="00685402" w:rsidRDefault="00000000">
            <w:pPr>
              <w:spacing w:after="0"/>
            </w:pPr>
            <w:hyperlink r:id="rId29">
              <w:r>
                <w:rPr>
                  <w:rFonts w:cs="Arial"/>
                  <w:color w:val="10497A"/>
                  <w:sz w:val="16"/>
                  <w:u w:val="single"/>
                </w:rPr>
                <w:t>JNCC UK Biodiversity Indicators 2025</w:t>
              </w:r>
            </w:hyperlink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101833" w14:textId="77777777" w:rsidR="00685402" w:rsidRDefault="00000000">
            <w:pPr>
              <w:spacing w:after="0"/>
            </w:pPr>
            <w:hyperlink r:id="rId30">
              <w:r>
                <w:rPr>
                  <w:rFonts w:cs="Arial"/>
                  <w:color w:val="10497A"/>
                  <w:sz w:val="16"/>
                  <w:u w:val="single"/>
                </w:rPr>
                <w:t>NBSAP 2025</w:t>
              </w:r>
            </w:hyperlink>
            <w:r>
              <w:rPr>
                <w:rFonts w:cs="Arial"/>
                <w:sz w:val="16"/>
              </w:rPr>
              <w:t>; Environment Act 2021 targets</w:t>
            </w:r>
          </w:p>
        </w:tc>
      </w:tr>
      <w:tr w:rsidR="00685402" w14:paraId="6FD82FDA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22984" w14:textId="77777777" w:rsidR="00685402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F78DB" w14:textId="77777777" w:rsidR="00685402" w:rsidRDefault="00000000">
            <w:pPr>
              <w:spacing w:after="0"/>
            </w:pPr>
            <w:hyperlink r:id="rId31">
              <w:r>
                <w:rPr>
                  <w:rFonts w:cs="Arial"/>
                  <w:color w:val="10497A"/>
                  <w:sz w:val="16"/>
                  <w:u w:val="single"/>
                </w:rPr>
                <w:t>MCCIP sea-temperature evidence update</w:t>
              </w:r>
            </w:hyperlink>
            <w:r>
              <w:rPr>
                <w:rFonts w:cs="Arial"/>
                <w:sz w:val="16"/>
              </w:rPr>
              <w:t xml:space="preserve"> — UK &amp; Ireland sea temperature (rolling evidence update; Annual Summary 2025). Met Office-supplied; overlaps EEA IND-B-162.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C437A" w14:textId="77777777" w:rsidR="00685402" w:rsidRDefault="00000000">
            <w:pPr>
              <w:spacing w:after="0"/>
            </w:pPr>
            <w:r>
              <w:rPr>
                <w:rFonts w:cs="Arial"/>
                <w:sz w:val="16"/>
              </w:rPr>
              <w:t>MCCIP rolling evidence updates (web scan; not in workbook)</w:t>
            </w:r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55199" w14:textId="77777777" w:rsidR="00685402" w:rsidRDefault="00000000">
            <w:pPr>
              <w:spacing w:after="0"/>
            </w:pPr>
            <w:hyperlink r:id="rId32">
              <w:r>
                <w:rPr>
                  <w:rFonts w:cs="Arial"/>
                  <w:color w:val="10497A"/>
                  <w:sz w:val="16"/>
                  <w:u w:val="single"/>
                </w:rPr>
                <w:t>UK Marine Strategy Part One 2025</w:t>
              </w:r>
            </w:hyperlink>
            <w:r>
              <w:rPr>
                <w:rFonts w:cs="Arial"/>
                <w:sz w:val="16"/>
              </w:rPr>
              <w:t xml:space="preserve"> GES assessment; MCCIP report cards</w:t>
            </w:r>
          </w:p>
        </w:tc>
      </w:tr>
    </w:tbl>
    <w:p w14:paraId="53B0A3CC" w14:textId="77777777" w:rsidR="00685402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lastRenderedPageBreak/>
        <w:t>Methods</w:t>
      </w:r>
    </w:p>
    <w:p w14:paraId="3A88AEA3" w14:textId="77777777" w:rsidR="00685402" w:rsidRDefault="00000000">
      <w:pPr>
        <w:pStyle w:val="ListNumber"/>
        <w:spacing w:after="80"/>
      </w:pPr>
      <w:r>
        <w:rPr>
          <w:rFonts w:cs="Arial"/>
          <w:b/>
          <w:sz w:val="17"/>
        </w:rPr>
        <w:t>Capability scoped from external evidence</w:t>
      </w:r>
      <w:r>
        <w:rPr>
          <w:rFonts w:cs="Arial"/>
          <w:sz w:val="17"/>
        </w:rPr>
        <w:t>, not from MO outputs: the supplied bibliography is a marine-heatwave topic reading list, used to establish which MHW applications are demonstrated elsewhere (fisheries distribution, habitat/seagrass damage, blue-carbon and compound/sub-surface events) and how mature each is for UK policy use.</w:t>
      </w:r>
    </w:p>
    <w:p w14:paraId="28A081C7" w14:textId="77777777" w:rsidR="00685402" w:rsidRDefault="00000000">
      <w:pPr>
        <w:pStyle w:val="ListNumber"/>
        <w:spacing w:after="80"/>
      </w:pPr>
      <w:r>
        <w:rPr>
          <w:rFonts w:cs="Arial"/>
          <w:b/>
          <w:sz w:val="17"/>
        </w:rPr>
        <w:t>MO/partner capability characterised</w:t>
      </w:r>
      <w:r>
        <w:rPr>
          <w:rFonts w:cs="Arial"/>
          <w:sz w:val="17"/>
        </w:rPr>
        <w:t xml:space="preserve"> by inspecting MO, Cefas, Copernicus and EEA pages (accessed July 2026): OSTIA SST analysis, the FOAM / Copernicus Marine North-West Shelf system (3D temperature), the ESA SST_cci record, MO regional coupled prediction of MHW impacts on UK weather (2024), and the Cefas–MO </w:t>
      </w:r>
      <w:r>
        <w:rPr>
          <w:rFonts w:cs="Arial"/>
          <w:i/>
          <w:sz w:val="17"/>
        </w:rPr>
        <w:t>40 priority questions</w:t>
      </w:r>
      <w:r>
        <w:rPr>
          <w:rFonts w:cs="Arial"/>
          <w:sz w:val="17"/>
        </w:rPr>
        <w:t xml:space="preserve"> MHW horizon-scan (npj Ocean Sustainability 2025).</w:t>
      </w:r>
    </w:p>
    <w:p w14:paraId="309F6B9D" w14:textId="77777777" w:rsidR="00685402" w:rsidRDefault="00000000">
      <w:pPr>
        <w:pStyle w:val="ListNumber"/>
        <w:spacing w:after="80"/>
      </w:pPr>
      <w:r>
        <w:rPr>
          <w:rFonts w:cs="Arial"/>
          <w:b/>
          <w:sz w:val="17"/>
        </w:rPr>
        <w:t>Policy candidates</w:t>
      </w:r>
      <w:r>
        <w:rPr>
          <w:rFonts w:cs="Arial"/>
          <w:sz w:val="17"/>
        </w:rPr>
        <w:t xml:space="preserve"> drawn from a full sweep of the governance workbook's Policies &amp; Activities sheet (uk_climate_nature_governance v18, 64 records; POL IDs stable across versions): screened across the Marine &amp; Fisheries, Nature, Climate, Water and Land sectors for a plausible ocean-temperature dependency. Supplemented with operational marine activities absent from the workbook — the Fisheries Act 2020 climate objective / Joint Fisheries Statement &amp; FMPs, aquaculture food-safety (HAB/</w:t>
      </w:r>
      <w:r>
        <w:rPr>
          <w:rFonts w:cs="Arial"/>
          <w:i/>
          <w:sz w:val="17"/>
        </w:rPr>
        <w:t>Vibrio</w:t>
      </w:r>
      <w:r>
        <w:rPr>
          <w:rFonts w:cs="Arial"/>
          <w:sz w:val="17"/>
        </w:rPr>
        <w:t>) monitoring, and the UK Blue Carbon Evidence Partnership — marked †. Purely terrestrial and non-marine records were excluded as out of scope.</w:t>
      </w:r>
    </w:p>
    <w:p w14:paraId="6EF021FA" w14:textId="77777777" w:rsidR="00685402" w:rsidRDefault="00000000">
      <w:pPr>
        <w:pStyle w:val="ListNumber"/>
        <w:spacing w:after="80"/>
      </w:pPr>
      <w:r>
        <w:rPr>
          <w:rFonts w:cs="Arial"/>
          <w:b/>
          <w:sz w:val="17"/>
        </w:rPr>
        <w:t>Scoring</w:t>
      </w:r>
      <w:r>
        <w:rPr>
          <w:rFonts w:cs="Arial"/>
          <w:sz w:val="17"/>
        </w:rPr>
        <w:t xml:space="preserve"> used two independent axes. </w:t>
      </w:r>
      <w:r>
        <w:rPr>
          <w:rFonts w:cs="Arial"/>
          <w:i/>
          <w:sz w:val="17"/>
        </w:rPr>
        <w:t>Relevance</w:t>
      </w:r>
      <w:r>
        <w:rPr>
          <w:rFonts w:cs="Arial"/>
          <w:sz w:val="17"/>
        </w:rPr>
        <w:t xml:space="preserve"> (materiality of a UK MHW product to the policy): central input = 3; supporting evidence layer = 2; marginal/indirect = 1. </w:t>
      </w:r>
      <w:r>
        <w:rPr>
          <w:rFonts w:cs="Arial"/>
          <w:i/>
          <w:sz w:val="17"/>
        </w:rPr>
        <w:t>Maturity</w:t>
      </w:r>
      <w:r>
        <w:rPr>
          <w:rFonts w:cs="Arial"/>
          <w:sz w:val="17"/>
        </w:rPr>
        <w:t>: Demonstrated where the application is proven elsewhere or already used and transferable; Emerging where partial evidence needs UK development; Conceptual where the use is plausible but unproven. Kept separate so a high-value-but-immature application (e.g. Fisheries Act/FMPs) is not mistaken for a low-relevance one.</w:t>
      </w:r>
    </w:p>
    <w:p w14:paraId="0D5459A7" w14:textId="77777777" w:rsidR="00685402" w:rsidRDefault="00000000">
      <w:pPr>
        <w:pStyle w:val="ListNumber"/>
        <w:spacing w:after="80"/>
      </w:pPr>
      <w:r>
        <w:rPr>
          <w:rFonts w:cs="Arial"/>
          <w:b/>
          <w:sz w:val="17"/>
        </w:rPr>
        <w:t>Indicator scan</w:t>
      </w:r>
      <w:r>
        <w:rPr>
          <w:rFonts w:cs="Arial"/>
          <w:sz w:val="17"/>
        </w:rPr>
        <w:t xml:space="preserve"> of indicators_climate_nature.xlsx across its framework sheets, keyword-filtered for marine, sea-surface/ocean temperature, heatwave and fish/plankton, then narrowed to indicators whose measured quantity an MHW product could directly inform (ocean heat/MHW intensity, temperature-driven habitat/plankton/fish-stock condition); protected-area-extent and fishing-pressure indicators were excluded because their measured quantity takes no ocean-temperature input. A focused web scan for authoritative indicators absent from the workbook found the MCCIP UK &amp; Ireland sea-temperature evidence update (overlaps EEA IND-B-162), marked †.</w:t>
      </w:r>
    </w:p>
    <w:p w14:paraId="78000972" w14:textId="77777777" w:rsidR="00685402" w:rsidRDefault="00000000">
      <w:pPr>
        <w:spacing w:before="80" w:after="60"/>
      </w:pPr>
      <w:r>
        <w:rPr>
          <w:rFonts w:cs="Arial"/>
          <w:b/>
          <w:color w:val="08414C"/>
        </w:rPr>
        <w:t>Main gaps and caveats</w:t>
      </w:r>
    </w:p>
    <w:p w14:paraId="347759F1" w14:textId="77777777" w:rsidR="00685402" w:rsidRDefault="00000000">
      <w:pPr>
        <w:spacing w:after="120"/>
      </w:pPr>
      <w:r>
        <w:rPr>
          <w:rFonts w:cs="Arial"/>
          <w:sz w:val="17"/>
        </w:rPr>
        <w:t xml:space="preserve">Three structural caveats. First, the bibliography is an external MHW reading list, not an MO publication list, so MO capability was scoped from MO/Cefas/Copernicus/EEA sources rather than the file. Second, the underpinning data (OSTIA, FOAM/CMEMS North-West Shelf, ESA SST_cci) already exist and MHW </w:t>
      </w:r>
      <w:r>
        <w:rPr>
          <w:rFonts w:cs="Arial"/>
          <w:i/>
          <w:sz w:val="17"/>
        </w:rPr>
        <w:t>monitoring</w:t>
      </w:r>
      <w:r>
        <w:rPr>
          <w:rFonts w:cs="Arial"/>
          <w:sz w:val="17"/>
        </w:rPr>
        <w:t xml:space="preserve"> is Demonstrated; what is prospective is an </w:t>
      </w:r>
      <w:r>
        <w:rPr>
          <w:rFonts w:cs="Arial"/>
          <w:b/>
          <w:sz w:val="17"/>
        </w:rPr>
        <w:t>operational, categorised, forecast, policy-facing MHW product</w:t>
      </w:r>
      <w:r>
        <w:rPr>
          <w:rFonts w:cs="Arial"/>
          <w:sz w:val="17"/>
        </w:rPr>
        <w:t>, so most policy links here are Emerging or Conceptual rather than Current. Third, three of the highest-value marine activities are operational processes not held in the governance workbook — the Fisheries Act 2020 climate objective / Joint Fisheries Statement &amp; FMPs, aquaculture food-safety (HAB/</w:t>
      </w:r>
      <w:r>
        <w:rPr>
          <w:rFonts w:cs="Arial"/>
          <w:i/>
          <w:sz w:val="17"/>
        </w:rPr>
        <w:t>Vibrio</w:t>
      </w:r>
      <w:r>
        <w:rPr>
          <w:rFonts w:cs="Arial"/>
          <w:sz w:val="17"/>
        </w:rPr>
        <w:t>) monitoring, and the UK Blue Carbon Evidence Partnership (marked †) — and are arguably worth adding as records. The HPMA, Marine Policy Statement/Plans, NCEA and blue-carbon links are credible but inferred, not yet evidenced in current policy text (Conceptual, lower confidence). Sub-surface and seafloor MHWs are a known monitoring gap even for the demonstrated uses.</w:t>
      </w:r>
    </w:p>
    <w:p w14:paraId="61C2523C" w14:textId="77777777" w:rsidR="00685402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References</w:t>
      </w:r>
    </w:p>
    <w:p w14:paraId="76D99FE9" w14:textId="77777777" w:rsidR="00685402" w:rsidRDefault="00000000">
      <w:pPr>
        <w:spacing w:after="60"/>
      </w:pPr>
      <w:r>
        <w:rPr>
          <w:rFonts w:cs="Arial"/>
          <w:b/>
          <w:color w:val="08414C"/>
        </w:rPr>
        <w:t>Evidence base (external literature)</w:t>
      </w:r>
    </w:p>
    <w:p w14:paraId="15D89EDD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Holbrook, N.J., et al. (2019) A global assessment of marine heatwaves and their drivers. </w:t>
      </w:r>
      <w:r>
        <w:rPr>
          <w:rFonts w:cs="Arial"/>
          <w:i/>
          <w:sz w:val="16"/>
        </w:rPr>
        <w:t>Nature Communications</w:t>
      </w:r>
      <w:r>
        <w:rPr>
          <w:rFonts w:cs="Arial"/>
          <w:sz w:val="16"/>
        </w:rPr>
        <w:t xml:space="preserve"> 10, 2624.</w:t>
      </w:r>
    </w:p>
    <w:p w14:paraId="32534972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Oliver, E.C.J., et al. (2018) Longer and more frequent marine heatwaves over the past century. </w:t>
      </w:r>
      <w:r>
        <w:rPr>
          <w:rFonts w:cs="Arial"/>
          <w:i/>
          <w:sz w:val="16"/>
        </w:rPr>
        <w:t>Nature Communications</w:t>
      </w:r>
      <w:r>
        <w:rPr>
          <w:rFonts w:cs="Arial"/>
          <w:sz w:val="16"/>
        </w:rPr>
        <w:t xml:space="preserve"> 9, 1324.</w:t>
      </w:r>
    </w:p>
    <w:p w14:paraId="403566FE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Cornes, R.C., et al. (2025) Climate change impacts on temperature around the UK and Ireland. </w:t>
      </w:r>
      <w:r>
        <w:rPr>
          <w:rFonts w:cs="Arial"/>
          <w:i/>
          <w:sz w:val="16"/>
        </w:rPr>
        <w:t>MCCIP Science Review</w:t>
      </w:r>
      <w:r>
        <w:rPr>
          <w:rFonts w:cs="Arial"/>
          <w:sz w:val="16"/>
        </w:rPr>
        <w:t xml:space="preserve"> (rolling evidence update).</w:t>
      </w:r>
    </w:p>
    <w:p w14:paraId="5BBCEA2D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Plecha, S.M., Soares, P.M.M., Silva-Fernandes, S.M., et al. (2021) On the uncertainty of future projections of marine heatwave events in the North Atlantic Ocean. </w:t>
      </w:r>
      <w:r>
        <w:rPr>
          <w:rFonts w:cs="Arial"/>
          <w:i/>
          <w:sz w:val="16"/>
        </w:rPr>
        <w:t>Climate Dynamics</w:t>
      </w:r>
      <w:r>
        <w:rPr>
          <w:rFonts w:cs="Arial"/>
          <w:sz w:val="16"/>
        </w:rPr>
        <w:t xml:space="preserve"> 56, 2027–2056.</w:t>
      </w:r>
    </w:p>
    <w:p w14:paraId="79709A42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Dzwonkowski, B., Coogan, J., Fournier, S., et al. (2020) Compounding impact of severe weather events fuels marine heatwave in the coastal ocean. </w:t>
      </w:r>
      <w:r>
        <w:rPr>
          <w:rFonts w:cs="Arial"/>
          <w:i/>
          <w:sz w:val="16"/>
        </w:rPr>
        <w:t>Nature Communications</w:t>
      </w:r>
      <w:r>
        <w:rPr>
          <w:rFonts w:cs="Arial"/>
          <w:sz w:val="16"/>
        </w:rPr>
        <w:t xml:space="preserve"> 11, 4623.</w:t>
      </w:r>
    </w:p>
    <w:p w14:paraId="6FDAD4FA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Jung, E.M.U., Abdul Majeed, N.A.B., Booth, M.W., et al. (2023) Marine heatwave and reduced light scenarios cause species-specific metabolomic changes in seagrasses under ocean warming. </w:t>
      </w:r>
      <w:r>
        <w:rPr>
          <w:rFonts w:cs="Arial"/>
          <w:i/>
          <w:sz w:val="16"/>
        </w:rPr>
        <w:t>New Phytologist</w:t>
      </w:r>
      <w:r>
        <w:rPr>
          <w:rFonts w:cs="Arial"/>
          <w:sz w:val="16"/>
        </w:rPr>
        <w:t xml:space="preserve"> 237, 1836–1851.</w:t>
      </w:r>
    </w:p>
    <w:p w14:paraId="39297687" w14:textId="77777777" w:rsidR="00685402" w:rsidRDefault="00000000">
      <w:pPr>
        <w:pStyle w:val="ListNumber"/>
        <w:spacing w:after="60"/>
      </w:pPr>
      <w:r>
        <w:rPr>
          <w:rFonts w:cs="Arial"/>
          <w:sz w:val="16"/>
        </w:rPr>
        <w:t xml:space="preserve">Ford, D.J., Nair, S.P., Oglethorpe, K., et al. (2025) Regionally different marine heatwave ocean carbon sink responses are consistent with carbonate understanding. </w:t>
      </w:r>
      <w:r>
        <w:rPr>
          <w:rFonts w:cs="Arial"/>
          <w:i/>
          <w:sz w:val="16"/>
        </w:rPr>
        <w:t>Environmental Research Communications</w:t>
      </w:r>
      <w:r>
        <w:rPr>
          <w:rFonts w:cs="Arial"/>
          <w:sz w:val="16"/>
        </w:rPr>
        <w:t>.</w:t>
      </w:r>
    </w:p>
    <w:p w14:paraId="06B4EEB1" w14:textId="77777777" w:rsidR="00685402" w:rsidRDefault="00000000">
      <w:pPr>
        <w:spacing w:before="120" w:after="60"/>
      </w:pPr>
      <w:r>
        <w:rPr>
          <w:rFonts w:cs="Arial"/>
          <w:b/>
          <w:color w:val="08414C"/>
        </w:rPr>
        <w:t>Met Office / partner capability and other sources</w:t>
      </w:r>
    </w:p>
    <w:p w14:paraId="6635A103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 xml:space="preserve">Met Office, Operational Sea Surface Temperature and Ice Analysis (OSTIA) and FOAM / Copernicus Marine North-West Shelf ocean forecasting. </w:t>
      </w:r>
      <w:hyperlink r:id="rId33">
        <w:r>
          <w:rPr>
            <w:rFonts w:cs="Arial"/>
            <w:color w:val="10497A"/>
            <w:sz w:val="16"/>
            <w:u w:val="single"/>
          </w:rPr>
          <w:t>metoffice.gov.uk/research/weather/ocean-forecasting</w:t>
        </w:r>
      </w:hyperlink>
    </w:p>
    <w:p w14:paraId="326EF071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 xml:space="preserve">ESA Climate Change Initiative — Sea Surface Temperature (SST_cci); Met Office science lead. </w:t>
      </w:r>
      <w:hyperlink r:id="rId34">
        <w:r>
          <w:rPr>
            <w:rFonts w:cs="Arial"/>
            <w:color w:val="10497A"/>
            <w:sz w:val="16"/>
            <w:u w:val="single"/>
          </w:rPr>
          <w:t>climate.esa.int/.../sea-surface-temperature</w:t>
        </w:r>
      </w:hyperlink>
    </w:p>
    <w:p w14:paraId="650AFEA8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lastRenderedPageBreak/>
        <w:t xml:space="preserve">Pinnegar, J.K., Rowland, C., et al. (2025) 40 priority questions to advance understanding of the risks and opportunities of UK marine heatwaves. </w:t>
      </w:r>
      <w:r>
        <w:rPr>
          <w:rFonts w:cs="Arial"/>
          <w:i/>
          <w:sz w:val="16"/>
        </w:rPr>
        <w:t>npj Ocean Sustainability</w:t>
      </w:r>
      <w:r>
        <w:rPr>
          <w:rFonts w:cs="Arial"/>
          <w:sz w:val="16"/>
        </w:rPr>
        <w:t xml:space="preserve"> 4, 20. </w:t>
      </w:r>
      <w:hyperlink r:id="rId35">
        <w:r>
          <w:rPr>
            <w:rFonts w:cs="Arial"/>
            <w:color w:val="10497A"/>
            <w:sz w:val="16"/>
            <w:u w:val="single"/>
          </w:rPr>
          <w:t>nature.com/articles/s44183-025-00171-0</w:t>
        </w:r>
      </w:hyperlink>
    </w:p>
    <w:p w14:paraId="71D86A8A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Defra Marine Science blog (26 Sep 2024) Turning up the heat: advancing UK science to better predict and respond to marine heatwaves (Cefas / Met Office).</w:t>
      </w:r>
    </w:p>
    <w:p w14:paraId="167C2579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Met Office (2025/2026) Waters surrounding UK gripped by prolonged marine heatwave; Long-lasting UK marine heatwave likely to reach extreme levels (media centre); National Oceanography Centre rolling updates.</w:t>
      </w:r>
    </w:p>
    <w:p w14:paraId="33B657AB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 xml:space="preserve">MCCIP (2025) Annual Summary 2025 and Sea Temperature rolling evidence update (Oct 2025). </w:t>
      </w:r>
      <w:hyperlink r:id="rId36">
        <w:r>
          <w:rPr>
            <w:rFonts w:cs="Arial"/>
            <w:color w:val="10497A"/>
            <w:sz w:val="16"/>
            <w:u w:val="single"/>
          </w:rPr>
          <w:t>mccip.org.uk/recent-updates</w:t>
        </w:r>
      </w:hyperlink>
    </w:p>
    <w:p w14:paraId="754E0440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Defra (2025) Marine strategy part three: 2025 UK programme of measures; UK Marine Strategy Part One Update 2025 consultation (GOV.UK).</w:t>
      </w:r>
    </w:p>
    <w:p w14:paraId="4D05EFE1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Fisheries Act 2020 (c.22) and Joint Fisheries Statement 2022 (legislation.gov.uk / GOV.UK).</w:t>
      </w:r>
    </w:p>
    <w:p w14:paraId="77D0627A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EEA, European sea surface temperature and open-ocean marine-heatwave indicators; Copernicus C3S European State of the Climate 2024 — European Ocean.</w:t>
      </w:r>
    </w:p>
    <w:p w14:paraId="105ED710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uk_climate_nature_governance.xlsx (v18), Policies &amp; Activities sheet (links from the Link column).</w:t>
      </w:r>
    </w:p>
    <w:p w14:paraId="216D3424" w14:textId="77777777" w:rsidR="00685402" w:rsidRDefault="00000000">
      <w:pPr>
        <w:pStyle w:val="ListBullet"/>
        <w:spacing w:after="60"/>
      </w:pPr>
      <w:r>
        <w:rPr>
          <w:rFonts w:cs="Arial"/>
          <w:sz w:val="16"/>
        </w:rPr>
        <w:t>indicators_climate_nature.xlsx, framework indicator sheets (EIF, CCC, JNCC, EEA).</w:t>
      </w:r>
    </w:p>
    <w:sectPr w:rsidR="00685402" w:rsidSect="00034616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5840" w:h="12240" w:orient="landscape"/>
      <w:pgMar w:top="1080" w:right="720" w:bottom="900" w:left="720" w:header="54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409F6C" w14:textId="77777777" w:rsidR="00B06BEA" w:rsidRDefault="00B06BEA">
      <w:pPr>
        <w:spacing w:after="0" w:line="240" w:lineRule="auto"/>
      </w:pPr>
      <w:r>
        <w:separator/>
      </w:r>
    </w:p>
  </w:endnote>
  <w:endnote w:type="continuationSeparator" w:id="0">
    <w:p w14:paraId="7BF459D3" w14:textId="77777777" w:rsidR="00B06BEA" w:rsidRDefault="00B0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B2F38" w14:textId="77777777" w:rsidR="00B64F38" w:rsidRDefault="00B64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FD9838" w14:textId="77777777" w:rsidR="00685402" w:rsidRDefault="00000000">
    <w:pPr>
      <w:pStyle w:val="Footer"/>
      <w:pBdr>
        <w:top w:val="single" w:sz="4" w:space="4" w:color="C5D0D4"/>
      </w:pBdr>
      <w:tabs>
        <w:tab w:val="right" w:pos="14400"/>
      </w:tabs>
    </w:pPr>
    <w:r>
      <w:rPr>
        <w:rFonts w:cs="Arial"/>
        <w:color w:val="5A6B73"/>
        <w:sz w:val="14"/>
      </w:rPr>
      <w:t xml:space="preserve">Prospective product · evidence base external · governance refs </w:t>
    </w:r>
    <w:proofErr w:type="spellStart"/>
    <w:r>
      <w:rPr>
        <w:rFonts w:cs="Arial"/>
        <w:color w:val="5A6B73"/>
        <w:sz w:val="14"/>
      </w:rPr>
      <w:t>uk_climate_nature_governance</w:t>
    </w:r>
    <w:proofErr w:type="spellEnd"/>
    <w:r>
      <w:rPr>
        <w:rFonts w:cs="Arial"/>
        <w:color w:val="5A6B73"/>
        <w:sz w:val="14"/>
      </w:rPr>
      <w:t xml:space="preserve"> v18</w:t>
    </w:r>
    <w:r>
      <w:rPr>
        <w:rFonts w:cs="Arial"/>
        <w:color w:val="5A6B73"/>
        <w:sz w:val="14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64F38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4A110" w14:textId="77777777" w:rsidR="00B64F38" w:rsidRDefault="00B64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7DED1D" w14:textId="77777777" w:rsidR="00B06BEA" w:rsidRDefault="00B06BEA">
      <w:pPr>
        <w:spacing w:after="0" w:line="240" w:lineRule="auto"/>
      </w:pPr>
      <w:r>
        <w:separator/>
      </w:r>
    </w:p>
  </w:footnote>
  <w:footnote w:type="continuationSeparator" w:id="0">
    <w:p w14:paraId="5A39AC90" w14:textId="77777777" w:rsidR="00B06BEA" w:rsidRDefault="00B06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AC537B" w14:textId="77777777" w:rsidR="00B64F38" w:rsidRDefault="00B64F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49CD78" w14:textId="1F50DD9C" w:rsidR="00685402" w:rsidRPr="00B64F38" w:rsidRDefault="00B64F38" w:rsidP="00B64F38">
    <w:pPr>
      <w:pStyle w:val="Header"/>
      <w:rPr>
        <w:rFonts w:cs="Arial"/>
        <w:color w:val="5A6B73"/>
        <w:sz w:val="15"/>
      </w:rPr>
    </w:pPr>
    <w:r w:rsidRPr="00B64F38">
      <w:rPr>
        <w:rFonts w:cs="Arial"/>
        <w:b/>
        <w:color w:val="5A6B73"/>
        <w:sz w:val="15"/>
      </w:rPr>
      <w:t>Mapping the UK Climate &amp; Nature Policy Landscape for a new UK marine heatwave product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0AD088" w14:textId="77777777" w:rsidR="00B64F38" w:rsidRDefault="00B64F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009479">
    <w:abstractNumId w:val="8"/>
  </w:num>
  <w:num w:numId="2" w16cid:durableId="1604805875">
    <w:abstractNumId w:val="6"/>
  </w:num>
  <w:num w:numId="3" w16cid:durableId="1503163453">
    <w:abstractNumId w:val="5"/>
  </w:num>
  <w:num w:numId="4" w16cid:durableId="1821145897">
    <w:abstractNumId w:val="4"/>
  </w:num>
  <w:num w:numId="5" w16cid:durableId="850724939">
    <w:abstractNumId w:val="7"/>
  </w:num>
  <w:num w:numId="6" w16cid:durableId="1620062486">
    <w:abstractNumId w:val="3"/>
  </w:num>
  <w:num w:numId="7" w16cid:durableId="1557472841">
    <w:abstractNumId w:val="2"/>
  </w:num>
  <w:num w:numId="8" w16cid:durableId="530460104">
    <w:abstractNumId w:val="1"/>
  </w:num>
  <w:num w:numId="9" w16cid:durableId="3635966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CC8"/>
    <w:rsid w:val="0029639D"/>
    <w:rsid w:val="00326F90"/>
    <w:rsid w:val="00685402"/>
    <w:rsid w:val="00AA1D8D"/>
    <w:rsid w:val="00B06BEA"/>
    <w:rsid w:val="00B47730"/>
    <w:rsid w:val="00B64F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B560E"/>
  <w14:defaultImageDpi w14:val="300"/>
  <w15:docId w15:val="{C5EF8C55-5063-4D42-A1B8-4E5E7F34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A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uk/government/publications/environmental-improvement-plan" TargetMode="External"/><Relationship Id="rId18" Type="http://schemas.openxmlformats.org/officeDocument/2006/relationships/hyperlink" Target="https://www.gov.uk/government/publications/uk-marine-policy-statement" TargetMode="External"/><Relationship Id="rId26" Type="http://schemas.openxmlformats.org/officeDocument/2006/relationships/hyperlink" Target="https://www.gov.uk/government/publications/third-national-adaptation-programme-nap3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uk-bcep.org/" TargetMode="External"/><Relationship Id="rId34" Type="http://schemas.openxmlformats.org/officeDocument/2006/relationships/hyperlink" Target="https://climate.esa.int/en/projects/sea-surface-temperature/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ukncsp.org" TargetMode="External"/><Relationship Id="rId20" Type="http://schemas.openxmlformats.org/officeDocument/2006/relationships/hyperlink" Target="https://www.gov.uk/government/publications/30by30-on-land-in-england" TargetMode="External"/><Relationship Id="rId29" Type="http://schemas.openxmlformats.org/officeDocument/2006/relationships/hyperlink" Target="https://jncc.gov.uk/our-work/uk-biodiversity-indicators/" TargetMode="Externa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uk/government/publications/climate-change-risk-assessment-2022" TargetMode="External"/><Relationship Id="rId24" Type="http://schemas.openxmlformats.org/officeDocument/2006/relationships/hyperlink" Target="https://www.gov.uk/government/publications/third-national-adaptation-programme-nap3" TargetMode="External"/><Relationship Id="rId32" Type="http://schemas.openxmlformats.org/officeDocument/2006/relationships/hyperlink" Target="https://www.gov.uk/government/consultations/uk-marine-strategy-part-one-update-2025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cefas.co.uk/" TargetMode="External"/><Relationship Id="rId23" Type="http://schemas.openxmlformats.org/officeDocument/2006/relationships/hyperlink" Target="https://www.theccc.org.uk/publication/progress-in-adapting-to-climate-change-2025/" TargetMode="External"/><Relationship Id="rId28" Type="http://schemas.openxmlformats.org/officeDocument/2006/relationships/hyperlink" Target="https://www.gov.uk/government/publications/environmental-improvement-plan" TargetMode="External"/><Relationship Id="rId36" Type="http://schemas.openxmlformats.org/officeDocument/2006/relationships/hyperlink" Target="https://www.mccip.org.uk/recent-updates" TargetMode="External"/><Relationship Id="rId10" Type="http://schemas.openxmlformats.org/officeDocument/2006/relationships/hyperlink" Target="https://www.legislation.gov.uk/ukpga/2020/22/contents" TargetMode="External"/><Relationship Id="rId19" Type="http://schemas.openxmlformats.org/officeDocument/2006/relationships/hyperlink" Target="https://jncc.gov.uk/our-work/english-highly-protected-marine-areas/" TargetMode="External"/><Relationship Id="rId31" Type="http://schemas.openxmlformats.org/officeDocument/2006/relationships/hyperlink" Target="https://www.mccip.org.uk/recent-updates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ov.uk/government/publications/marine-strategy-part-three-2025-uk-programme-of-measures" TargetMode="External"/><Relationship Id="rId14" Type="http://schemas.openxmlformats.org/officeDocument/2006/relationships/hyperlink" Target="https://www.gov.uk/government/publications/uk-national-biodiversity-strategy-and-action-plan" TargetMode="External"/><Relationship Id="rId22" Type="http://schemas.openxmlformats.org/officeDocument/2006/relationships/hyperlink" Target="https://www.eea.europa.eu/en/analysis/indicators/european-sea-surface-temperature" TargetMode="External"/><Relationship Id="rId27" Type="http://schemas.openxmlformats.org/officeDocument/2006/relationships/hyperlink" Target="https://www.gov.uk/government/collections/environmental-indicator-framework" TargetMode="External"/><Relationship Id="rId30" Type="http://schemas.openxmlformats.org/officeDocument/2006/relationships/hyperlink" Target="https://www.gov.uk/government/publications/uk-national-biodiversity-strategy-and-action-plan" TargetMode="External"/><Relationship Id="rId35" Type="http://schemas.openxmlformats.org/officeDocument/2006/relationships/hyperlink" Target="https://www.nature.com/articles/s44183-025-00171-0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mccip.org.uk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v.uk/government/publications/third-national-adaptation-programme-nap3" TargetMode="External"/><Relationship Id="rId17" Type="http://schemas.openxmlformats.org/officeDocument/2006/relationships/hyperlink" Target="https://www.gov.uk/government/publications/natural-capital-and-ecosystem-assessment-ncea-programme/natural-capital-and-ecosystem-assessment-ncea-programme" TargetMode="External"/><Relationship Id="rId25" Type="http://schemas.openxmlformats.org/officeDocument/2006/relationships/hyperlink" Target="https://www.theccc.org.uk/publication/progress-in-adapting-to-climate-change-2025/" TargetMode="External"/><Relationship Id="rId33" Type="http://schemas.openxmlformats.org/officeDocument/2006/relationships/hyperlink" Target="https://www.metoffice.gov.uk/research/weather/ocean-forecasting" TargetMode="External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3047</Words>
  <Characters>17891</Characters>
  <Application>Microsoft Office Word</Application>
  <DocSecurity>0</DocSecurity>
  <Lines>526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Mosedale, Jonathan</cp:lastModifiedBy>
  <cp:revision>2</cp:revision>
  <dcterms:created xsi:type="dcterms:W3CDTF">2013-12-23T23:15:00Z</dcterms:created>
  <dcterms:modified xsi:type="dcterms:W3CDTF">2026-07-20T09:56:00Z</dcterms:modified>
  <cp:category/>
</cp:coreProperties>
</file>