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apterTitle"/>
      </w:pPr>
      <w:r>
        <w:t>Appendix D</w:t>
      </w:r>
    </w:p>
    <w:p>
      <w:pPr>
        <w:pStyle w:val="ChapterSubtitle"/>
      </w:pPr>
      <w:r>
        <w:t>AI-Use Record — completed example</w:t>
      </w:r>
    </w:p>
    <w:p>
      <w:pPr>
        <w:pStyle w:val="Byline"/>
      </w:pPr>
      <w:r>
        <w:t>Applied Business Analytics for Marketing Decision-Making</w:t>
      </w:r>
    </w:p>
    <w:p>
      <w:pPr>
        <w:pStyle w:val="Byline"/>
      </w:pPr>
      <w:r>
        <w:t>Version 1.0 · August 2026 · CC BY 4.0</w:t>
      </w:r>
    </w:p>
    <w:p>
      <w:pPr>
        <w:pStyle w:val="BodyText"/>
      </w:pPr>
      <w:r>
        <w:t>This is one assignment documented from beginning to end, using the ten-customer miniature Chapter 9 publishes in Code 9.1 and Code 9.2. Every figure in it was recomputed from those inputs rather than typed. It answers no graded exercise.</w:t>
      </w:r>
    </w:p>
    <w:p>
      <w:pPr>
        <w:pStyle w:val="Heading1"/>
      </w:pPr>
      <w:r>
        <w:t>D.5.1 Assignment and Analyst Information</w:t>
      </w:r>
    </w:p>
    <w:p>
      <w:pPr>
        <w:pStyle w:val="TableCaption"/>
      </w:pPr>
      <w:r>
        <w:t>Table 1</w:t>
      </w:r>
    </w:p>
    <w:p>
      <w:pPr>
        <w:pStyle w:val="TableCaption"/>
      </w:pPr>
      <w:r>
        <w:rPr>
          <w:rStyle w:val="Emphasis"/>
        </w:rPr>
        <w:t>Assignment and analyst information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Field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Response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>Student name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>[STUDENT NAME]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>Group name and members, if applicable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>Not a group submission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>Course and section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>INTG1-GC 2300, Section [SECTION]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>Assignment or project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>Worked example — the Chapter 9 threshold arithmetic on the ten-customer miniature published in Code 9.1 and Code 9.2. Not a graded exercise.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>Submission date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>[DATE]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>Notebook, workbook, dashboard, or report filename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>Ch09_threshold_walkthrough.ipynb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>Version of the submitted artifact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>v1.2</w:t>
            </w:r>
          </w:p>
        </w:tc>
      </w:tr>
    </w:tbl>
    <w:p>
      <w:pPr>
        <w:pStyle w:val="Heading1"/>
      </w:pPr>
      <w:r>
        <w:t>D.5.2 AI Tools Used</w:t>
      </w:r>
    </w:p>
    <w:p>
      <w:pPr>
        <w:pStyle w:val="BodyText"/>
      </w:pPr>
      <w:r>
        <w:t>One block per tool. Table 2 records them.</w:t>
      </w:r>
    </w:p>
    <w:p>
      <w:pPr>
        <w:pStyle w:val="TableCaption"/>
      </w:pPr>
      <w:r>
        <w:t>Table 2</w:t>
      </w:r>
    </w:p>
    <w:p>
      <w:pPr>
        <w:pStyle w:val="TableCaption"/>
      </w:pPr>
      <w:r>
        <w:rPr>
          <w:rStyle w:val="Emphasis"/>
        </w:rPr>
        <w:t>AI tools used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700"/>
        <w:gridCol w:w="1700"/>
        <w:gridCol w:w="2200"/>
        <w:gridCol w:w="1700"/>
        <w:gridCol w:w="2060"/>
      </w:tblGrid>
      <w:tr>
        <w:trPr>
          <w:tblHeader/>
          <w:cantSplit/>
        </w:trPr>
        <w:tc>
          <w:tcPr>
            <w:tcW w:w="17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Product name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Model or version</w:t>
            </w:r>
          </w:p>
        </w:tc>
        <w:tc>
          <w:tcPr>
            <w:tcW w:w="22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Access mode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Dates used</w:t>
            </w:r>
          </w:p>
        </w:tc>
        <w:tc>
          <w:tcPr>
            <w:tcW w:w="20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Purpose categories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>General-purpose assistant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>Not displayed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>Public web tool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>[DATE] to [DATE]</w:t>
            </w:r>
          </w:p>
        </w:tc>
        <w:tc>
          <w:tcPr>
            <w:tcW w:w="2060" w:type="dxa"/>
          </w:tcPr>
          <w:p>
            <w:pPr>
              <w:pStyle w:val="TableText"/>
            </w:pPr>
            <w:r>
              <w:t>Problem framing; code drafting; analytical interpretation; writing or editing</w:t>
            </w:r>
          </w:p>
        </w:tc>
      </w:tr>
    </w:tbl>
    <w:p>
      <w:pPr>
        <w:pStyle w:val="Heading1"/>
      </w:pPr>
      <w:r>
        <w:t>D.5.3 Data and Privacy Declaration</w:t>
      </w:r>
    </w:p>
    <w:p>
      <w:pPr>
        <w:pStyle w:val="BodyText"/>
      </w:pPr>
      <w:r>
        <w:t>Table 3 is the declaration.</w:t>
      </w:r>
    </w:p>
    <w:p>
      <w:pPr>
        <w:pStyle w:val="TableCaption"/>
      </w:pPr>
      <w:r>
        <w:t>Table 3</w:t>
      </w:r>
    </w:p>
    <w:p>
      <w:pPr>
        <w:pStyle w:val="TableCaption"/>
      </w:pPr>
      <w:r>
        <w:rPr>
          <w:rStyle w:val="Emphasis"/>
        </w:rPr>
        <w:t>Data and privacy declaration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800"/>
        <w:gridCol w:w="5560"/>
      </w:tblGrid>
      <w:tr>
        <w:trPr>
          <w:tblHeader/>
          <w:cantSplit/>
        </w:trPr>
        <w:tc>
          <w:tcPr>
            <w:tcW w:w="38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Question</w:t>
            </w:r>
          </w:p>
        </w:tc>
        <w:tc>
          <w:tcPr>
            <w:tcW w:w="55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Response</w:t>
            </w:r>
          </w:p>
        </w:tc>
      </w:tr>
      <w:tr>
        <w:tc>
          <w:tcPr>
            <w:tcW w:w="3800" w:type="dxa"/>
          </w:tcPr>
          <w:p>
            <w:pPr>
              <w:pStyle w:val="TableText"/>
            </w:pPr>
            <w:r>
              <w:t>What information was supplied to the tool?</w:t>
            </w:r>
          </w:p>
        </w:tc>
        <w:tc>
          <w:tcPr>
            <w:tcW w:w="5560" w:type="dxa"/>
          </w:tcPr>
          <w:p>
            <w:pPr>
              <w:pStyle w:val="TableText"/>
            </w:pPr>
            <w:r>
              <w:t>The ten-row miniature printed in Code 9.1 — customer_id, churn_prob, churned, lapsed_90d — and the three cost figures Section 9.9 publishes. No file was uploaded.</w:t>
            </w:r>
          </w:p>
        </w:tc>
      </w:tr>
      <w:tr>
        <w:tc>
          <w:tcPr>
            <w:tcW w:w="3800" w:type="dxa"/>
          </w:tcPr>
          <w:p>
            <w:pPr>
              <w:pStyle w:val="TableText"/>
            </w:pPr>
            <w:r>
              <w:t>What kind of information was it?</w:t>
            </w:r>
          </w:p>
        </w:tc>
        <w:tc>
          <w:tcPr>
            <w:tcW w:w="5560" w:type="dxa"/>
          </w:tcPr>
          <w:p>
            <w:pPr>
              <w:pStyle w:val="TableText"/>
            </w:pPr>
            <w:r>
              <w:t>Course-provided and synthetic. StyleCraft is a fictional retailer and the miniature is printed in the chapter.</w:t>
            </w:r>
          </w:p>
        </w:tc>
      </w:tr>
      <w:tr>
        <w:tc>
          <w:tcPr>
            <w:tcW w:w="3800" w:type="dxa"/>
          </w:tcPr>
          <w:p>
            <w:pPr>
              <w:pStyle w:val="TableText"/>
            </w:pPr>
            <w:r>
              <w:t>Were any personal identifiers, credentials, proprietary records, or restricted data supplied?</w:t>
            </w:r>
          </w:p>
        </w:tc>
        <w:tc>
          <w:tcPr>
            <w:tcW w:w="5560" w:type="dxa"/>
          </w:tcPr>
          <w:p>
            <w:pPr>
              <w:pStyle w:val="TableText"/>
            </w:pPr>
            <w:r>
              <w:t>No.</w:t>
            </w:r>
          </w:p>
        </w:tc>
      </w:tr>
      <w:tr>
        <w:tc>
          <w:tcPr>
            <w:tcW w:w="3800" w:type="dxa"/>
          </w:tcPr>
          <w:p>
            <w:pPr>
              <w:pStyle w:val="TableText"/>
            </w:pPr>
            <w:r>
              <w:t>What safeguards were used?</w:t>
            </w:r>
          </w:p>
        </w:tc>
        <w:tc>
          <w:tcPr>
            <w:tcW w:w="5560" w:type="dxa"/>
          </w:tcPr>
          <w:p>
            <w:pPr>
              <w:pStyle w:val="TableText"/>
            </w:pPr>
            <w:r>
              <w:t>Ten synthetic rows pasted as text; no connection to any live system; no real customer data at any point.</w:t>
            </w:r>
          </w:p>
        </w:tc>
      </w:tr>
    </w:tbl>
    <w:p>
      <w:pPr>
        <w:pStyle w:val="BodyText"/>
      </w:pPr>
      <w:r>
        <w:t>Sign exactly one of the three statements below. They are mutually exclusive.</w:t>
      </w:r>
    </w:p>
    <w:p>
      <w:pPr>
        <w:pStyle w:val="TableCaption"/>
      </w:pPr>
      <w:r>
        <w:t>Table 3b</w:t>
      </w:r>
    </w:p>
    <w:p>
      <w:pPr>
        <w:pStyle w:val="TableCaption"/>
      </w:pPr>
      <w:r>
        <w:rPr>
          <w:rStyle w:val="Emphasis"/>
        </w:rPr>
        <w:t>The three declarations. Sign exactly one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200"/>
        <w:gridCol w:w="4560"/>
        <w:gridCol w:w="1600"/>
      </w:tblGrid>
      <w:tr>
        <w:trPr>
          <w:tblHeader/>
          <w:cantSplit/>
        </w:trPr>
        <w:tc>
          <w:tcPr>
            <w:tcW w:w="32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Statement</w:t>
            </w:r>
          </w:p>
        </w:tc>
        <w:tc>
          <w:tcPr>
            <w:tcW w:w="45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Sign it when</w:t>
            </w:r>
          </w:p>
        </w:tc>
        <w:tc>
          <w:tcPr>
            <w:tcW w:w="16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Signed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>1. No restricted information was supplied.</w:t>
            </w:r>
          </w:p>
        </w:tc>
        <w:tc>
          <w:tcPr>
            <w:tcW w:w="4560" w:type="dxa"/>
          </w:tcPr>
          <w:p>
            <w:pPr>
              <w:pStyle w:val="TableText"/>
            </w:pPr>
            <w:r>
              <w:t>Nothing confidential, personally identifiable, proprietary, or otherwise restricted was placed into an AI tool at any point in this work.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t>Yes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>2. Restricted information was used only within the approved environment named above.</w:t>
            </w:r>
          </w:p>
        </w:tc>
        <w:tc>
          <w:tcPr>
            <w:tcW w:w="4560" w:type="dxa"/>
          </w:tcPr>
          <w:p>
            <w:pPr>
              <w:pStyle w:val="TableText"/>
            </w:pPr>
            <w:r>
              <w:t>The environment, the permission under which it was used, and the information supplied are all recorded in the table above.</w:t>
            </w:r>
          </w:p>
        </w:tc>
        <w:tc>
          <w:tcPr>
            <w:tcW w:w="1600" w:type="dxa"/>
          </w:tcPr>
          <w:p>
            <w:pPr>
              <w:pStyle w:val="TableText"/>
            </w:pP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>3. A possible incident occurred and has been reported.</w:t>
            </w:r>
          </w:p>
        </w:tc>
        <w:tc>
          <w:tcPr>
            <w:tcW w:w="4560" w:type="dxa"/>
          </w:tcPr>
          <w:p>
            <w:pPr>
              <w:pStyle w:val="TableText"/>
            </w:pPr>
            <w:r>
              <w:t>Describe it above, report it to your instructor, and do not sign statement 1 or 2. Reporting an incident is not a penalty; concealing one is a different matter.</w:t>
            </w:r>
          </w:p>
        </w:tc>
        <w:tc>
          <w:tcPr>
            <w:tcW w:w="1600" w:type="dxa"/>
          </w:tcPr>
          <w:p>
            <w:pPr>
              <w:pStyle w:val="TableText"/>
            </w:pPr>
          </w:p>
        </w:tc>
      </w:tr>
    </w:tbl>
    <w:p>
      <w:pPr>
        <w:pStyle w:val="Heading1"/>
      </w:pPr>
      <w:r>
        <w:t>D.5.4 Exchange Log</w:t>
      </w:r>
    </w:p>
    <w:p>
      <w:pPr>
        <w:pStyle w:val="BodyText"/>
      </w:pPr>
      <w:r>
        <w:t>One block per exchange. Tables 4 through 8 are the five meaningful exchanges in this assignment.</w:t>
      </w:r>
    </w:p>
    <w:p>
      <w:pPr>
        <w:pStyle w:val="TableCaption"/>
      </w:pPr>
      <w:r>
        <w:t>Table 4</w:t>
      </w:r>
    </w:p>
    <w:p>
      <w:pPr>
        <w:pStyle w:val="TableCaption"/>
      </w:pPr>
      <w:r>
        <w:rPr>
          <w:rStyle w:val="Emphasis"/>
        </w:rPr>
        <w:t>Exchange E1 — Specify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600"/>
        <w:gridCol w:w="6760"/>
      </w:tblGrid>
      <w:tr>
        <w:trPr>
          <w:tblHeader/>
          <w:cantSplit/>
        </w:trPr>
        <w:tc>
          <w:tcPr>
            <w:tcW w:w="26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Field</w:t>
            </w:r>
          </w:p>
        </w:tc>
        <w:tc>
          <w:tcPr>
            <w:tcW w:w="67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Entry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Tool and version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General-purpose assistant, version not displayed, public web tool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Prompt as sent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“Restate this churn label in the four-element form of Section 3.5 — numerator concept, denominator, window, filters and eligibility. Use only what I give you. If an element is not determined by what I supplied, write UNSPECIFIED. Do not propose a definition of your own.”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Output received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A four-element restatement, but it supplied a ninety-day inactivity window instead of marking the window UNSPECIFIED.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Prediction recorded first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Three of four elements determined by what I supplied; the window is the one I had not stated, so it should come back UNSPECIFIED.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Decision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Modified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Error or limitation found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Analytical: the label improvisation named in Section 9.11. It invented a ninety-day inactivity window rather than declaring the window unspecified.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Verification performed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Compared each element against Section 9.3’s definition. The window is January 1 through June 30, 2026, and eligibility is the two-part Chapter 8 rule; neither was in my prompt.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Change to the final work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Used Section 9.3’s window and eligibility rule verbatim in the notebook’s label cell, and added the eligibility rule to the prompt for later exchanges.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Analyst judgment, and what it taught you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The window is a measurement decision and mine to make. An assistant asked for a definition will supply one; asking it to mark gaps only works if the prompt says so, and even then it must be checked.</w:t>
            </w:r>
          </w:p>
        </w:tc>
      </w:tr>
    </w:tbl>
    <w:p>
      <w:pPr>
        <w:pStyle w:val="TableCaption"/>
      </w:pPr>
      <w:r>
        <w:t>Table 5</w:t>
      </w:r>
    </w:p>
    <w:p>
      <w:pPr>
        <w:pStyle w:val="TableCaption"/>
      </w:pPr>
      <w:r>
        <w:rPr>
          <w:rStyle w:val="Emphasis"/>
        </w:rPr>
        <w:t>Exchange E2 — Analyze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600"/>
        <w:gridCol w:w="6760"/>
      </w:tblGrid>
      <w:tr>
        <w:trPr>
          <w:tblHeader/>
          <w:cantSplit/>
        </w:trPr>
        <w:tc>
          <w:tcPr>
            <w:tcW w:w="26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Field</w:t>
            </w:r>
          </w:p>
        </w:tc>
        <w:tc>
          <w:tcPr>
            <w:tcW w:w="67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Entry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Tool and version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General-purpose assistant, version not displayed, public web tool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Prompt as sent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“Here are ten customers with churn_prob and churned. Write a function that returns TP, FP, FN, and TN at a threshold I pass in, and assert that the four cells sum to the number of customers. State the four counts you expect at 0.50 before you write the code. Narrate nothing.”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Output received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The function, the assertion, and a stated expectation of TP 2, FP 2, FN 1, TN 5 at 0.50.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Prediction recorded first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At 0.50: TP 2, FP 2, FN 1, TN 5, summing to 10.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Decision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Accepted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Error or limitation found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None material. It initially returned the cells in scikit-learn order, which is TN, FP, FN, TP; I relabeled rather than reordered.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Verification performed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Re-added the four cells by hand from the printed table: 2 + 2 + 1 + 5 = 10, which is the evaluated population.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Change to the final work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Kept the function; renamed its return values so the reading order matches Table 9.3.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Analyst judgment, and what it taught you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Cell order is a real hazard when the matrix is quoted rather than plotted. From here on the prompt names the order I want.</w:t>
            </w:r>
          </w:p>
        </w:tc>
      </w:tr>
    </w:tbl>
    <w:p>
      <w:pPr>
        <w:pStyle w:val="TableCaption"/>
      </w:pPr>
      <w:r>
        <w:t>Table 6</w:t>
      </w:r>
    </w:p>
    <w:p>
      <w:pPr>
        <w:pStyle w:val="TableCaption"/>
      </w:pPr>
      <w:r>
        <w:rPr>
          <w:rStyle w:val="Emphasis"/>
        </w:rPr>
        <w:t>Exchange E3 — Analyze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600"/>
        <w:gridCol w:w="6760"/>
      </w:tblGrid>
      <w:tr>
        <w:trPr>
          <w:tblHeader/>
          <w:cantSplit/>
        </w:trPr>
        <w:tc>
          <w:tcPr>
            <w:tcW w:w="26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Field</w:t>
            </w:r>
          </w:p>
        </w:tc>
        <w:tc>
          <w:tcPr>
            <w:tcW w:w="67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Entry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Tool and version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General-purpose assistant, version not displayed, public web tool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Prompt as sent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“What threshold should I use for this churn model?”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Output received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“0.5 is the standard threshold for binary classification”, followed by a confusion matrix cut at 0.5 and an accuracy figure.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Prediction recorded first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None recorded — this was a deliberately loose prompt, and the point was to see what it would supply unprompted.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Decision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Rejected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Error or limitation found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Analytical: the silent threshold named in Section 9.11. It chose an operating point without asking for a cost, and did not say it was choosing.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Verification performed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Re-derived the cut from the stated costs: $12 ÷ $40 = 0.30. Checked the sensitivity: at a $30 benefit the cut moves to 0.40, at $60 to 0.20.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Change to the final work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Set the threshold to 0.30 in the notebook, with the arithmetic in a comment above it and the $12 and $40 named as constants.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Analyst judgment, and what it taught you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A threshold is a cost assumption. Nobody agreed to 0.5, and 0.5 is not more neutral than 0.30 — it is a different bet on which error is cheaper.</w:t>
            </w:r>
          </w:p>
        </w:tc>
      </w:tr>
    </w:tbl>
    <w:p>
      <w:pPr>
        <w:pStyle w:val="TableCaption"/>
      </w:pPr>
      <w:r>
        <w:t>Table 7</w:t>
      </w:r>
    </w:p>
    <w:p>
      <w:pPr>
        <w:pStyle w:val="TableCaption"/>
      </w:pPr>
      <w:r>
        <w:rPr>
          <w:rStyle w:val="Emphasis"/>
        </w:rPr>
        <w:t>Exchange E4 — Analyze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600"/>
        <w:gridCol w:w="6760"/>
      </w:tblGrid>
      <w:tr>
        <w:trPr>
          <w:tblHeader/>
          <w:cantSplit/>
        </w:trPr>
        <w:tc>
          <w:tcPr>
            <w:tcW w:w="26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Field</w:t>
            </w:r>
          </w:p>
        </w:tc>
        <w:tc>
          <w:tcPr>
            <w:tcW w:w="67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Entry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Tool and version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General-purpose assistant, version not displayed, public web tool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Prompt as sent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“Build a table comparing these policies on the ten customers: treat nobody, the model at 0.50, the model at 0.30, and treat everyone. Cost is $12 per treated customer and a reached churner is worth $40. Report TP, FP, FN, TN, treated, and net. Narrate nothing.”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Output received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The four-policy table, with nets of $0, +$32, +$48, and $0.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Prediction recorded first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Treat everyone nets exactly zero, because ten treatments at $12 is $120 and three saves at $40 is $120.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Decision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Modified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Error or limitation found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Analytical: the missing opponent. My prompt named four policies and omitted the incumbent ninety-day rule, and the assistant did not ask for it.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Verification performed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Priced all five policies by hand. Ninety-day rule: four treated for $48, one churner reached for $40, net −$8.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Change to the final work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Added the ninety-day rule as a fifth row, so the table now shows the incumbent losing money where the model at 0.30 nets +$48.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Analyst judgment, and what it taught you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The omission was mine, not the tool’s. A comparison without the incumbent is not a comparison, and the prompt has to carry the opponent.</w:t>
            </w:r>
          </w:p>
        </w:tc>
      </w:tr>
    </w:tbl>
    <w:p>
      <w:pPr>
        <w:pStyle w:val="TableCaption"/>
      </w:pPr>
      <w:r>
        <w:t>Table 8</w:t>
      </w:r>
    </w:p>
    <w:p>
      <w:pPr>
        <w:pStyle w:val="TableCaption"/>
      </w:pPr>
      <w:r>
        <w:rPr>
          <w:rStyle w:val="Emphasis"/>
        </w:rPr>
        <w:t>Exchange E5 — Explain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600"/>
        <w:gridCol w:w="6760"/>
      </w:tblGrid>
      <w:tr>
        <w:trPr>
          <w:tblHeader/>
          <w:cantSplit/>
        </w:trPr>
        <w:tc>
          <w:tcPr>
            <w:tcW w:w="26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Field</w:t>
            </w:r>
          </w:p>
        </w:tc>
        <w:tc>
          <w:tcPr>
            <w:tcW w:w="67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Entry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Tool and version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General-purpose assistant, version not displayed, public web tool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Prompt as sent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“Write two sentences summarizing this table for a marketing director. Use only the figures in it. Do not assert that any individual customer will churn.”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Output received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Two fluent sentences, the first of which read “the model identifies the six customers who will churn.”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Prediction recorded first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It will reach for a verdict verb; Section 9.11 names this as the verdict language failure.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Decision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Modified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Error or limitation found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Communication: a verdict verb, and a wrong count. Six is the treated list at 0.30; the churners are 3.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Verification performed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Checked each number in the sentence against the table: six treated, 3 of them churners, 3 of them not. Graded the verb against Section 7.2’s registry.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Change to the final work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Rewrote as: the model ranks customers by estimated churn probability, and treating the 6 above 0.30 reaches all 3 churners at a net of +$48 on these ten customers.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Analyst judgment, and what it taught you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The instruction not to assert individual churn was in the prompt and was ignored. A prohibition in a prompt is a preference, not a control; the control is reading the output.</w:t>
            </w:r>
          </w:p>
        </w:tc>
      </w:tr>
    </w:tbl>
    <w:p>
      <w:pPr>
        <w:pStyle w:val="Heading1"/>
      </w:pPr>
      <w:r>
        <w:t>D.5.5 Verification Evidence</w:t>
      </w:r>
    </w:p>
    <w:p>
      <w:pPr>
        <w:pStyle w:val="BodyText"/>
      </w:pPr>
      <w:r>
        <w:t>Table 9 carries the checks that mattered.</w:t>
      </w:r>
    </w:p>
    <w:p>
      <w:pPr>
        <w:pStyle w:val="TableCaption"/>
      </w:pPr>
      <w:r>
        <w:t>Table 9</w:t>
      </w:r>
    </w:p>
    <w:p>
      <w:pPr>
        <w:pStyle w:val="TableCaption"/>
      </w:pPr>
      <w:r>
        <w:rPr>
          <w:rStyle w:val="Emphasis"/>
        </w:rPr>
        <w:t>Verification evidence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450"/>
        <w:gridCol w:w="1300"/>
        <w:gridCol w:w="1180"/>
        <w:gridCol w:w="1240"/>
        <w:gridCol w:w="1420"/>
        <w:gridCol w:w="620"/>
        <w:gridCol w:w="1240"/>
        <w:gridCol w:w="910"/>
      </w:tblGrid>
      <w:tr>
        <w:trPr>
          <w:tblHeader/>
          <w:cantSplit/>
        </w:trPr>
        <w:tc>
          <w:tcPr>
            <w:tcW w:w="145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Claim or output checked</w:t>
            </w:r>
          </w:p>
        </w:tc>
        <w:tc>
          <w:tcPr>
            <w:tcW w:w="13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Prediction, recorded first</w:t>
            </w:r>
          </w:p>
        </w:tc>
        <w:tc>
          <w:tcPr>
            <w:tcW w:w="118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Verification method</w:t>
            </w:r>
          </w:p>
        </w:tc>
        <w:tc>
          <w:tcPr>
            <w:tcW w:w="124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Expected value or condition</w:t>
            </w:r>
          </w:p>
        </w:tc>
        <w:tc>
          <w:tcPr>
            <w:tcW w:w="142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Actual result</w:t>
            </w:r>
          </w:p>
        </w:tc>
        <w:tc>
          <w:tcPr>
            <w:tcW w:w="62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Verdict</w:t>
            </w:r>
          </w:p>
        </w:tc>
        <w:tc>
          <w:tcPr>
            <w:tcW w:w="124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Action taken</w:t>
            </w:r>
          </w:p>
        </w:tc>
        <w:tc>
          <w:tcPr>
            <w:tcW w:w="91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Evidence location</w:t>
            </w:r>
          </w:p>
        </w:tc>
      </w:tr>
      <w:tr>
        <w:tc>
          <w:tcPr>
            <w:tcW w:w="1450" w:type="dxa"/>
          </w:tcPr>
          <w:p>
            <w:pPr>
              <w:pStyle w:val="TableText"/>
            </w:pPr>
            <w:r>
              <w:t>The confusion matrix at the 0.50 threshold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>TP 2, FP 2, FN 1, TN 5</w:t>
            </w:r>
          </w:p>
        </w:tc>
        <w:tc>
          <w:tcPr>
            <w:tcW w:w="1180" w:type="dxa"/>
          </w:tcPr>
          <w:p>
            <w:pPr>
              <w:pStyle w:val="TableText"/>
            </w:pPr>
            <w:r>
              <w:t>Re-added by hand from the printed table</w:t>
            </w:r>
          </w:p>
        </w:tc>
        <w:tc>
          <w:tcPr>
            <w:tcW w:w="1240" w:type="dxa"/>
          </w:tcPr>
          <w:p>
            <w:pPr>
              <w:pStyle w:val="TableText"/>
            </w:pPr>
            <w:r>
              <w:t>The four cells sum to 10, the evaluated population</w:t>
            </w:r>
          </w:p>
        </w:tc>
        <w:tc>
          <w:tcPr>
            <w:tcW w:w="1420" w:type="dxa"/>
          </w:tcPr>
          <w:p>
            <w:pPr>
              <w:pStyle w:val="TableText"/>
            </w:pPr>
            <w:r>
              <w:t>TP 2, FP 2, FN 1, TN 5; sum 10</w:t>
            </w:r>
          </w:p>
        </w:tc>
        <w:tc>
          <w:tcPr>
            <w:tcW w:w="620" w:type="dxa"/>
          </w:tcPr>
          <w:p>
            <w:pPr>
              <w:pStyle w:val="TableText"/>
            </w:pPr>
            <w:r>
              <w:t>Pass</w:t>
            </w:r>
          </w:p>
        </w:tc>
        <w:tc>
          <w:tcPr>
            <w:tcW w:w="1240" w:type="dxa"/>
          </w:tcPr>
          <w:p>
            <w:pPr>
              <w:pStyle w:val="TableText"/>
            </w:pPr>
            <w:r>
              <w:t>None needed</w:t>
            </w:r>
          </w:p>
        </w:tc>
        <w:tc>
          <w:tcPr>
            <w:tcW w:w="910" w:type="dxa"/>
          </w:tcPr>
          <w:p>
            <w:pPr>
              <w:pStyle w:val="TableText"/>
            </w:pPr>
            <w:r>
              <w:t>Cell 6 · E2</w:t>
            </w:r>
          </w:p>
        </w:tc>
      </w:tr>
      <w:tr>
        <w:tc>
          <w:tcPr>
            <w:tcW w:w="1450" w:type="dxa"/>
          </w:tcPr>
          <w:p>
            <w:pPr>
              <w:pStyle w:val="TableText"/>
            </w:pPr>
            <w:r>
              <w:t>The confusion matrix at the 0.30 threshold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>Recall rises to 1.00; accuracy does not move</w:t>
            </w:r>
          </w:p>
        </w:tc>
        <w:tc>
          <w:tcPr>
            <w:tcW w:w="1180" w:type="dxa"/>
          </w:tcPr>
          <w:p>
            <w:pPr>
              <w:pStyle w:val="TableText"/>
            </w:pPr>
            <w:r>
              <w:t>Re-added by hand from the printed table</w:t>
            </w:r>
          </w:p>
        </w:tc>
        <w:tc>
          <w:tcPr>
            <w:tcW w:w="1240" w:type="dxa"/>
          </w:tcPr>
          <w:p>
            <w:pPr>
              <w:pStyle w:val="TableText"/>
            </w:pPr>
            <w:r>
              <w:t>TP 3, FP 3, FN 0, TN 4; accuracy still 0.70</w:t>
            </w:r>
          </w:p>
        </w:tc>
        <w:tc>
          <w:tcPr>
            <w:tcW w:w="1420" w:type="dxa"/>
          </w:tcPr>
          <w:p>
            <w:pPr>
              <w:pStyle w:val="TableText"/>
            </w:pPr>
            <w:r>
              <w:t>TP 3, FP 3, FN 0, TN 4; accuracy 0.70; recall 1.00</w:t>
            </w:r>
          </w:p>
        </w:tc>
        <w:tc>
          <w:tcPr>
            <w:tcW w:w="620" w:type="dxa"/>
          </w:tcPr>
          <w:p>
            <w:pPr>
              <w:pStyle w:val="TableText"/>
            </w:pPr>
            <w:r>
              <w:t>Pass</w:t>
            </w:r>
          </w:p>
        </w:tc>
        <w:tc>
          <w:tcPr>
            <w:tcW w:w="1240" w:type="dxa"/>
          </w:tcPr>
          <w:p>
            <w:pPr>
              <w:pStyle w:val="TableText"/>
            </w:pPr>
            <w:r>
              <w:t>Recorded that accuracy is unmoved between two policies worth $32 and $48</w:t>
            </w:r>
          </w:p>
        </w:tc>
        <w:tc>
          <w:tcPr>
            <w:tcW w:w="910" w:type="dxa"/>
          </w:tcPr>
          <w:p>
            <w:pPr>
              <w:pStyle w:val="TableText"/>
            </w:pPr>
            <w:r>
              <w:t>Cell 8</w:t>
            </w:r>
          </w:p>
        </w:tc>
      </w:tr>
      <w:tr>
        <w:tc>
          <w:tcPr>
            <w:tcW w:w="1450" w:type="dxa"/>
          </w:tcPr>
          <w:p>
            <w:pPr>
              <w:pStyle w:val="TableText"/>
            </w:pPr>
            <w:r>
              <w:t>The threshold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>0.30, from the published costs</w:t>
            </w:r>
          </w:p>
        </w:tc>
        <w:tc>
          <w:tcPr>
            <w:tcW w:w="1180" w:type="dxa"/>
          </w:tcPr>
          <w:p>
            <w:pPr>
              <w:pStyle w:val="TableText"/>
            </w:pPr>
            <w:r>
              <w:t>Re-derived from stated costs</w:t>
            </w:r>
          </w:p>
        </w:tc>
        <w:tc>
          <w:tcPr>
            <w:tcW w:w="1240" w:type="dxa"/>
          </w:tcPr>
          <w:p>
            <w:pPr>
              <w:pStyle w:val="TableText"/>
            </w:pPr>
            <w:r>
              <w:t>$12 ÷ $40</w:t>
            </w:r>
          </w:p>
        </w:tc>
        <w:tc>
          <w:tcPr>
            <w:tcW w:w="1420" w:type="dxa"/>
          </w:tcPr>
          <w:p>
            <w:pPr>
              <w:pStyle w:val="TableText"/>
            </w:pPr>
            <w:r>
              <w:t>0.30; sensitivity 0.40 at a $30 benefit and 0.20 at $60</w:t>
            </w:r>
          </w:p>
        </w:tc>
        <w:tc>
          <w:tcPr>
            <w:tcW w:w="620" w:type="dxa"/>
          </w:tcPr>
          <w:p>
            <w:pPr>
              <w:pStyle w:val="TableText"/>
            </w:pPr>
            <w:r>
              <w:t>Pass</w:t>
            </w:r>
          </w:p>
        </w:tc>
        <w:tc>
          <w:tcPr>
            <w:tcW w:w="1240" w:type="dxa"/>
          </w:tcPr>
          <w:p>
            <w:pPr>
              <w:pStyle w:val="TableText"/>
            </w:pPr>
            <w:r>
              <w:t>Replaced the assistant’s 0.5; recorded the rejection</w:t>
            </w:r>
          </w:p>
        </w:tc>
        <w:tc>
          <w:tcPr>
            <w:tcW w:w="910" w:type="dxa"/>
          </w:tcPr>
          <w:p>
            <w:pPr>
              <w:pStyle w:val="TableText"/>
            </w:pPr>
            <w:r>
              <w:t>Cell 9 · E3</w:t>
            </w:r>
          </w:p>
        </w:tc>
      </w:tr>
      <w:tr>
        <w:tc>
          <w:tcPr>
            <w:tcW w:w="1450" w:type="dxa"/>
          </w:tcPr>
          <w:p>
            <w:pPr>
              <w:pStyle w:val="TableText"/>
            </w:pPr>
            <w:r>
              <w:t>The expected value of a save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>$40</w:t>
            </w:r>
          </w:p>
        </w:tc>
        <w:tc>
          <w:tcPr>
            <w:tcW w:w="1180" w:type="dxa"/>
          </w:tcPr>
          <w:p>
            <w:pPr>
              <w:pStyle w:val="TableText"/>
            </w:pPr>
            <w:r>
              <w:t>Hand calculation</w:t>
            </w:r>
          </w:p>
        </w:tc>
        <w:tc>
          <w:tcPr>
            <w:tcW w:w="1240" w:type="dxa"/>
          </w:tcPr>
          <w:p>
            <w:pPr>
              <w:pStyle w:val="TableText"/>
            </w:pPr>
            <w:r>
              <w:t>0.25 × $160</w:t>
            </w:r>
          </w:p>
        </w:tc>
        <w:tc>
          <w:tcPr>
            <w:tcW w:w="1420" w:type="dxa"/>
          </w:tcPr>
          <w:p>
            <w:pPr>
              <w:pStyle w:val="TableText"/>
            </w:pPr>
            <w:r>
              <w:t>$40</w:t>
            </w:r>
          </w:p>
        </w:tc>
        <w:tc>
          <w:tcPr>
            <w:tcW w:w="620" w:type="dxa"/>
          </w:tcPr>
          <w:p>
            <w:pPr>
              <w:pStyle w:val="TableText"/>
            </w:pPr>
            <w:r>
              <w:t>Pass</w:t>
            </w:r>
          </w:p>
        </w:tc>
        <w:tc>
          <w:tcPr>
            <w:tcW w:w="1240" w:type="dxa"/>
          </w:tcPr>
          <w:p>
            <w:pPr>
              <w:pStyle w:val="TableText"/>
            </w:pPr>
            <w:r>
              <w:t>Confirmed the benefit constant used everywhere else</w:t>
            </w:r>
          </w:p>
        </w:tc>
        <w:tc>
          <w:tcPr>
            <w:tcW w:w="910" w:type="dxa"/>
          </w:tcPr>
          <w:p>
            <w:pPr>
              <w:pStyle w:val="TableText"/>
            </w:pPr>
            <w:r>
              <w:t>Cell 9</w:t>
            </w:r>
          </w:p>
        </w:tc>
      </w:tr>
      <w:tr>
        <w:tc>
          <w:tcPr>
            <w:tcW w:w="1450" w:type="dxa"/>
          </w:tcPr>
          <w:p>
            <w:pPr>
              <w:pStyle w:val="TableText"/>
            </w:pPr>
            <w:r>
              <w:t>The five-policy ledger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>Treat everyone nets exactly zero</w:t>
            </w:r>
          </w:p>
        </w:tc>
        <w:tc>
          <w:tcPr>
            <w:tcW w:w="1180" w:type="dxa"/>
          </w:tcPr>
          <w:p>
            <w:pPr>
              <w:pStyle w:val="TableText"/>
            </w:pPr>
            <w:r>
              <w:t>Hand calculation on the printed table</w:t>
            </w:r>
          </w:p>
        </w:tc>
        <w:tc>
          <w:tcPr>
            <w:tcW w:w="1240" w:type="dxa"/>
          </w:tcPr>
          <w:p>
            <w:pPr>
              <w:pStyle w:val="TableText"/>
            </w:pPr>
            <w:r>
              <w:t>10 × $12 spent against 3 × $40 reached</w:t>
            </w:r>
          </w:p>
        </w:tc>
        <w:tc>
          <w:tcPr>
            <w:tcW w:w="1420" w:type="dxa"/>
          </w:tcPr>
          <w:p>
            <w:pPr>
              <w:pStyle w:val="TableText"/>
            </w:pPr>
            <w:r>
              <w:t>$0, +$32, +$48, −$8, $0 across the five policies</w:t>
            </w:r>
          </w:p>
        </w:tc>
        <w:tc>
          <w:tcPr>
            <w:tcW w:w="620" w:type="dxa"/>
          </w:tcPr>
          <w:p>
            <w:pPr>
              <w:pStyle w:val="TableText"/>
            </w:pPr>
            <w:r>
              <w:t>Pass</w:t>
            </w:r>
          </w:p>
        </w:tc>
        <w:tc>
          <w:tcPr>
            <w:tcW w:w="1240" w:type="dxa"/>
          </w:tcPr>
          <w:p>
            <w:pPr>
              <w:pStyle w:val="TableText"/>
            </w:pPr>
            <w:r>
              <w:t>Added the ninety-day rule after the check exposed its absence</w:t>
            </w:r>
          </w:p>
        </w:tc>
        <w:tc>
          <w:tcPr>
            <w:tcW w:w="910" w:type="dxa"/>
          </w:tcPr>
          <w:p>
            <w:pPr>
              <w:pStyle w:val="TableText"/>
            </w:pPr>
            <w:r>
              <w:t>Cell 11 · E4</w:t>
            </w:r>
          </w:p>
        </w:tc>
      </w:tr>
      <w:tr>
        <w:tc>
          <w:tcPr>
            <w:tcW w:w="1450" w:type="dxa"/>
          </w:tcPr>
          <w:p>
            <w:pPr>
              <w:pStyle w:val="TableText"/>
            </w:pPr>
            <w:r>
              <w:t>The base rate and the majority-class floor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>Base rate near 0.30; the do-nothing rule is 0.70 accurate</w:t>
            </w:r>
          </w:p>
        </w:tc>
        <w:tc>
          <w:tcPr>
            <w:tcW w:w="1180" w:type="dxa"/>
          </w:tcPr>
          <w:p>
            <w:pPr>
              <w:pStyle w:val="TableText"/>
            </w:pPr>
            <w:r>
              <w:t>Counted from the label column</w:t>
            </w:r>
          </w:p>
        </w:tc>
        <w:tc>
          <w:tcPr>
            <w:tcW w:w="1240" w:type="dxa"/>
          </w:tcPr>
          <w:p>
            <w:pPr>
              <w:pStyle w:val="TableText"/>
            </w:pPr>
            <w:r>
              <w:t>3 churners in 10; floor 0.70</w:t>
            </w:r>
          </w:p>
        </w:tc>
        <w:tc>
          <w:tcPr>
            <w:tcW w:w="1420" w:type="dxa"/>
          </w:tcPr>
          <w:p>
            <w:pPr>
              <w:pStyle w:val="TableText"/>
            </w:pPr>
            <w:r>
              <w:t>Base rate 0.30; floor 0.70</w:t>
            </w:r>
          </w:p>
        </w:tc>
        <w:tc>
          <w:tcPr>
            <w:tcW w:w="620" w:type="dxa"/>
          </w:tcPr>
          <w:p>
            <w:pPr>
              <w:pStyle w:val="TableText"/>
            </w:pPr>
            <w:r>
              <w:t>Pass</w:t>
            </w:r>
          </w:p>
        </w:tc>
        <w:tc>
          <w:tcPr>
            <w:tcW w:w="1240" w:type="dxa"/>
          </w:tcPr>
          <w:p>
            <w:pPr>
              <w:pStyle w:val="TableText"/>
            </w:pPr>
            <w:r>
              <w:t>Put the floor beside every accuracy figure</w:t>
            </w:r>
          </w:p>
        </w:tc>
        <w:tc>
          <w:tcPr>
            <w:tcW w:w="910" w:type="dxa"/>
          </w:tcPr>
          <w:p>
            <w:pPr>
              <w:pStyle w:val="TableText"/>
            </w:pPr>
            <w:r>
              <w:t>Cell 5</w:t>
            </w:r>
          </w:p>
        </w:tc>
      </w:tr>
      <w:tr>
        <w:tc>
          <w:tcPr>
            <w:tcW w:w="1450" w:type="dxa"/>
          </w:tcPr>
          <w:p>
            <w:pPr>
              <w:pStyle w:val="TableText"/>
            </w:pPr>
            <w:r>
              <w:t>The summary sentence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>It will contain a verdict verb</w:t>
            </w:r>
          </w:p>
        </w:tc>
        <w:tc>
          <w:tcPr>
            <w:tcW w:w="1180" w:type="dxa"/>
          </w:tcPr>
          <w:p>
            <w:pPr>
              <w:pStyle w:val="TableText"/>
            </w:pPr>
            <w:r>
              <w:t>Clause-by-clause check against the table, and the verb graded against Section 7.2’s registry</w:t>
            </w:r>
          </w:p>
        </w:tc>
        <w:tc>
          <w:tcPr>
            <w:tcW w:w="1240" w:type="dxa"/>
          </w:tcPr>
          <w:p>
            <w:pPr>
              <w:pStyle w:val="TableText"/>
            </w:pPr>
            <w:r>
              <w:t>Every number appears in the table; no verb stronger than the evidence licenses</w:t>
            </w:r>
          </w:p>
        </w:tc>
        <w:tc>
          <w:tcPr>
            <w:tcW w:w="1420" w:type="dxa"/>
          </w:tcPr>
          <w:p>
            <w:pPr>
              <w:pStyle w:val="TableText"/>
            </w:pPr>
            <w:r>
              <w:t>One verdict verb and one wrong count found and removed</w:t>
            </w:r>
          </w:p>
        </w:tc>
        <w:tc>
          <w:tcPr>
            <w:tcW w:w="620" w:type="dxa"/>
          </w:tcPr>
          <w:p>
            <w:pPr>
              <w:pStyle w:val="TableText"/>
            </w:pPr>
            <w:r>
              <w:t>Pass</w:t>
            </w:r>
          </w:p>
        </w:tc>
        <w:tc>
          <w:tcPr>
            <w:tcW w:w="1240" w:type="dxa"/>
          </w:tcPr>
          <w:p>
            <w:pPr>
              <w:pStyle w:val="TableText"/>
            </w:pPr>
            <w:r>
              <w:t>Rewrote the sentence; recorded the rejection</w:t>
            </w:r>
          </w:p>
        </w:tc>
        <w:tc>
          <w:tcPr>
            <w:tcW w:w="910" w:type="dxa"/>
          </w:tcPr>
          <w:p>
            <w:pPr>
              <w:pStyle w:val="TableText"/>
            </w:pPr>
            <w:r>
              <w:t>Memo ¶1 · E5</w:t>
            </w:r>
          </w:p>
        </w:tc>
      </w:tr>
    </w:tbl>
    <w:p>
      <w:pPr>
        <w:pStyle w:val="Heading1"/>
      </w:pPr>
      <w:r>
        <w:t>D.5.6 Rejected, Corrected, or Bounded Output</w:t>
      </w:r>
    </w:p>
    <w:p>
      <w:pPr>
        <w:pStyle w:val="BodyText"/>
      </w:pPr>
      <w:r>
        <w:t>Table 10 records what did not survive intact.</w:t>
      </w:r>
    </w:p>
    <w:p>
      <w:pPr>
        <w:pStyle w:val="TableCaption"/>
      </w:pPr>
      <w:r>
        <w:t>Table 10</w:t>
      </w:r>
    </w:p>
    <w:p>
      <w:pPr>
        <w:pStyle w:val="TableCaption"/>
      </w:pPr>
      <w:r>
        <w:rPr>
          <w:rStyle w:val="Emphasis"/>
        </w:rPr>
        <w:t>Rejected, corrected, or bounded output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100"/>
        <w:gridCol w:w="1100"/>
        <w:gridCol w:w="2200"/>
        <w:gridCol w:w="1960"/>
        <w:gridCol w:w="2000"/>
      </w:tblGrid>
      <w:tr>
        <w:trPr>
          <w:tblHeader/>
          <w:cantSplit/>
        </w:trPr>
        <w:tc>
          <w:tcPr>
            <w:tcW w:w="21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Output, claim, limitation, or suggestion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Disposition</w:t>
            </w:r>
          </w:p>
        </w:tc>
        <w:tc>
          <w:tcPr>
            <w:tcW w:w="22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Reason for disposition</w:t>
            </w:r>
          </w:p>
        </w:tc>
        <w:tc>
          <w:tcPr>
            <w:tcW w:w="19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Evidence used</w:t>
            </w:r>
          </w:p>
        </w:tc>
        <w:tc>
          <w:tcPr>
            <w:tcW w:w="20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What appears in the final work</w:t>
            </w:r>
          </w:p>
        </w:tc>
      </w:tr>
      <w:tr>
        <w:tc>
          <w:tcPr>
            <w:tcW w:w="2100" w:type="dxa"/>
          </w:tcPr>
          <w:p>
            <w:pPr>
              <w:pStyle w:val="TableText"/>
            </w:pPr>
            <w:r>
              <w:t>“0.5 is the standard threshold for binary classification.”</w:t>
            </w:r>
          </w:p>
        </w:tc>
        <w:tc>
          <w:tcPr>
            <w:tcW w:w="1100" w:type="dxa"/>
          </w:tcPr>
          <w:p>
            <w:pPr>
              <w:pStyle w:val="TableText"/>
            </w:pPr>
            <w:r>
              <w:t>Rejected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>It chose an operating point without a cost and without saying it was choosing. At 0.5 this program leaves a churner untreated to avoid two vouchers, and the vouchers are cheaper.</w:t>
            </w:r>
          </w:p>
        </w:tc>
        <w:tc>
          <w:tcPr>
            <w:tcW w:w="1960" w:type="dxa"/>
          </w:tcPr>
          <w:p>
            <w:pPr>
              <w:pStyle w:val="TableText"/>
            </w:pPr>
            <w:r>
              <w:t>The published costs: $12 per treatment, $40 per reached churner. 12 ÷ 40 = 0.30.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>The threshold is 0.30, with the arithmetic printed above it and its sensitivity at $30 and $60 shown.</w:t>
            </w:r>
          </w:p>
        </w:tc>
      </w:tr>
      <w:tr>
        <w:tc>
          <w:tcPr>
            <w:tcW w:w="2100" w:type="dxa"/>
          </w:tcPr>
          <w:p>
            <w:pPr>
              <w:pStyle w:val="TableText"/>
            </w:pPr>
            <w:r>
              <w:t>“The model identifies the six customers who will churn.”</w:t>
            </w:r>
          </w:p>
        </w:tc>
        <w:tc>
          <w:tcPr>
            <w:tcW w:w="1100" w:type="dxa"/>
          </w:tcPr>
          <w:p>
            <w:pPr>
              <w:pStyle w:val="TableText"/>
            </w:pPr>
            <w:r>
              <w:t>Corrected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>A verdict verb on a probability, and a count that confuses the treated list with the churners.</w:t>
            </w:r>
          </w:p>
        </w:tc>
        <w:tc>
          <w:tcPr>
            <w:tcW w:w="1960" w:type="dxa"/>
          </w:tcPr>
          <w:p>
            <w:pPr>
              <w:pStyle w:val="TableText"/>
            </w:pPr>
            <w:r>
              <w:t>The table: 6 treated, 3 churners, 3 false positives.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>“The model ranks customers by estimated churn probability, and treating the 6 above 0.30 reaches all 3 churners.”</w:t>
            </w:r>
          </w:p>
        </w:tc>
      </w:tr>
      <w:tr>
        <w:tc>
          <w:tcPr>
            <w:tcW w:w="2100" w:type="dxa"/>
          </w:tcPr>
          <w:p>
            <w:pPr>
              <w:pStyle w:val="TableText"/>
            </w:pPr>
            <w:r>
              <w:t>The suggestion to resample the training data so the classes balance.</w:t>
            </w:r>
          </w:p>
        </w:tc>
        <w:tc>
          <w:tcPr>
            <w:tcW w:w="1100" w:type="dxa"/>
          </w:tcPr>
          <w:p>
            <w:pPr>
              <w:pStyle w:val="TableText"/>
            </w:pPr>
            <w:r>
              <w:t>Declined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>Resampling distorts the probability scale, and every dollar figure in this record descends from a probability. Section 9.11 names the rebalancing reflex.</w:t>
            </w:r>
          </w:p>
        </w:tc>
        <w:tc>
          <w:tcPr>
            <w:tcW w:w="1960" w:type="dxa"/>
          </w:tcPr>
          <w:p>
            <w:pPr>
              <w:pStyle w:val="TableText"/>
            </w:pPr>
            <w:r>
              <w:t>The economics depend on p, not on the ranking alone; a rescaled p invalidates the $40 expected-benefit arithmetic.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>Nothing from this exchange entered the work. The class imbalance is reported as the base rate instead.</w:t>
            </w:r>
          </w:p>
        </w:tc>
      </w:tr>
      <w:tr>
        <w:tc>
          <w:tcPr>
            <w:tcW w:w="2100" w:type="dxa"/>
          </w:tcPr>
          <w:p>
            <w:pPr>
              <w:pStyle w:val="TableText"/>
            </w:pPr>
            <w:r>
              <w:t>The model’s ordering quality on ten customers.</w:t>
            </w:r>
          </w:p>
        </w:tc>
        <w:tc>
          <w:tcPr>
            <w:tcW w:w="1100" w:type="dxa"/>
          </w:tcPr>
          <w:p>
            <w:pPr>
              <w:pStyle w:val="TableText"/>
            </w:pPr>
            <w:r>
              <w:t>Limited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>Ten rows cannot support a fitted model, a calibration exhibit, or a sealed test set.</w:t>
            </w:r>
          </w:p>
        </w:tc>
        <w:tc>
          <w:tcPr>
            <w:tcW w:w="1960" w:type="dxa"/>
          </w:tcPr>
          <w:p>
            <w:pPr>
              <w:pStyle w:val="TableText"/>
            </w:pPr>
            <w:r>
              <w:t>The record’s own verification table: every check here is arithmetic on published figures, not an out-of-sample grade.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>The 0.30 threshold is derived and its arithmetic shown, and the record states that it has not been graded on a holdout.</w:t>
            </w:r>
          </w:p>
        </w:tc>
      </w:tr>
    </w:tbl>
    <w:p>
      <w:pPr>
        <w:pStyle w:val="Heading1"/>
      </w:pPr>
      <w:r>
        <w:t>D.5.7 Analyst-of-Record Statement</w:t>
      </w:r>
    </w:p>
    <w:p>
      <w:pPr>
        <w:pStyle w:val="BodyText"/>
      </w:pPr>
      <w:r>
        <w:t>I remain responsible for the submitted analysis. I reviewed the AI-assisted output identified above, made the decisions recorded in this record, and verified the final work using the evidence listed. I can explain the code, the calculations, the visualizations, and the recommendations in this submission. The remaining limitations are that ten customers cannot support a fitted model or a calibration exhibit, so the 0.30 threshold is derived here but not yet graded on a sealed test set, and the ninety-day rule is compared as a single operating point rather than as a ranker.</w:t>
      </w:r>
    </w:p>
    <w:p>
      <w:pPr>
        <w:pStyle w:val="BodyTextIndent"/>
      </w:pPr>
      <w:r>
        <w:t>Name: [STUDENT NAME]                    Date: [DATE]</w:t>
      </w:r>
    </w:p>
    <w:p>
      <w:pPr>
        <w:pStyle w:val="Heading1"/>
      </w:pPr>
      <w:r>
        <w:t>D.5.8 Group Contribution Record</w:t>
      </w:r>
    </w:p>
    <w:p>
      <w:pPr>
        <w:pStyle w:val="BodyText"/>
      </w:pPr>
      <w:r>
        <w:t>Table 11 applies to group submissions only.</w:t>
      </w:r>
    </w:p>
    <w:p>
      <w:pPr>
        <w:pStyle w:val="TableCaption"/>
      </w:pPr>
      <w:r>
        <w:t>Table 11</w:t>
      </w:r>
    </w:p>
    <w:p>
      <w:pPr>
        <w:pStyle w:val="TableCaption"/>
      </w:pPr>
      <w:r>
        <w:rPr>
          <w:rStyle w:val="Emphasis"/>
        </w:rPr>
        <w:t>Group contribution record, one row per member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600"/>
        <w:gridCol w:w="2100"/>
        <w:gridCol w:w="2100"/>
        <w:gridCol w:w="2100"/>
        <w:gridCol w:w="1460"/>
      </w:tblGrid>
      <w:tr>
        <w:trPr>
          <w:tblHeader/>
          <w:cantSplit/>
        </w:trPr>
        <w:tc>
          <w:tcPr>
            <w:tcW w:w="16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Member</w:t>
            </w:r>
          </w:p>
        </w:tc>
        <w:tc>
          <w:tcPr>
            <w:tcW w:w="21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AI-assisted task performed</w:t>
            </w:r>
          </w:p>
        </w:tc>
        <w:tc>
          <w:tcPr>
            <w:tcW w:w="21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Verification performed</w:t>
            </w:r>
          </w:p>
        </w:tc>
        <w:tc>
          <w:tcPr>
            <w:tcW w:w="21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Final artifact contribution</w:t>
            </w:r>
          </w:p>
        </w:tc>
        <w:tc>
          <w:tcPr>
            <w:tcW w:w="14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Peer confirmation</w:t>
            </w:r>
          </w:p>
        </w:tc>
      </w:tr>
      <w:tr>
        <w:tc>
          <w:tcPr>
            <w:tcW w:w="1600" w:type="dxa"/>
          </w:tcPr>
          <w:p>
            <w:pPr>
              <w:pStyle w:val="TableText"/>
            </w:pPr>
            <w:r>
              <w:t>Not a group submission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>—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>—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>—</w:t>
            </w:r>
          </w:p>
        </w:tc>
        <w:tc>
          <w:tcPr>
            <w:tcW w:w="1460" w:type="dxa"/>
          </w:tcPr>
          <w:p>
            <w:pPr>
              <w:pStyle w:val="TableText"/>
            </w:pPr>
            <w: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keepNext/>
      <w:keepLines/>
      <w:spacing w:before="360" w:after="120" w:line="276" w:lineRule="auto"/>
      <w:outlineLvl w:val="0"/>
    </w:pPr>
    <w:rPr>
      <w:b/>
      <w:sz w:val="28"/>
      <w:szCs w:val="28"/>
    </w:rPr>
  </w:style>
  <w:style w:type="paragraph" w:styleId="Heading2">
    <w:name w:val="Heading 2"/>
    <w:basedOn w:val="Normal"/>
    <w:qFormat/>
    <w:pPr>
      <w:keepNext/>
      <w:keepLines/>
      <w:spacing w:before="280" w:after="80" w:line="276" w:lineRule="auto"/>
      <w:outlineLvl w:val="1"/>
    </w:pPr>
    <w:rPr>
      <w:b/>
      <w:i/>
      <w:sz w:val="24"/>
      <w:szCs w:val="24"/>
    </w:rPr>
  </w:style>
  <w:style w:type="paragraph" w:styleId="Heading3">
    <w:name w:val="Heading 3"/>
    <w:basedOn w:val="Normal"/>
    <w:qFormat/>
    <w:pPr>
      <w:keepNext/>
      <w:keepLines/>
      <w:spacing w:before="240" w:after="60" w:line="276" w:lineRule="auto"/>
      <w:outlineLvl w:val="2"/>
    </w:pPr>
    <w:rPr>
      <w:b/>
      <w:sz w:val="23"/>
      <w:szCs w:val="23"/>
    </w:rPr>
  </w:style>
  <w:style w:type="paragraph" w:styleId="BodyText">
    <w:name w:val="Body Text"/>
    <w:basedOn w:val="Normal"/>
    <w:qFormat/>
    <w:pPr>
      <w:spacing w:before="0" w:after="0" w:line="276" w:lineRule="auto"/>
    </w:pPr>
    <w:rPr>
      <w:sz w:val="24"/>
      <w:szCs w:val="24"/>
    </w:rPr>
  </w:style>
  <w:style w:type="paragraph" w:styleId="BodyTextIndent">
    <w:name w:val="Body Text Indent"/>
    <w:basedOn w:val="Normal"/>
    <w:qFormat/>
    <w:pPr>
      <w:ind w:firstLine="360"/>
      <w:spacing w:before="0" w:after="0" w:line="276" w:lineRule="auto"/>
    </w:pPr>
    <w:rPr>
      <w:sz w:val="24"/>
      <w:szCs w:val="24"/>
    </w:rPr>
  </w:style>
  <w:style w:type="paragraph" w:styleId="ChapterTitle">
    <w:name w:val="Chapter Title"/>
    <w:basedOn w:val="Normal"/>
    <w:qFormat/>
    <w:pPr>
      <w:keepNext/>
      <w:spacing w:before="0" w:after="120" w:line="276" w:lineRule="auto"/>
      <w:jc w:val="center"/>
      <w:outlineLvl w:val="0"/>
    </w:pPr>
    <w:rPr>
      <w:b/>
      <w:sz w:val="34"/>
      <w:szCs w:val="34"/>
    </w:rPr>
  </w:style>
  <w:style w:type="paragraph" w:styleId="ChapterSubtitle">
    <w:name w:val="Chapter Subtitle"/>
    <w:basedOn w:val="Normal"/>
    <w:qFormat/>
    <w:pPr>
      <w:keepNext/>
      <w:spacing w:before="0" w:after="300" w:line="276" w:lineRule="auto"/>
      <w:jc w:val="center"/>
    </w:pPr>
    <w:rPr>
      <w:i/>
      <w:sz w:val="26"/>
      <w:szCs w:val="26"/>
    </w:rPr>
  </w:style>
  <w:style w:type="paragraph" w:styleId="Byline">
    <w:name w:val="Byline"/>
    <w:basedOn w:val="Normal"/>
    <w:qFormat/>
    <w:pPr>
      <w:spacing w:before="0" w:after="120" w:line="240" w:lineRule="auto"/>
      <w:contextualSpacing/>
      <w:jc w:val="center"/>
    </w:pPr>
    <w:rPr>
      <w:color w:val="404040"/>
      <w:sz w:val="22"/>
      <w:szCs w:val="22"/>
    </w:rPr>
  </w:style>
  <w:style w:type="paragraph" w:styleId="MetadataLabel">
    <w:name w:val="Metadata Label"/>
    <w:basedOn w:val="Normal"/>
    <w:qFormat/>
    <w:pPr>
      <w:keepNext/>
      <w:spacing w:before="240" w:after="40" w:line="240" w:lineRule="auto"/>
    </w:pPr>
    <w:rPr>
      <w:b/>
      <w:caps/>
      <w:color w:val="57068C"/>
      <w:sz w:val="20"/>
      <w:szCs w:val="20"/>
    </w:rPr>
  </w:style>
  <w:style w:type="paragraph" w:styleId="MetadataBody">
    <w:name w:val="Metadata Body"/>
    <w:basedOn w:val="Normal"/>
    <w:qFormat/>
    <w:pPr>
      <w:spacing w:before="0" w:after="80" w:line="276" w:lineRule="auto"/>
    </w:pPr>
    <w:rPr>
      <w:sz w:val="22"/>
      <w:szCs w:val="22"/>
    </w:rPr>
  </w:style>
  <w:style w:type="paragraph" w:styleId="ListNumber">
    <w:name w:val="List Number"/>
    <w:basedOn w:val="Normal"/>
    <w:qFormat/>
    <w:pPr>
      <w:ind w:left="720" w:hanging="360"/>
      <w:spacing w:before="40" w:after="80" w:line="276" w:lineRule="auto"/>
      <w:contextualSpacing/>
    </w:pPr>
    <w:rPr>
      <w:sz w:val="24"/>
      <w:szCs w:val="24"/>
    </w:rPr>
  </w:style>
  <w:style w:type="paragraph" w:styleId="ListBullet">
    <w:name w:val="List Bullet"/>
    <w:basedOn w:val="Normal"/>
    <w:qFormat/>
    <w:pPr>
      <w:ind w:left="720" w:hanging="360"/>
      <w:spacing w:before="40" w:after="80" w:line="276" w:lineRule="auto"/>
      <w:contextualSpacing/>
    </w:pPr>
    <w:rPr>
      <w:sz w:val="24"/>
      <w:szCs w:val="24"/>
    </w:rPr>
  </w:style>
  <w:style w:type="paragraph" w:styleId="ReferenceEntry">
    <w:name w:val="Reference Entry"/>
    <w:basedOn w:val="Normal"/>
    <w:qFormat/>
    <w:pPr>
      <w:ind w:left="720" w:hanging="720"/>
      <w:spacing w:before="0" w:after="120" w:line="276" w:lineRule="auto"/>
    </w:pPr>
    <w:rPr>
      <w:sz w:val="24"/>
      <w:szCs w:val="24"/>
    </w:rPr>
  </w:style>
  <w:style w:type="paragraph" w:styleId="TableCaption">
    <w:name w:val="Table Caption"/>
    <w:basedOn w:val="Normal"/>
    <w:qFormat/>
    <w:pPr>
      <w:keepNext/>
      <w:spacing w:before="300" w:after="80" w:line="276" w:lineRule="auto"/>
    </w:pPr>
    <w:rPr>
      <w:sz w:val="22"/>
      <w:szCs w:val="22"/>
    </w:rPr>
  </w:style>
  <w:style w:type="paragraph" w:styleId="TableHeading">
    <w:name w:val="Table Heading"/>
    <w:basedOn w:val="Normal"/>
    <w:qFormat/>
    <w:pPr>
      <w:spacing w:before="40" w:after="40" w:line="240" w:lineRule="auto"/>
    </w:pPr>
    <w:rPr>
      <w:b/>
      <w:sz w:val="21"/>
      <w:szCs w:val="21"/>
    </w:rPr>
  </w:style>
  <w:style w:type="paragraph" w:styleId="TableText">
    <w:name w:val="Table Text"/>
    <w:basedOn w:val="Normal"/>
    <w:qFormat/>
    <w:pPr>
      <w:spacing w:before="40" w:after="40" w:line="240" w:lineRule="auto"/>
    </w:pPr>
    <w:rPr>
      <w:sz w:val="21"/>
      <w:szCs w:val="21"/>
    </w:rPr>
  </w:style>
  <w:style w:type="paragraph" w:styleId="CodeCaption">
    <w:name w:val="Code Caption"/>
    <w:basedOn w:val="Normal"/>
    <w:qFormat/>
    <w:pPr>
      <w:keepNext/>
      <w:spacing w:before="300" w:after="80" w:line="276" w:lineRule="auto"/>
    </w:pPr>
    <w:rPr>
      <w:b/>
      <w:sz w:val="22"/>
      <w:szCs w:val="22"/>
    </w:rPr>
  </w:style>
  <w:style w:type="paragraph" w:styleId="CodeBlock">
    <w:name w:val="Code Block"/>
    <w:basedOn w:val="Normal"/>
    <w:qFormat/>
    <w:pPr>
      <w:keepLines/>
      <w:shd w:val="clear" w:color="auto" w:fill="F2F2F2"/>
      <w:pBdr>
        <w:top w:val="single" w:sz="4" w:space="4" w:color="D6D6D6"/>
        <w:left w:val="single" w:sz="4" w:space="4" w:color="D6D6D6"/>
        <w:bottom w:val="single" w:sz="4" w:space="4" w:color="D6D6D6"/>
        <w:right w:val="single" w:sz="4" w:space="4" w:color="D6D6D6"/>
      </w:pBdr>
      <w:ind w:left="180" w:right="180"/>
      <w:spacing w:before="60" w:after="240" w:line="240" w:lineRule="auto"/>
    </w:pPr>
    <w:rPr>
      <w:rFonts w:ascii="Courier New" w:hAnsi="Courier New" w:cs="Courier New"/>
      <w:sz w:val="19"/>
      <w:szCs w:val="19"/>
    </w:rPr>
  </w:style>
  <w:style w:type="paragraph" w:styleId="CalloutLabel">
    <w:name w:val="Callout Label"/>
    <w:basedOn w:val="Normal"/>
    <w:qFormat/>
    <w:pPr>
      <w:keepNext/>
      <w:keepLines/>
      <w:shd w:val="clear" w:color="auto" w:fill="F5F2F8"/>
      <w:pBdr>
        <w:left w:val="single" w:sz="18" w:space="8" w:color="57068C"/>
        <w:top w:val="single" w:sz="4" w:space="6" w:color="C9BFD6"/>
        <w:bottom w:val="single" w:sz="4" w:space="6" w:color="C9BFD6"/>
        <w:right w:val="single" w:sz="4" w:space="6" w:color="C9BFD6"/>
      </w:pBdr>
      <w:ind w:left="200" w:right="200"/>
      <w:spacing w:before="160" w:after="60" w:line="276" w:lineRule="auto"/>
    </w:pPr>
    <w:rPr>
      <w:b/>
      <w:caps/>
      <w:color w:val="57068C"/>
      <w:spacing w:val="30"/>
      <w:sz w:val="19"/>
      <w:szCs w:val="19"/>
    </w:rPr>
  </w:style>
  <w:style w:type="paragraph" w:styleId="CalloutTitle">
    <w:name w:val="Callout Title"/>
    <w:basedOn w:val="Normal"/>
    <w:qFormat/>
    <w:pPr>
      <w:keepNext/>
      <w:keepLines/>
      <w:shd w:val="clear" w:color="auto" w:fill="F5F2F8"/>
      <w:pBdr>
        <w:left w:val="single" w:sz="18" w:space="8" w:color="57068C"/>
        <w:top w:val="single" w:sz="4" w:space="6" w:color="C9BFD6"/>
        <w:bottom w:val="single" w:sz="4" w:space="6" w:color="C9BFD6"/>
        <w:right w:val="single" w:sz="4" w:space="6" w:color="C9BFD6"/>
      </w:pBdr>
      <w:ind w:left="200" w:right="200"/>
      <w:spacing w:before="0" w:after="80" w:line="276" w:lineRule="auto"/>
    </w:pPr>
    <w:rPr>
      <w:b/>
      <w:sz w:val="23"/>
      <w:szCs w:val="23"/>
    </w:rPr>
  </w:style>
  <w:style w:type="paragraph" w:styleId="CalloutBody">
    <w:name w:val="Callout Body"/>
    <w:basedOn w:val="Normal"/>
    <w:qFormat/>
    <w:pPr>
      <w:keepNext/>
      <w:keepLines/>
      <w:shd w:val="clear" w:color="auto" w:fill="F5F2F8"/>
      <w:pBdr>
        <w:left w:val="single" w:sz="18" w:space="8" w:color="57068C"/>
        <w:top w:val="single" w:sz="4" w:space="6" w:color="C9BFD6"/>
        <w:bottom w:val="single" w:sz="4" w:space="6" w:color="C9BFD6"/>
        <w:right w:val="single" w:sz="4" w:space="6" w:color="C9BFD6"/>
      </w:pBdr>
      <w:ind w:left="200" w:right="200"/>
      <w:spacing w:before="0" w:after="80" w:line="276" w:lineRule="auto"/>
    </w:pPr>
    <w:rPr>
      <w:sz w:val="22"/>
      <w:szCs w:val="22"/>
    </w:rPr>
  </w:style>
  <w:style w:type="paragraph" w:styleId="CalloutSource">
    <w:name w:val="Callout Source"/>
    <w:basedOn w:val="Normal"/>
    <w:qFormat/>
    <w:pPr>
      <w:keepLines/>
      <w:shd w:val="clear" w:color="auto" w:fill="F5F2F8"/>
      <w:pBdr>
        <w:left w:val="single" w:sz="18" w:space="8" w:color="57068C"/>
        <w:top w:val="single" w:sz="4" w:space="6" w:color="C9BFD6"/>
        <w:bottom w:val="single" w:sz="4" w:space="6" w:color="C9BFD6"/>
        <w:right w:val="single" w:sz="4" w:space="6" w:color="C9BFD6"/>
      </w:pBdr>
      <w:ind w:left="200" w:right="200"/>
      <w:spacing w:before="0" w:after="140" w:line="276" w:lineRule="auto"/>
    </w:pPr>
    <w:rPr>
      <w:color w:val="404040"/>
      <w:sz w:val="20"/>
      <w:szCs w:val="20"/>
    </w:rPr>
  </w:style>
  <w:style w:type="paragraph" w:styleId="Spacer">
    <w:name w:val="Spacer"/>
    <w:basedOn w:val="Normal"/>
    <w:qFormat/>
    <w:pPr>
      <w:spacing w:before="0" w:after="0" w:line="240" w:lineRule="auto"/>
    </w:pPr>
    <w:rPr>
      <w:sz w:val="14"/>
      <w:szCs w:val="14"/>
    </w:rPr>
  </w:style>
  <w:style w:type="paragraph" w:styleId="Footer">
    <w:name w:val="Footer"/>
    <w:basedOn w:val="Normal"/>
    <w:qFormat/>
    <w:pPr>
      <w:spacing w:before="0" w:after="120" w:line="240" w:lineRule="auto"/>
      <w:jc w:val="center"/>
    </w:pPr>
    <w:rPr>
      <w:color w:val="404040"/>
      <w:sz w:val="20"/>
      <w:szCs w:val="20"/>
    </w:rPr>
  </w:style>
  <w:style w:type="character" w:styleId="Hyperlink">
    <w:name w:val="Hyperlink"/>
    <w:qFormat/>
    <w:rPr>
      <w:u w:val="single"/>
      <w:color w:val="0000FF"/>
    </w:rPr>
  </w:style>
  <w:style w:type="character" w:styleId="Emphasis">
    <w:name w:val="Emphasis"/>
    <w:qFormat/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