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ChapterTitle"/>
      </w:pPr>
      <w:r>
        <w:t>Metric Definition Form</w:t>
      </w:r>
    </w:p>
    <w:p>
      <w:pPr>
        <w:pStyle w:val="ChapterSubtitle"/>
      </w:pPr>
      <w:r>
        <w:t>Appendix B, Table B.3 — for a metric the dictionary does not carry</w:t>
      </w:r>
    </w:p>
    <w:p>
      <w:pPr>
        <w:pStyle w:val="Byline"/>
      </w:pPr>
      <w:r>
        <w:t>Applied Business Analytics for Marketing Decision-Making</w:t>
      </w:r>
    </w:p>
    <w:p>
      <w:pPr>
        <w:pStyle w:val="Byline"/>
      </w:pPr>
      <w:r>
        <w:t>Version 1.1 · August 2026</w:t>
      </w:r>
    </w:p>
    <w:p>
      <w:pPr>
        <w:pStyle w:val="Heading1"/>
      </w:pPr>
      <w:r>
        <w:t>How to use this form</w:t>
      </w:r>
    </w:p>
    <w:p>
      <w:pPr>
        <w:pStyle w:val="BodyText"/>
      </w:pPr>
      <w:r>
        <w:t>Use this form when a project needs a metric Appendix B does not carry. Do not modify an existing entry: write a new one here, record it in the project’s own dictionary, and name the nearest cataloged entry so that a reader can see how the two differ. A project-specific metric that quietly redefines a cataloged one reproduces the Chapter 3 dispute at project scale.</w:t>
      </w:r>
    </w:p>
    <w:p>
      <w:pPr>
        <w:pStyle w:val="BodyTextIndent"/>
      </w:pPr>
      <w:r>
        <w:t>A field the source genuinely does not specify is not left blank and is not guessed at. It is yours to decide and to record, and the deciding is the work this form exists to capture.</w:t>
      </w:r>
    </w:p>
    <w:p>
      <w:pPr>
        <w:pStyle w:val="Heading1"/>
      </w:pPr>
      <w:r>
        <w:t>The form</w:t>
      </w:r>
    </w:p>
    <w:p>
      <w:pPr>
        <w:pStyle w:val="BodyText"/>
      </w:pPr>
      <w:r>
        <w:t>Every field below appears in every Appendix B entry, in this order.</w:t>
      </w:r>
    </w:p>
    <w:p>
      <w:pPr>
        <w:pStyle w:val="TableCaption"/>
      </w:pPr>
      <w:r>
        <w:t>Table B.3</w:t>
      </w:r>
    </w:p>
    <w:p>
      <w:pPr>
        <w:pStyle w:val="TableCaption"/>
      </w:pPr>
      <w:r>
        <w:rPr>
          <w:i/>
        </w:rPr>
        <w:t>Metric definition form</w:t>
      </w:r>
    </w:p>
    <w:tbl>
      <w:tblPr>
        <w:tblW w:type="auto" w:w="0"/>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3744"/>
        <w:gridCol w:w="5616"/>
      </w:tblGrid>
      <w:tr>
        <w:trPr>
          <w:tblHeader/>
          <w:cantSplit/>
        </w:trPr>
        <w:tc>
          <w:tcPr>
            <w:tcW w:type="dxa" w:w="3744"/>
            <w:tcBorders>
              <w:bottom w:val="single" w:sz="6" w:space="0" w:color="000000"/>
            </w:tcBorders>
          </w:tcPr>
          <w:p>
            <w:pPr>
              <w:pStyle w:val="TableHeading"/>
            </w:pPr>
            <w:r/>
            <w:r>
              <w:t>Field</w:t>
            </w:r>
          </w:p>
        </w:tc>
        <w:tc>
          <w:tcPr>
            <w:tcW w:type="dxa" w:w="5616"/>
            <w:tcBorders>
              <w:bottom w:val="single" w:sz="6" w:space="0" w:color="000000"/>
            </w:tcBorders>
          </w:tcPr>
          <w:p>
            <w:pPr>
              <w:pStyle w:val="TableHeading"/>
            </w:pPr>
            <w:r/>
            <w:r>
              <w:t>Your entry</w:t>
            </w:r>
          </w:p>
        </w:tc>
      </w:tr>
      <w:tr>
        <w:tc>
          <w:tcPr>
            <w:tcW w:type="dxa" w:w="3744"/>
          </w:tcPr>
          <w:p>
            <w:pPr>
              <w:pStyle w:val="TableText"/>
            </w:pPr>
            <w:r/>
            <w:r>
              <w:t>Metric name</w:t>
            </w:r>
          </w:p>
        </w:tc>
        <w:tc>
          <w:tcPr>
            <w:tcW w:type="dxa" w:w="5616"/>
          </w:tcPr>
          <w:p>
            <w:pPr>
              <w:pStyle w:val="TableText"/>
            </w:pPr>
            <w:r/>
          </w:p>
        </w:tc>
      </w:tr>
      <w:tr>
        <w:tc>
          <w:tcPr>
            <w:tcW w:type="dxa" w:w="3744"/>
          </w:tcPr>
          <w:p>
            <w:pPr>
              <w:pStyle w:val="TableText"/>
            </w:pPr>
            <w:r/>
            <w:r>
              <w:t>Business question — the decision or comparison it supports</w:t>
            </w:r>
          </w:p>
        </w:tc>
        <w:tc>
          <w:tcPr>
            <w:tcW w:type="dxa" w:w="5616"/>
          </w:tcPr>
          <w:p>
            <w:pPr>
              <w:pStyle w:val="TableText"/>
            </w:pPr>
            <w:r/>
          </w:p>
        </w:tc>
      </w:tr>
      <w:tr>
        <w:tc>
          <w:tcPr>
            <w:tcW w:type="dxa" w:w="3744"/>
          </w:tcPr>
          <w:p>
            <w:pPr>
              <w:pStyle w:val="TableText"/>
            </w:pPr>
            <w:r/>
            <w:r>
              <w:t>Formula — plain language first</w:t>
            </w:r>
          </w:p>
        </w:tc>
        <w:tc>
          <w:tcPr>
            <w:tcW w:type="dxa" w:w="5616"/>
          </w:tcPr>
          <w:p>
            <w:pPr>
              <w:pStyle w:val="TableText"/>
            </w:pPr>
            <w:r/>
          </w:p>
        </w:tc>
      </w:tr>
      <w:tr>
        <w:tc>
          <w:tcPr>
            <w:tcW w:type="dxa" w:w="3744"/>
          </w:tcPr>
          <w:p>
            <w:pPr>
              <w:pStyle w:val="TableText"/>
            </w:pPr>
            <w:r/>
            <w:r>
              <w:t>Numerator — the exact event, amount, or count</w:t>
            </w:r>
          </w:p>
        </w:tc>
        <w:tc>
          <w:tcPr>
            <w:tcW w:type="dxa" w:w="5616"/>
          </w:tcPr>
          <w:p>
            <w:pPr>
              <w:pStyle w:val="TableText"/>
            </w:pPr>
            <w:r/>
          </w:p>
        </w:tc>
      </w:tr>
      <w:tr>
        <w:tc>
          <w:tcPr>
            <w:tcW w:type="dxa" w:w="3744"/>
          </w:tcPr>
          <w:p>
            <w:pPr>
              <w:pStyle w:val="TableText"/>
            </w:pPr>
            <w:r/>
            <w:r>
              <w:t>Denominator — the exact eligible base, or “none”</w:t>
            </w:r>
          </w:p>
        </w:tc>
        <w:tc>
          <w:tcPr>
            <w:tcW w:type="dxa" w:w="5616"/>
          </w:tcPr>
          <w:p>
            <w:pPr>
              <w:pStyle w:val="TableText"/>
            </w:pPr>
            <w:r/>
          </w:p>
        </w:tc>
      </w:tr>
      <w:tr>
        <w:tc>
          <w:tcPr>
            <w:tcW w:type="dxa" w:w="3744"/>
          </w:tcPr>
          <w:p>
            <w:pPr>
              <w:pStyle w:val="TableText"/>
            </w:pPr>
            <w:r/>
            <w:r>
              <w:t>Window — the period and the boundary rule</w:t>
            </w:r>
          </w:p>
        </w:tc>
        <w:tc>
          <w:tcPr>
            <w:tcW w:type="dxa" w:w="5616"/>
          </w:tcPr>
          <w:p>
            <w:pPr>
              <w:pStyle w:val="TableText"/>
            </w:pPr>
            <w:r/>
          </w:p>
        </w:tc>
      </w:tr>
      <w:tr>
        <w:tc>
          <w:tcPr>
            <w:tcW w:type="dxa" w:w="3744"/>
          </w:tcPr>
          <w:p>
            <w:pPr>
              <w:pStyle w:val="TableText"/>
            </w:pPr>
            <w:r/>
            <w:r>
              <w:t>Filters — applied identically to numerator and denominator</w:t>
            </w:r>
          </w:p>
        </w:tc>
        <w:tc>
          <w:tcPr>
            <w:tcW w:type="dxa" w:w="5616"/>
          </w:tcPr>
          <w:p>
            <w:pPr>
              <w:pStyle w:val="TableText"/>
            </w:pPr>
            <w:r/>
          </w:p>
        </w:tc>
      </w:tr>
      <w:tr>
        <w:tc>
          <w:tcPr>
            <w:tcW w:type="dxa" w:w="3744"/>
          </w:tcPr>
          <w:p>
            <w:pPr>
              <w:pStyle w:val="TableText"/>
            </w:pPr>
            <w:r/>
            <w:r>
              <w:t>Grain — what one computed observation represents</w:t>
            </w:r>
          </w:p>
        </w:tc>
        <w:tc>
          <w:tcPr>
            <w:tcW w:type="dxa" w:w="5616"/>
          </w:tcPr>
          <w:p>
            <w:pPr>
              <w:pStyle w:val="TableText"/>
            </w:pPr>
            <w:r/>
          </w:p>
        </w:tc>
      </w:tr>
      <w:tr>
        <w:tc>
          <w:tcPr>
            <w:tcW w:type="dxa" w:w="3744"/>
          </w:tcPr>
          <w:p>
            <w:pPr>
              <w:pStyle w:val="TableText"/>
            </w:pPr>
            <w:r/>
            <w:r>
              <w:t>Unit — and percentage points are not percentages</w:t>
            </w:r>
          </w:p>
        </w:tc>
        <w:tc>
          <w:tcPr>
            <w:tcW w:type="dxa" w:w="5616"/>
          </w:tcPr>
          <w:p>
            <w:pPr>
              <w:pStyle w:val="TableText"/>
            </w:pPr>
            <w:r/>
          </w:p>
        </w:tc>
      </w:tr>
      <w:tr>
        <w:tc>
          <w:tcPr>
            <w:tcW w:type="dxa" w:w="3744"/>
          </w:tcPr>
          <w:p>
            <w:pPr>
              <w:pStyle w:val="TableText"/>
            </w:pPr>
            <w:r/>
            <w:r>
              <w:t>Required fields</w:t>
            </w:r>
          </w:p>
        </w:tc>
        <w:tc>
          <w:tcPr>
            <w:tcW w:type="dxa" w:w="5616"/>
          </w:tcPr>
          <w:p>
            <w:pPr>
              <w:pStyle w:val="TableText"/>
            </w:pPr>
            <w:r/>
          </w:p>
        </w:tc>
      </w:tr>
      <w:tr>
        <w:tc>
          <w:tcPr>
            <w:tcW w:type="dxa" w:w="3744"/>
          </w:tcPr>
          <w:p>
            <w:pPr>
              <w:pStyle w:val="TableText"/>
            </w:pPr>
            <w:r/>
            <w:r>
              <w:t>Interpretation — and what it does not establish</w:t>
            </w:r>
          </w:p>
        </w:tc>
        <w:tc>
          <w:tcPr>
            <w:tcW w:type="dxa" w:w="5616"/>
          </w:tcPr>
          <w:p>
            <w:pPr>
              <w:pStyle w:val="TableText"/>
            </w:pPr>
            <w:r/>
          </w:p>
        </w:tc>
      </w:tr>
      <w:tr>
        <w:tc>
          <w:tcPr>
            <w:tcW w:type="dxa" w:w="3744"/>
          </w:tcPr>
          <w:p>
            <w:pPr>
              <w:pStyle w:val="TableText"/>
            </w:pPr>
            <w:r/>
            <w:r>
              <w:t>Common failure</w:t>
            </w:r>
          </w:p>
        </w:tc>
        <w:tc>
          <w:tcPr>
            <w:tcW w:type="dxa" w:w="5616"/>
          </w:tcPr>
          <w:p>
            <w:pPr>
              <w:pStyle w:val="TableText"/>
            </w:pPr>
            <w:r/>
          </w:p>
        </w:tc>
      </w:tr>
      <w:tr>
        <w:tc>
          <w:tcPr>
            <w:tcW w:type="dxa" w:w="3744"/>
          </w:tcPr>
          <w:p>
            <w:pPr>
              <w:pStyle w:val="TableText"/>
            </w:pPr>
            <w:r/>
            <w:r>
              <w:t>Verification — a bound, a hand check, or a reconciliation</w:t>
            </w:r>
          </w:p>
        </w:tc>
        <w:tc>
          <w:tcPr>
            <w:tcW w:type="dxa" w:w="5616"/>
          </w:tcPr>
          <w:p>
            <w:pPr>
              <w:pStyle w:val="TableText"/>
            </w:pPr>
            <w:r/>
          </w:p>
        </w:tc>
      </w:tr>
      <w:tr>
        <w:tc>
          <w:tcPr>
            <w:tcW w:type="dxa" w:w="3744"/>
          </w:tcPr>
          <w:p>
            <w:pPr>
              <w:pStyle w:val="TableText"/>
            </w:pPr>
            <w:r/>
            <w:r>
              <w:t>Common variants, if practice legitimately differs</w:t>
            </w:r>
          </w:p>
        </w:tc>
        <w:tc>
          <w:tcPr>
            <w:tcW w:type="dxa" w:w="5616"/>
          </w:tcPr>
          <w:p>
            <w:pPr>
              <w:pStyle w:val="TableText"/>
            </w:pPr>
            <w:r/>
          </w:p>
        </w:tc>
      </w:tr>
      <w:tr>
        <w:tc>
          <w:tcPr>
            <w:tcW w:type="dxa" w:w="3744"/>
          </w:tcPr>
          <w:p>
            <w:pPr>
              <w:pStyle w:val="TableText"/>
            </w:pPr>
            <w:r/>
            <w:r>
              <w:t>Owner</w:t>
            </w:r>
          </w:p>
        </w:tc>
        <w:tc>
          <w:tcPr>
            <w:tcW w:type="dxa" w:w="5616"/>
          </w:tcPr>
          <w:p>
            <w:pPr>
              <w:pStyle w:val="TableText"/>
            </w:pPr>
            <w:r/>
          </w:p>
        </w:tc>
      </w:tr>
      <w:tr>
        <w:tc>
          <w:tcPr>
            <w:tcW w:type="dxa" w:w="3744"/>
          </w:tcPr>
          <w:p>
            <w:pPr>
              <w:pStyle w:val="TableText"/>
            </w:pPr>
            <w:r/>
            <w:r>
              <w:t>Decision this metric informs</w:t>
            </w:r>
          </w:p>
        </w:tc>
        <w:tc>
          <w:tcPr>
            <w:tcW w:type="dxa" w:w="5616"/>
          </w:tcPr>
          <w:p>
            <w:pPr>
              <w:pStyle w:val="TableText"/>
            </w:pPr>
            <w:r/>
          </w:p>
        </w:tc>
      </w:tr>
      <w:tr>
        <w:tc>
          <w:tcPr>
            <w:tcW w:type="dxa" w:w="3744"/>
          </w:tcPr>
          <w:p>
            <w:pPr>
              <w:pStyle w:val="TableText"/>
            </w:pPr>
            <w:r/>
            <w:r>
              <w:t>Review cadence</w:t>
            </w:r>
          </w:p>
        </w:tc>
        <w:tc>
          <w:tcPr>
            <w:tcW w:type="dxa" w:w="5616"/>
          </w:tcPr>
          <w:p>
            <w:pPr>
              <w:pStyle w:val="TableText"/>
            </w:pPr>
            <w:r/>
          </w:p>
        </w:tc>
      </w:tr>
      <w:tr>
        <w:tc>
          <w:tcPr>
            <w:tcW w:type="dxa" w:w="3744"/>
          </w:tcPr>
          <w:p>
            <w:pPr>
              <w:pStyle w:val="TableText"/>
            </w:pPr>
            <w:r/>
            <w:r>
              <w:t>Nearest cataloged Appendix B entry, and how this differs</w:t>
            </w:r>
          </w:p>
        </w:tc>
        <w:tc>
          <w:tcPr>
            <w:tcW w:type="dxa" w:w="5616"/>
          </w:tcPr>
          <w:p>
            <w:pPr>
              <w:pStyle w:val="TableText"/>
            </w:pPr>
            <w:r/>
          </w:p>
        </w:tc>
      </w:tr>
    </w:tbl>
    <w:p>
      <w:pPr>
        <w:pStyle w:val="Spacer"/>
      </w:pPr>
    </w:p>
    <w:p>
      <w:pPr>
        <w:pStyle w:val="Heading1"/>
      </w:pPr>
      <w:r>
        <w:t>Before you file it</w:t>
      </w:r>
    </w:p>
    <w:p>
      <w:pPr>
        <w:pStyle w:val="BodyText"/>
      </w:pPr>
      <w:r>
        <w:t>Three checks, which are the same three Appendix B applies to its own entries.</w:t>
      </w:r>
    </w:p>
    <w:p>
      <w:pPr>
        <w:pStyle w:val="BodyTextIndent"/>
      </w:pPr>
      <w:r>
        <w:t>First, compute the metric on a table small enough to check by hand, and confirm the figure. Second, confirm the bound: a proportion falls between 0 and 1, a rate over an empty base is undefined rather than zero, and a share sums with its complement to one. Third, write the sentence a reader would say after seeing the number, and check that the definition supports it — particularly the verb.</w:t>
      </w:r>
    </w:p>
    <w:sectPr>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F1ADA1" w14:textId="77777777" w:rsidR="001D02D0" w:rsidRDefault="001D02D0">
      <w:pPr>
        <w:spacing w:line="240" w:lineRule="auto"/>
      </w:pPr>
      <w:r>
        <w:separator/>
      </w:r>
    </w:p>
  </w:endnote>
  <w:endnote w:type="continuationSeparator" w:id="0">
    <w:p w14:paraId="22C77C20" w14:textId="77777777" w:rsidR="001D02D0" w:rsidRDefault="001D02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F534D8" w14:textId="77777777" w:rsidR="001614F1" w:rsidRDefault="00000000">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CF3347" w14:textId="77777777" w:rsidR="001D02D0" w:rsidRDefault="001D02D0">
      <w:pPr>
        <w:spacing w:line="240" w:lineRule="auto"/>
      </w:pPr>
      <w:r>
        <w:separator/>
      </w:r>
    </w:p>
  </w:footnote>
  <w:footnote w:type="continuationSeparator" w:id="0">
    <w:p w14:paraId="3264D62B" w14:textId="77777777" w:rsidR="001D02D0" w:rsidRDefault="001D02D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664BBD"/>
    <w:multiLevelType w:val="singleLevel"/>
    <w:tmpl w:val="0409000F"/>
    <w:lvl w:ilvl="0">
      <w:start w:val="1"/>
      <w:numFmt w:val="decimal"/>
      <w:lvlText w:val="%1."/>
      <w:lvlJc w:val="left"/>
      <w:pPr>
        <w:ind w:left="720" w:hanging="360"/>
      </w:pPr>
    </w:lvl>
  </w:abstractNum>
  <w:abstractNum w:abstractNumId="1" w15:restartNumberingAfterBreak="0">
    <w:nsid w:val="095709DA"/>
    <w:multiLevelType w:val="singleLevel"/>
    <w:tmpl w:val="0409000F"/>
    <w:lvl w:ilvl="0">
      <w:start w:val="1"/>
      <w:numFmt w:val="decimal"/>
      <w:lvlText w:val="%1."/>
      <w:lvlJc w:val="left"/>
      <w:pPr>
        <w:ind w:left="720" w:hanging="360"/>
      </w:pPr>
    </w:lvl>
  </w:abstractNum>
  <w:abstractNum w:abstractNumId="2" w15:restartNumberingAfterBreak="0">
    <w:nsid w:val="10EC5FD0"/>
    <w:multiLevelType w:val="singleLevel"/>
    <w:tmpl w:val="0409000F"/>
    <w:lvl w:ilvl="0">
      <w:start w:val="1"/>
      <w:numFmt w:val="decimal"/>
      <w:lvlText w:val="%1."/>
      <w:lvlJc w:val="left"/>
      <w:pPr>
        <w:ind w:left="720" w:hanging="360"/>
      </w:pPr>
    </w:lvl>
  </w:abstractNum>
  <w:abstractNum w:abstractNumId="3" w15:restartNumberingAfterBreak="0">
    <w:nsid w:val="205F19C9"/>
    <w:multiLevelType w:val="singleLevel"/>
    <w:tmpl w:val="0409000F"/>
    <w:lvl w:ilvl="0">
      <w:start w:val="1"/>
      <w:numFmt w:val="decimal"/>
      <w:lvlText w:val="%1."/>
      <w:lvlJc w:val="left"/>
      <w:pPr>
        <w:ind w:left="720" w:hanging="360"/>
      </w:pPr>
    </w:lvl>
  </w:abstractNum>
  <w:abstractNum w:abstractNumId="4" w15:restartNumberingAfterBreak="0">
    <w:nsid w:val="22832384"/>
    <w:multiLevelType w:val="singleLevel"/>
    <w:tmpl w:val="0409000F"/>
    <w:lvl w:ilvl="0">
      <w:start w:val="1"/>
      <w:numFmt w:val="decimal"/>
      <w:lvlText w:val="%1."/>
      <w:lvlJc w:val="left"/>
      <w:pPr>
        <w:ind w:left="720" w:hanging="360"/>
      </w:pPr>
    </w:lvl>
  </w:abstractNum>
  <w:abstractNum w:abstractNumId="5" w15:restartNumberingAfterBreak="0">
    <w:nsid w:val="235E09F1"/>
    <w:multiLevelType w:val="singleLevel"/>
    <w:tmpl w:val="0409000F"/>
    <w:lvl w:ilvl="0">
      <w:start w:val="1"/>
      <w:numFmt w:val="decimal"/>
      <w:lvlText w:val="%1."/>
      <w:lvlJc w:val="left"/>
      <w:pPr>
        <w:ind w:left="720" w:hanging="360"/>
      </w:pPr>
    </w:lvl>
  </w:abstractNum>
  <w:abstractNum w:abstractNumId="6" w15:restartNumberingAfterBreak="0">
    <w:nsid w:val="28434F94"/>
    <w:multiLevelType w:val="singleLevel"/>
    <w:tmpl w:val="0409000F"/>
    <w:lvl w:ilvl="0">
      <w:start w:val="1"/>
      <w:numFmt w:val="decimal"/>
      <w:lvlText w:val="%1."/>
      <w:lvlJc w:val="left"/>
      <w:pPr>
        <w:ind w:left="720" w:hanging="360"/>
      </w:pPr>
    </w:lvl>
  </w:abstractNum>
  <w:abstractNum w:abstractNumId="7" w15:restartNumberingAfterBreak="0">
    <w:nsid w:val="32860DF5"/>
    <w:multiLevelType w:val="singleLevel"/>
    <w:tmpl w:val="0409000F"/>
    <w:lvl w:ilvl="0">
      <w:start w:val="1"/>
      <w:numFmt w:val="decimal"/>
      <w:lvlText w:val="%1."/>
      <w:lvlJc w:val="left"/>
      <w:pPr>
        <w:ind w:left="720" w:hanging="360"/>
      </w:pPr>
    </w:lvl>
  </w:abstractNum>
  <w:abstractNum w:abstractNumId="8" w15:restartNumberingAfterBreak="0">
    <w:nsid w:val="3D7A3A09"/>
    <w:multiLevelType w:val="singleLevel"/>
    <w:tmpl w:val="0409000F"/>
    <w:lvl w:ilvl="0">
      <w:start w:val="1"/>
      <w:numFmt w:val="decimal"/>
      <w:lvlText w:val="%1."/>
      <w:lvlJc w:val="left"/>
      <w:pPr>
        <w:ind w:left="720" w:hanging="360"/>
      </w:pPr>
    </w:lvl>
  </w:abstractNum>
  <w:abstractNum w:abstractNumId="9" w15:restartNumberingAfterBreak="0">
    <w:nsid w:val="4D417F01"/>
    <w:multiLevelType w:val="singleLevel"/>
    <w:tmpl w:val="0409000F"/>
    <w:lvl w:ilvl="0">
      <w:start w:val="1"/>
      <w:numFmt w:val="decimal"/>
      <w:lvlText w:val="%1."/>
      <w:lvlJc w:val="left"/>
      <w:pPr>
        <w:ind w:left="720" w:hanging="360"/>
      </w:pPr>
    </w:lvl>
  </w:abstractNum>
  <w:abstractNum w:abstractNumId="10" w15:restartNumberingAfterBreak="0">
    <w:nsid w:val="4F023FE9"/>
    <w:multiLevelType w:val="singleLevel"/>
    <w:tmpl w:val="0409000F"/>
    <w:lvl w:ilvl="0">
      <w:start w:val="1"/>
      <w:numFmt w:val="decimal"/>
      <w:lvlText w:val="%1."/>
      <w:lvlJc w:val="left"/>
      <w:pPr>
        <w:ind w:left="720" w:hanging="360"/>
      </w:pPr>
    </w:lvl>
  </w:abstractNum>
  <w:abstractNum w:abstractNumId="11" w15:restartNumberingAfterBreak="0">
    <w:nsid w:val="5A5C3BE1"/>
    <w:multiLevelType w:val="singleLevel"/>
    <w:tmpl w:val="0409000F"/>
    <w:lvl w:ilvl="0">
      <w:start w:val="1"/>
      <w:numFmt w:val="decimal"/>
      <w:lvlText w:val="%1."/>
      <w:lvlJc w:val="left"/>
      <w:pPr>
        <w:ind w:left="720" w:hanging="360"/>
      </w:pPr>
    </w:lvl>
  </w:abstractNum>
  <w:abstractNum w:abstractNumId="12" w15:restartNumberingAfterBreak="0">
    <w:nsid w:val="5C22603E"/>
    <w:multiLevelType w:val="singleLevel"/>
    <w:tmpl w:val="0409000F"/>
    <w:lvl w:ilvl="0">
      <w:start w:val="1"/>
      <w:numFmt w:val="decimal"/>
      <w:lvlText w:val="%1."/>
      <w:lvlJc w:val="left"/>
      <w:pPr>
        <w:ind w:left="720" w:hanging="360"/>
      </w:pPr>
    </w:lvl>
  </w:abstractNum>
  <w:abstractNum w:abstractNumId="13" w15:restartNumberingAfterBreak="0">
    <w:nsid w:val="5EEA09D5"/>
    <w:multiLevelType w:val="singleLevel"/>
    <w:tmpl w:val="0409000F"/>
    <w:lvl w:ilvl="0">
      <w:start w:val="1"/>
      <w:numFmt w:val="decimal"/>
      <w:lvlText w:val="%1."/>
      <w:lvlJc w:val="left"/>
      <w:pPr>
        <w:ind w:left="720" w:hanging="360"/>
      </w:pPr>
    </w:lvl>
  </w:abstractNum>
  <w:abstractNum w:abstractNumId="14" w15:restartNumberingAfterBreak="0">
    <w:nsid w:val="72A2760C"/>
    <w:multiLevelType w:val="singleLevel"/>
    <w:tmpl w:val="0409000F"/>
    <w:lvl w:ilvl="0">
      <w:start w:val="1"/>
      <w:numFmt w:val="decimal"/>
      <w:lvlText w:val="%1."/>
      <w:lvlJc w:val="left"/>
      <w:pPr>
        <w:ind w:left="720" w:hanging="360"/>
      </w:pPr>
    </w:lvl>
  </w:abstractNum>
  <w:abstractNum w:abstractNumId="15" w15:restartNumberingAfterBreak="0">
    <w:nsid w:val="786E53E0"/>
    <w:multiLevelType w:val="singleLevel"/>
    <w:tmpl w:val="0409000F"/>
    <w:lvl w:ilvl="0">
      <w:start w:val="1"/>
      <w:numFmt w:val="decimal"/>
      <w:lvlText w:val="%1."/>
      <w:lvlJc w:val="left"/>
      <w:pPr>
        <w:ind w:left="720" w:hanging="360"/>
      </w:pPr>
    </w:lvl>
  </w:abstractNum>
  <w:abstractNum w:abstractNumId="16" w15:restartNumberingAfterBreak="0">
    <w:nsid w:val="7EF725F9"/>
    <w:multiLevelType w:val="singleLevel"/>
    <w:tmpl w:val="F1504368"/>
    <w:lvl w:ilvl="0">
      <w:start w:val="1"/>
      <w:numFmt w:val="bullet"/>
      <w:lvlText w:val="•"/>
      <w:lvlJc w:val="left"/>
      <w:pPr>
        <w:ind w:left="720" w:hanging="360"/>
      </w:pPr>
      <w:rPr>
        <w:rFonts w:ascii="Times New Roman" w:hAnsi="Times New Roman"/>
      </w:rPr>
    </w:lvl>
  </w:abstractNum>
  <w:num w:numId="1" w16cid:durableId="21520821">
    <w:abstractNumId w:val="12"/>
  </w:num>
  <w:num w:numId="2" w16cid:durableId="950749691">
    <w:abstractNumId w:val="15"/>
  </w:num>
  <w:num w:numId="3" w16cid:durableId="1293026175">
    <w:abstractNumId w:val="8"/>
  </w:num>
  <w:num w:numId="4" w16cid:durableId="897672372">
    <w:abstractNumId w:val="14"/>
  </w:num>
  <w:num w:numId="5" w16cid:durableId="1083455364">
    <w:abstractNumId w:val="0"/>
  </w:num>
  <w:num w:numId="6" w16cid:durableId="1995520715">
    <w:abstractNumId w:val="5"/>
  </w:num>
  <w:num w:numId="7" w16cid:durableId="915896767">
    <w:abstractNumId w:val="1"/>
  </w:num>
  <w:num w:numId="8" w16cid:durableId="1602033624">
    <w:abstractNumId w:val="6"/>
  </w:num>
  <w:num w:numId="9" w16cid:durableId="912158662">
    <w:abstractNumId w:val="13"/>
  </w:num>
  <w:num w:numId="10" w16cid:durableId="1657222201">
    <w:abstractNumId w:val="9"/>
  </w:num>
  <w:num w:numId="11" w16cid:durableId="1668707773">
    <w:abstractNumId w:val="2"/>
  </w:num>
  <w:num w:numId="12" w16cid:durableId="1066680888">
    <w:abstractNumId w:val="7"/>
  </w:num>
  <w:num w:numId="13" w16cid:durableId="1889681720">
    <w:abstractNumId w:val="10"/>
  </w:num>
  <w:num w:numId="14" w16cid:durableId="1963538627">
    <w:abstractNumId w:val="11"/>
  </w:num>
  <w:num w:numId="15" w16cid:durableId="2120367357">
    <w:abstractNumId w:val="3"/>
  </w:num>
  <w:num w:numId="16" w16cid:durableId="1053388474">
    <w:abstractNumId w:val="4"/>
  </w:num>
  <w:num w:numId="17" w16cid:durableId="216286694">
    <w:abstractNumId w:val="16"/>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keepNext/>
      <w:keepLines/>
      <w:spacing w:before="360"/>
      <w:outlineLvl w:val="0"/>
    </w:pPr>
    <w:rPr>
      <w:b/>
      <w:sz w:val="28"/>
    </w:rPr>
  </w:style>
  <w:style w:type="paragraph" w:styleId="Heading2">
    <w:name w:val="heading 2"/>
    <w:basedOn w:val="Normal"/>
    <w:uiPriority w:val="9"/>
    <w:unhideWhenUsed/>
    <w:qFormat/>
    <w:pPr>
      <w:keepNext/>
      <w:keepLines/>
      <w:spacing w:before="280" w:after="80"/>
      <w:outlineLvl w:val="1"/>
    </w:pPr>
    <w:rPr>
      <w:b/>
      <w:i/>
    </w:rPr>
  </w:style>
  <w:style w:type="paragraph" w:styleId="Heading3">
    <w:name w:val="heading 3"/>
    <w:basedOn w:val="Normal"/>
    <w:uiPriority w:val="9"/>
    <w:qFormat/>
    <w:pPr>
      <w:keepNext/>
      <w:keepLines/>
      <w:spacing w:before="240" w:after="60"/>
      <w:outlineLvl w:val="2"/>
    </w:pPr>
    <w:rPr>
      <w:b/>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Title">
    <w:name w:val="Chapter Title"/>
    <w:basedOn w:val="Normal"/>
    <w:qFormat/>
    <w:pPr>
      <w:keepNext/>
      <w:jc w:val="center"/>
      <w:outlineLvl w:val="0"/>
    </w:pPr>
    <w:rPr>
      <w:b/>
      <w:sz w:val="34"/>
    </w:rPr>
  </w:style>
  <w:style w:type="paragraph" w:customStyle="1" w:styleId="ChapterSubtitle">
    <w:name w:val="Chapter Subtitle"/>
    <w:basedOn w:val="Normal"/>
    <w:qFormat/>
    <w:pPr>
      <w:keepNext/>
      <w:spacing w:after="300"/>
      <w:jc w:val="center"/>
    </w:pPr>
    <w:rPr>
      <w:i/>
      <w:sz w:val="26"/>
    </w:rPr>
  </w:style>
  <w:style w:type="paragraph" w:customStyle="1" w:styleId="Byline">
    <w:name w:val="Byline"/>
    <w:basedOn w:val="Normal"/>
    <w:qFormat/>
    <w:pPr>
      <w:spacing w:line="240" w:lineRule="auto"/>
      <w:contextualSpacing/>
      <w:jc w:val="center"/>
    </w:pPr>
    <w:rPr>
      <w:color w:val="404040"/>
      <w:sz w:val="22"/>
    </w:rPr>
  </w:style>
  <w:style w:type="paragraph" w:styleId="BodyText">
    <w:name w:val="Body Text"/>
    <w:basedOn w:val="Normal"/>
    <w:qFormat/>
    <w:pPr>
      <w:spacing w:after="0"/>
    </w:pPr>
  </w:style>
  <w:style w:type="paragraph" w:styleId="BodyTextIndent">
    <w:name w:val="Body Text Indent"/>
    <w:basedOn w:val="Normal"/>
    <w:qFormat/>
    <w:pPr>
      <w:spacing w:after="0"/>
      <w:ind w:firstLine="360"/>
    </w:pPr>
  </w:style>
  <w:style w:type="paragraph" w:customStyle="1" w:styleId="MetadataLabel">
    <w:name w:val="Metadata Label"/>
    <w:basedOn w:val="Normal"/>
    <w:qFormat/>
    <w:pPr>
      <w:keepNext/>
      <w:spacing w:before="240" w:after="40" w:line="240" w:lineRule="auto"/>
    </w:pPr>
    <w:rPr>
      <w:b/>
      <w:caps/>
      <w:color w:val="57068C"/>
      <w:sz w:val="20"/>
    </w:rPr>
  </w:style>
  <w:style w:type="paragraph" w:customStyle="1" w:styleId="MetadataBody">
    <w:name w:val="Metadata Body"/>
    <w:basedOn w:val="Normal"/>
    <w:qFormat/>
    <w:pPr>
      <w:spacing w:after="80"/>
    </w:pPr>
    <w:rPr>
      <w:sz w:val="22"/>
    </w:rPr>
  </w:style>
  <w:style w:type="paragraph" w:styleId="ListNumber">
    <w:name w:val="List Number"/>
    <w:basedOn w:val="Normal"/>
    <w:qFormat/>
    <w:pPr>
      <w:spacing w:before="40" w:after="80"/>
      <w:ind w:left="720" w:hanging="360"/>
      <w:contextualSpacing/>
    </w:pPr>
  </w:style>
  <w:style w:type="paragraph" w:styleId="ListBullet">
    <w:name w:val="List Bullet"/>
    <w:basedOn w:val="Normal"/>
    <w:qFormat/>
    <w:pPr>
      <w:spacing w:before="40" w:after="80"/>
      <w:ind w:left="720" w:hanging="360"/>
      <w:contextualSpacing/>
    </w:pPr>
  </w:style>
  <w:style w:type="paragraph" w:customStyle="1" w:styleId="ReferenceEntry">
    <w:name w:val="Reference Entry"/>
    <w:basedOn w:val="Normal"/>
    <w:qFormat/>
    <w:pPr>
      <w:ind w:left="720" w:hanging="720"/>
    </w:pPr>
  </w:style>
  <w:style w:type="paragraph" w:customStyle="1" w:styleId="TableCaption">
    <w:name w:val="Table Caption"/>
    <w:basedOn w:val="Normal"/>
    <w:qFormat/>
    <w:pPr>
      <w:keepNext/>
      <w:spacing w:before="300" w:after="80"/>
    </w:pPr>
    <w:rPr>
      <w:sz w:val="22"/>
    </w:rPr>
  </w:style>
  <w:style w:type="paragraph" w:customStyle="1" w:styleId="CodeCaption">
    <w:name w:val="Code Caption"/>
    <w:basedOn w:val="Normal"/>
    <w:qFormat/>
    <w:pPr>
      <w:keepNext/>
      <w:spacing w:before="300" w:after="80"/>
    </w:pPr>
    <w:rPr>
      <w:b/>
      <w:sz w:val="22"/>
    </w:rPr>
  </w:style>
  <w:style w:type="paragraph" w:customStyle="1" w:styleId="CodeBlock">
    <w:name w:val="Code Block"/>
    <w:basedOn w:val="Normal"/>
    <w:qFormat/>
    <w:pPr>
      <w:keepLines/>
      <w:pBdr>
        <w:top w:val="single" w:sz="4" w:space="6" w:color="D6D6D6"/>
        <w:left w:val="single" w:sz="4" w:space="6" w:color="D6D6D6"/>
        <w:bottom w:val="single" w:sz="4" w:space="6" w:color="D6D6D6"/>
        <w:right w:val="single" w:sz="4" w:space="6" w:color="D6D6D6"/>
      </w:pBdr>
      <w:shd w:val="clear" w:color="auto" w:fill="F2F2F2"/>
      <w:spacing w:before="60" w:after="240" w:line="240" w:lineRule="auto"/>
      <w:ind w:left="180" w:right="180"/>
    </w:pPr>
    <w:rPr>
      <w:rFonts w:ascii="Courier New" w:hAnsi="Courier New" w:cs="Courier New"/>
      <w:sz w:val="19"/>
    </w:rPr>
  </w:style>
  <w:style w:type="paragraph" w:customStyle="1" w:styleId="BoxLabel">
    <w:name w:val="Box Label"/>
    <w:basedOn w:val="Normal"/>
    <w:qFormat/>
    <w:pPr>
      <w:keepNext/>
      <w:spacing w:after="60" w:line="240" w:lineRule="auto"/>
    </w:pPr>
    <w:rPr>
      <w:b/>
      <w:caps/>
      <w:color w:val="57068C"/>
      <w:spacing w:val="30"/>
      <w:sz w:val="19"/>
    </w:rPr>
  </w:style>
  <w:style w:type="paragraph" w:customStyle="1" w:styleId="BoxTitle">
    <w:name w:val="Box Title"/>
    <w:basedOn w:val="Normal"/>
    <w:qFormat/>
    <w:pPr>
      <w:keepNext/>
      <w:spacing w:after="80" w:line="240" w:lineRule="auto"/>
    </w:pPr>
    <w:rPr>
      <w:b/>
      <w:sz w:val="23"/>
    </w:rPr>
  </w:style>
  <w:style w:type="paragraph" w:customStyle="1" w:styleId="BoxBody">
    <w:name w:val="Box Body"/>
    <w:basedOn w:val="Normal"/>
    <w:qFormat/>
    <w:pPr>
      <w:spacing w:after="80"/>
    </w:pPr>
    <w:rPr>
      <w:sz w:val="22"/>
    </w:rPr>
  </w:style>
  <w:style w:type="paragraph" w:customStyle="1" w:styleId="TableHeading">
    <w:name w:val="Table Heading"/>
    <w:basedOn w:val="Normal"/>
    <w:qFormat/>
    <w:pPr>
      <w:spacing w:before="40" w:after="40" w:line="240" w:lineRule="auto"/>
    </w:pPr>
    <w:rPr>
      <w:b/>
      <w:sz w:val="21"/>
    </w:rPr>
  </w:style>
  <w:style w:type="paragraph" w:customStyle="1" w:styleId="TableText">
    <w:name w:val="Table Text"/>
    <w:basedOn w:val="Normal"/>
    <w:qFormat/>
    <w:pPr>
      <w:spacing w:before="40" w:after="40" w:line="240" w:lineRule="auto"/>
    </w:pPr>
    <w:rPr>
      <w:sz w:val="21"/>
    </w:rPr>
  </w:style>
  <w:style w:type="paragraph" w:customStyle="1" w:styleId="Spacer">
    <w:name w:val="Spacer"/>
    <w:basedOn w:val="Normal"/>
    <w:qFormat/>
    <w:pPr>
      <w:spacing w:after="0" w:line="240" w:lineRule="auto"/>
    </w:pPr>
    <w:rPr>
      <w:sz w:val="14"/>
    </w:rPr>
  </w:style>
  <w:style w:type="paragraph" w:styleId="Footer">
    <w:name w:val="footer"/>
    <w:basedOn w:val="Normal"/>
    <w:qFormat/>
    <w:pPr>
      <w:tabs>
        <w:tab w:val="center" w:pos="4680"/>
      </w:tabs>
      <w:spacing w:line="240" w:lineRule="auto"/>
      <w:jc w:val="center"/>
    </w:pPr>
    <w:rPr>
      <w:color w:val="404040"/>
      <w:sz w:val="20"/>
    </w:rPr>
  </w:style>
  <w:style w:type="paragraph" w:customStyle="1" w:styleId="CalloutLabel">
    <w:name w:val="Callout Label"/>
    <w:basedOn w:val="Normal"/>
    <w:qFormat/>
    <w:pPr>
      <w:keepNext/>
      <w:keepLines/>
      <w:pBdr>
        <w:top w:val="single" w:sz="4" w:space="6" w:color="C9BFD6"/>
        <w:left w:val="single" w:sz="18" w:space="8" w:color="57068C"/>
        <w:bottom w:val="single" w:sz="4" w:space="6" w:color="C9BFD6"/>
        <w:right w:val="single" w:sz="4" w:space="6" w:color="C9BFD6"/>
      </w:pBdr>
      <w:shd w:val="clear" w:color="auto" w:fill="F5F2F8"/>
      <w:spacing w:before="160" w:after="60"/>
      <w:ind w:left="200" w:right="200"/>
    </w:pPr>
    <w:rPr>
      <w:b/>
      <w:caps/>
      <w:color w:val="57068C"/>
      <w:spacing w:val="30"/>
      <w:sz w:val="19"/>
    </w:rPr>
  </w:style>
  <w:style w:type="paragraph" w:customStyle="1" w:styleId="CalloutTitle">
    <w:name w:val="Callout Title"/>
    <w:basedOn w:val="Normal"/>
    <w:qFormat/>
    <w:pPr>
      <w:keepNext/>
      <w:keepLines/>
      <w:pBdr>
        <w:top w:val="single" w:sz="4" w:space="6" w:color="C9BFD6"/>
        <w:left w:val="single" w:sz="18" w:space="8" w:color="57068C"/>
        <w:bottom w:val="single" w:sz="4" w:space="6" w:color="C9BFD6"/>
        <w:right w:val="single" w:sz="4" w:space="6" w:color="C9BFD6"/>
      </w:pBdr>
      <w:shd w:val="clear" w:color="auto" w:fill="F5F2F8"/>
      <w:spacing w:after="80"/>
      <w:ind w:left="200" w:right="200"/>
    </w:pPr>
    <w:rPr>
      <w:b/>
      <w:sz w:val="23"/>
    </w:rPr>
  </w:style>
  <w:style w:type="paragraph" w:customStyle="1" w:styleId="CalloutBody">
    <w:name w:val="Callout Body"/>
    <w:basedOn w:val="Normal"/>
    <w:qFormat/>
    <w:pPr>
      <w:keepNext/>
      <w:keepLines/>
      <w:pBdr>
        <w:top w:val="single" w:sz="4" w:space="6" w:color="C9BFD6"/>
        <w:left w:val="single" w:sz="18" w:space="8" w:color="57068C"/>
        <w:bottom w:val="single" w:sz="4" w:space="6" w:color="C9BFD6"/>
        <w:right w:val="single" w:sz="4" w:space="6" w:color="C9BFD6"/>
      </w:pBdr>
      <w:shd w:val="clear" w:color="auto" w:fill="F5F2F8"/>
      <w:spacing w:after="80"/>
      <w:ind w:left="200" w:right="200"/>
    </w:pPr>
    <w:rPr>
      <w:sz w:val="22"/>
    </w:rPr>
  </w:style>
  <w:style w:type="paragraph" w:customStyle="1" w:styleId="CalloutSource">
    <w:name w:val="Callout Source"/>
    <w:basedOn w:val="Normal"/>
    <w:qFormat/>
    <w:pPr>
      <w:keepLines/>
      <w:pBdr>
        <w:top w:val="single" w:sz="4" w:space="6" w:color="C9BFD6"/>
        <w:left w:val="single" w:sz="18" w:space="8" w:color="57068C"/>
        <w:bottom w:val="single" w:sz="4" w:space="6" w:color="C9BFD6"/>
        <w:right w:val="single" w:sz="4" w:space="6" w:color="C9BFD6"/>
      </w:pBdr>
      <w:shd w:val="clear" w:color="auto" w:fill="F5F2F8"/>
      <w:spacing w:after="140"/>
      <w:ind w:left="200" w:right="200"/>
    </w:pPr>
    <w:rPr>
      <w:color w:val="404040"/>
      <w:sz w:val="20"/>
    </w:rPr>
  </w:style>
  <w:style w:type="character" w:styleId="Emphasis">
    <w:name w:val="Emphasis"/>
    <w:basedOn w:val="DefaultParagraphFont"/>
    <w:uiPriority w:val="20"/>
    <w:qFormat/>
    <w:rsid w:val="001D61E5"/>
    <w:rPr>
      <w:i/>
      <w:iCs/>
    </w:rPr>
  </w:style>
  <w:style w:type="character" w:styleId="Hyperlink">
    <w:name w:val="Hyperlink"/>
    <w:basedOn w:val="DefaultParagraphFont"/>
    <w:uiPriority w:val="99"/>
    <w:semiHidden/>
    <w:unhideWhenUsed/>
    <w:rsid w:val="001D61E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33</Pages>
  <Words>11312</Words>
  <Characters>66854</Characters>
  <Application>Microsoft Office Word</Application>
  <DocSecurity>0</DocSecurity>
  <Lines>1485</Lines>
  <Paragraphs>773</Paragraphs>
  <ScaleCrop>false</ScaleCrop>
  <HeadingPairs>
    <vt:vector size="2" baseType="variant">
      <vt:variant>
        <vt:lpstr>Title</vt:lpstr>
      </vt:variant>
      <vt:variant>
        <vt:i4>1</vt:i4>
      </vt:variant>
    </vt:vector>
  </HeadingPairs>
  <TitlesOfParts>
    <vt:vector size="1" baseType="lpstr">
      <vt:lpstr>Becoming an AI-Augmented Marketing Analyst</vt:lpstr>
    </vt:vector>
  </TitlesOfParts>
  <Manager/>
  <Company/>
  <LinksUpToDate>false</LinksUpToDate>
  <CharactersWithSpaces>77393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Applied Business Analytics for Marketing Decision-Making — Chapter Template</dc:title>
  <dc:creator>Jose Mendoza</dc:creator>
  <cp:lastModifiedBy>Jose Mendoza</cp:lastModifiedBy>
</cp:coreProperties>
</file>