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TEAS EA Reconciliation Audit – Batch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Independent reconciliation of the remaining 2022 studies and the first 2023 study. Source PDF was primary evidence. Covidence/full extraction, Gemini extraction and stored RoB 2 files were checked separately. Core study-identity, intervention, sample, outcome/timepoint or numerical-result mismatches require full RoB replacement.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Lu et al. 2022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Source: getfile.php-3.pdf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Article: Acupoint Stimulation for Enhanced Recovery After Colon Surgery: A Prospective Multicenter Randomized Controlled Trial. Journal of Multidisciplinary Healthcare. 2022;15:2871–2879. DOI 10.2147/JMDH.S391852. NCT02921529.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Source-verified facts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Prospective three-center randomized controlled trial within ERAS.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- 100 randomized, 50/group; 94 received the assigned intervention and were analyzed, 47/group.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Six post-randomization exclusions: three TEAS conversions to open surgery; two control conversions to open; one control rejected intervention. Authors call the analysis modified ITT, but all 100 randomized patients were not retained.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Computer-generated random allocation; code placed in sealed envelope. Follow-up investigators were blinded; participant blinding was explicitly difficult.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Electrodes placed at bilateral PC6/LI4 and ST36/SP6; authors explicitly describe active stimulation at PC6 and ST36. Preserve this wording ambiguity.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Alternating 2 and 10 Hz; threshold/intensity identified by increasing 4–11 mA.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Four planned 30-min sessions: one 30 min pre-induction and one each morning on POD1–3. No intraoperative TEAS.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Primary outcome: time to meet discharge criteria, 6.0 ± 1.8 d vs 7.0 ± 2.4 d, P=0.02.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First flatus: 34.5 ± 16.7 h vs 42.4 ± 22.9 h, P=0.03.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First defecation: 42.0 ± 25.0 h vs 55.4 ± 29.7 h, P=0.03.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PCA drug/concentration/bolus are not reported. Only attempts and deliveries are available; these are opioid-use proxies and cannot be converted to exact opioid dose/MME.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Extraction reconciliation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Covidence/full extraction is source-consistent and appropriately distinguishes modified ITT from full ITT and PCA activity from opioid dose.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Gemini is broadly source-consistent but contains minor bibliographic/data transcription issues: DOI is given as S391262 rather than source S391852; some QoR-15 values differ from the source text/table. The source PDF/full extraction should prevail.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RoB 2 audit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STATUS: INVALID – FULL REASSESSMENT REQUIRED.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stored RoB2_Lu_2022_TimeFlatus_POD1to3.md changes core facts: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citation/journal/pages;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sample from 100 randomized/94 analyzed to 240 randomized/analyzed;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randomization to a fabricated central SAS web-based system instead of computer sequence + sealed envelopes;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intervention to twice-daily POD1–3 TEAS at 2/100 Hz, 10–20 mA, omitting the actual preoperative session and using the wrong frequency/intensity;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analysis to 100% ITT with no missing data;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first-flatus result to fabricated 49.2 ± 13.8 vs 59.6 ± 15.2 h rather than 34.5 ± 16.7 vs 42.4 ± 22.9 h;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unsupported statements about bedside-carer awareness and electronic patient diaries.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Full replacement is required.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Xing et al. 2022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Source: s40122-022-00429-2.pdf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Article: Effect of Transcutaneous Electrical Acupoint Stimulation Combined with Transversus Abdominis Plane Block on Postoperative Recovery in Elderly Patients Undergoing Laparoscopic Gastric Cancer Surgery: A Randomized Controlled Trial. Pain and Therapy. 2022;11:1327–1339. DOI 10.1007/s40122-022-00429-2. ChiCTR2100042119.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Source-verified facts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Single-center three-arm randomized trial in elderly patients undergoing laparoscopic gastric cancer surgery.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- 90 randomized, 30/group; 87 analyzed, 29/group. One loss/exclusion in each arm. No full 90-patient ITT analysis.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Groups: G = sham/no-current TEAS + saline sham TAPB; NG = sham/no-current TEAS + active TAPB; NTG = active TEAS + active TAPB.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Source has an internal randomization wording error of 1:1:1:1 despite three groups; actual allocation was 30/30/30. Preserve the inconsistency.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TEAS: bilateral LI4, PC6, ST36; 2/100 Hz; mild twitching to individual maximum tolerance; started 30 min before anesthesia and continued to end of surgery; no postoperative TEAS.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TAPB in NG/NTG: 40 mL 0.375% ropivacaine; G received 40 mL saline.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Intraoperative remifentanil: G 1619.13 ± 328.98 µg; NG 1415.41 ± 295.67 µg; NTG 1182.61 ± 253.61 µg.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PCIA contained sufentanil 0.5 µg/mL, 2-mL bolus, 15-min lockout, intended no background infusion; article wording about background/continuous infusion is internally contradictory and should remain flagged.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Pump press counts do not necessarily equal successful bolus deliveries, so exact postoperative sufentanil dose should not be reconstructed from press count alone.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First flatus: G 43.03 ± 8.13 h; NG 36.83 ± 6.19 h; NTG 32.57 ± 6.94 h; NTG significantly shorter than 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Extraction reconciliation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Covidence/full extraction is source-consistent and preserves the 1:1:1:1 text inconsistency and PCIA wording ambiguity.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Gemini is substantially source-consistent.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RoB 2 audit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STATUS: INVALID / WRONG STUDY – FULL REASSESSMENT REQUIRED.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attached RoB is RoB2_Wang_2022_TimeFlatus_POD1to3.md and describes a different trial. It changes: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authors and study identity to Wang et al.;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gastric surgery in elderly patients to colorectal surgery in adults;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sample from 90 randomized/87 analyzed to 120/120;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group sizes from 29 analyzed per arm to 40 per arm;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acupoints by dropping PC6 and changing treatment details;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intensity to invented 10–20 mA;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randomization details to SPSS 26 plus sequential opaque envelopes not reported in the source;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outcome result to fabricated flatus 51.2 ± 10.4 / 62.8 ± 12.1 / 74.5 ± 13.8 h rather than source 32.57 / 36.83 / 43.03 h for NTG/NG/G;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follow-up to 100% complete ITT.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Discard this RoB record entirely.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Pan et al. 2023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Source: getfile.php-4.pdf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Article: Transcutaneous Electrical Acupoint Stimulation Accelerates the Recovery of Patients Undergoing Laparoscopic Myomectomy: A Randomized Controlled Trial. Journal of Pain Research. 2023;16:809–819. DOI 10.2147/JPR.S399249. ChiCTR2100045173.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Source-verified facts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Female laparoscopic-myomectomy population, ASA I–II, age 18–60 years.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Methods/flow diagram indicate 120 randomized, 60/group; 105 analyzed: TEAS 52, control 53. Abstract misleadingly describes 105 as randomly divided.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Fifteen post-randomization exclusions. The group-specific exclusion arithmetic in the flow diagram does not reconcile with reported final denominators; retain the published 52/53 denominators and flag the inconsistency.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Randomization used random-number tables. Allocation concealment is not reported.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Article calls trial double-blind, but control received no TEAS and no sham procedure is described; participant blinding is therefore unsupported. PACU pain nurse was blinded.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TEAS phase 1: bilateral LI4 + PC6 from 30 min preoperatively through end of anesthesia.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TEAS phase 2: bilateral ST36 + SP6 for 30 min in PACU. No further postoperative sessions.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Frequency 2/100 Hz; exact intended current cannot be reliably reconstructed because the publication contains unclear “−1 mA” wording.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Primary outcome: QoR-40 at 24 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Intraoperative remifentanil: source-grounded extraction 740.1 ± 276.9 µg TEAS vs 854.0 ± 287.5 µg control, P=0.04. Gemini contains a conflicting transcription around this value; source/full extraction prevails.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NRS at 24 h: median 2 (2–3) vs 3 (3–4), significantly lower with TEAS.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QoR-40 total at 24 h: 182.7 ± 6.9 vs 176.4 ± 7.1.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First postoperative flatus/anal exhaust: 1020.0 (675.8–1278.0) min vs 1210.0 (896.5–1427.0) min, P=0.01; this is a median/IQR-style result, not a mean/SD.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Extraction reconciliation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Covidence/full extraction is source-consistent and correctly flags the 120-randomized/105-analyzed discrepancy and flow arithmetic.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Gemini is broadly source-consistent but should not override the source on remifentanil transcription or any internally inconsistent values.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RoB 2 audit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STATUS: INVALID – FULL REASSESSMENT REQUIRED.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stored RoB2_Pan_2023_TimeFlatus_POD1to2.md changes: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citation authors/pages;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randomized sample from 120 to 105 and asserts 100% ITT;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group allocation to 53 TEAS/52 sham instead of final analyzed 52 TEAS/53 control;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comparator from no TEAS to an invented sham TEAS procedure;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intervention from LI4/PC6 pre/intraoperative + ST36/SP6 PACU to LI4/ST36/SP6 preoperatively plus twice-daily POD1 treatment;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intensity to invented 10–18 mA;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allocation concealment to computer-based generator + sequential opaque envelopes, which the article does not report;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outcome to fabricated first-flatus mean ± SD 23.4 ± 5.6 vs 31.8 ± 7.2 h instead of source median-style 1020 vs 1210 min;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claims all outcome assessors were blinded, unsupported by the article.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Full replacement is required.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Batch 10 overall conclusion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source-grounded extraction layer remains substantially reliable for all three studies. Gemini is usable for secondary checking in Lu 2022, Xing 2022 and Pan 2023 but contains minor transcription/bibliographic errors and must not supersede source text. All three stored RoB 2 assessments are invalid because they alter study identity, sample structure, intervention, outcome definition or numerical results.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Reassess RoB 2 de novo for all three studies using the correct review-specified outcome/timepoint.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Preserve modified-ITT/per-protocol attrition rather than relabeling as full ITT.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Do not turn PCA attempts/presses into opioid dose without successful-delivery and concentration information.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Preserve medians/IQRs and graph-only/ambiguous results in their published format; do not fabricate means/SDs.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