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Reconciliation Audit – Batch 13</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w:t>
      </w:r>
    </w:p>
    <w:p w:rsidR="00000000" w:rsidDel="00000000" w:rsidP="00000000" w:rsidRDefault="00000000" w:rsidRPr="00000000" w14:paraId="00000004">
      <w:pPr>
        <w:rPr/>
      </w:pPr>
      <w:r w:rsidDel="00000000" w:rsidR="00000000" w:rsidRPr="00000000">
        <w:rPr>
          <w:rtl w:val="0"/>
        </w:rPr>
        <w:t xml:space="preserve">Independent reconciliation of source PDF, source-grounded full extraction, Gemini extraction, and stored RoB 2. Source article is authoritative. Cross-study or fabricated RoB records require complete replacement. Source-correct RoB records are still checked against official result-specific signaling logic and are revised where unsupported assumptions were made.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Wang et al. 2024 — Study #212</w:t>
      </w:r>
    </w:p>
    <w:p w:rsidR="00000000" w:rsidDel="00000000" w:rsidP="00000000" w:rsidRDefault="00000000" w:rsidRPr="00000000" w14:paraId="00000007">
      <w:pPr>
        <w:rPr/>
      </w:pPr>
      <w:r w:rsidDel="00000000" w:rsidR="00000000" w:rsidRPr="00000000">
        <w:rPr>
          <w:rtl w:val="0"/>
        </w:rPr>
        <w:t xml:space="preserve">Source: Wang B, Chu H, Wei S, et al. Exploration of treatment strategies and susceptibility gene of postoperative nausea and vomiting in breast cancer patients: a randomised controlled trial. Breast Cancer. 2024;31:926–934. DOI 10.1007/s12282-024-01606-1. ChiCTR2100053752.</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Source-verified design</w:t>
      </w:r>
    </w:p>
    <w:p w:rsidR="00000000" w:rsidDel="00000000" w:rsidP="00000000" w:rsidRDefault="00000000" w:rsidRPr="00000000" w14:paraId="0000000A">
      <w:pPr>
        <w:rPr/>
      </w:pPr>
      <w:r w:rsidDel="00000000" w:rsidR="00000000" w:rsidRPr="00000000">
        <w:rPr>
          <w:rtl w:val="0"/>
        </w:rPr>
        <w:t xml:space="preserve">• Prospective single-center trial in women undergoing unilateral breast-cancer surgery.</w:t>
      </w:r>
    </w:p>
    <w:p w:rsidR="00000000" w:rsidDel="00000000" w:rsidP="00000000" w:rsidRDefault="00000000" w:rsidRPr="00000000" w14:paraId="0000000B">
      <w:pPr>
        <w:rPr/>
      </w:pPr>
      <w:r w:rsidDel="00000000" w:rsidR="00000000" w:rsidRPr="00000000">
        <w:rPr>
          <w:rtl w:val="0"/>
        </w:rPr>
        <w:t xml:space="preserve">• 140 women were first classified NON-RANDOMLY by history of severe vs mild-moderate nausea/vomiting during pregnancy (SNVP vs MNVP), 70 per stratum.</w:t>
      </w:r>
    </w:p>
    <w:p w:rsidR="00000000" w:rsidDel="00000000" w:rsidP="00000000" w:rsidRDefault="00000000" w:rsidRPr="00000000" w14:paraId="0000000C">
      <w:pPr>
        <w:rPr/>
      </w:pPr>
      <w:r w:rsidDel="00000000" w:rsidR="00000000" w:rsidRPr="00000000">
        <w:rPr>
          <w:rtl w:val="0"/>
        </w:rPr>
        <w:t xml:space="preserve">• Within each stratum, patients were randomized to ondansetron+dexamethasone (OD) versus ondansetron+dexamethasone+TEAS (ODT).</w:t>
      </w:r>
    </w:p>
    <w:p w:rsidR="00000000" w:rsidDel="00000000" w:rsidP="00000000" w:rsidRDefault="00000000" w:rsidRPr="00000000" w14:paraId="0000000D">
      <w:pPr>
        <w:rPr/>
      </w:pPr>
      <w:r w:rsidDel="00000000" w:rsidR="00000000" w:rsidRPr="00000000">
        <w:rPr>
          <w:rtl w:val="0"/>
        </w:rPr>
        <w:t xml:space="preserve">• Correct randomized contrasts are therefore SNVP-ODT vs SNVP-OD and MNVP-ODT vs MNVP-OD. Pooling SNVP and MNVP into a single TEAS-vs-sham comparison without preserving stratification is not the trial’s randomized comparison.</w:t>
      </w:r>
    </w:p>
    <w:p w:rsidR="00000000" w:rsidDel="00000000" w:rsidP="00000000" w:rsidRDefault="00000000" w:rsidRPr="00000000" w14:paraId="0000000E">
      <w:pPr>
        <w:rPr/>
      </w:pPr>
      <w:r w:rsidDel="00000000" w:rsidR="00000000" w:rsidRPr="00000000">
        <w:rPr>
          <w:rtl w:val="0"/>
        </w:rPr>
        <w:t xml:space="preserve">• 138/140 were analyzed: SNVP-OD 35, SNVP-ODT 33, MNVP-OD 35, MNVP-ODT 35. Two SNVP-ODT patients were excluded post-randomization due to postoperative fever; no full ITT analysis is reported.</w:t>
      </w:r>
    </w:p>
    <w:p w:rsidR="00000000" w:rsidDel="00000000" w:rsidP="00000000" w:rsidRDefault="00000000" w:rsidRPr="00000000" w14:paraId="0000000F">
      <w:pPr>
        <w:rPr/>
      </w:pPr>
      <w:r w:rsidDel="00000000" w:rsidR="00000000" w:rsidRPr="00000000">
        <w:rPr>
          <w:rtl w:val="0"/>
        </w:rPr>
        <w:t xml:space="preserve">• TEAS: bilateral PC6+LI4, HANS-200A, 2/100 Hz, 10 mA, one 30-min session immediately before anesthetic induction.</w:t>
      </w:r>
    </w:p>
    <w:p w:rsidR="00000000" w:rsidDel="00000000" w:rsidP="00000000" w:rsidRDefault="00000000" w:rsidRPr="00000000" w14:paraId="00000010">
      <w:pPr>
        <w:rPr/>
      </w:pPr>
      <w:r w:rsidDel="00000000" w:rsidR="00000000" w:rsidRPr="00000000">
        <w:rPr>
          <w:rtl w:val="0"/>
        </w:rPr>
        <w:t xml:space="preserve">• Sham: same acupoints/device appearance and sound, internally cut output wires, no current.</w:t>
      </w:r>
    </w:p>
    <w:p w:rsidR="00000000" w:rsidDel="00000000" w:rsidP="00000000" w:rsidRDefault="00000000" w:rsidRPr="00000000" w14:paraId="00000011">
      <w:pPr>
        <w:rPr/>
      </w:pPr>
      <w:r w:rsidDel="00000000" w:rsidR="00000000" w:rsidRPr="00000000">
        <w:rPr>
          <w:rtl w:val="0"/>
        </w:rPr>
        <w:t xml:space="preserve">• Primary outcome: PONV within 36 h, recorded at 2, 6, 12, 24 and 36 h.</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Relevant randomized findings include SNVP ODT vs OD PONV at 6–12 h 21.2% vs 45.7% (P≈0.033) and 12–24 h 6.1% vs 31.4% (P=0.008); within 6 h vomiting 7/33 vs 19/35 (P=0.005). MNVP ODT vs OD also showed interval-specific differences.</w:t>
      </w:r>
    </w:p>
    <w:p w:rsidR="00000000" w:rsidDel="00000000" w:rsidP="00000000" w:rsidRDefault="00000000" w:rsidRPr="00000000" w14:paraId="00000013">
      <w:pPr>
        <w:rPr/>
      </w:pPr>
      <w:r w:rsidDel="00000000" w:rsidR="00000000" w:rsidRPr="00000000">
        <w:rPr>
          <w:rtl w:val="0"/>
        </w:rPr>
        <w:t xml:space="preserve">• Important baseline/surgical imbalances exist within randomized strata, including radical mastectomy+axillary dissection in SNVP (71.4% OD vs 36.4% ODT, P=0.004) and segmental mastectomy+axillary dissection in MNVP (2.9% OD vs 20.0% ODT, P=0.024).</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Extraction/Gemini reconciliation</w:t>
      </w:r>
    </w:p>
    <w:p w:rsidR="00000000" w:rsidDel="00000000" w:rsidP="00000000" w:rsidRDefault="00000000" w:rsidRPr="00000000" w14:paraId="00000016">
      <w:pPr>
        <w:rPr/>
      </w:pPr>
      <w:r w:rsidDel="00000000" w:rsidR="00000000" w:rsidRPr="00000000">
        <w:rPr>
          <w:rtl w:val="0"/>
        </w:rPr>
        <w:t xml:space="preserve">The source-grounded extraction and Wang_et_al_2024_gemini.md are broadly source-consistent. The full extraction is preferable because it explicitly distinguishes non-randomized risk stratification from randomized OD-vs-ODT comparisons and flags surgical imbalances.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RoB 2 reconciliation</w:t>
      </w:r>
    </w:p>
    <w:p w:rsidR="00000000" w:rsidDel="00000000" w:rsidP="00000000" w:rsidRDefault="00000000" w:rsidRPr="00000000" w14:paraId="00000019">
      <w:pPr>
        <w:rPr/>
      </w:pPr>
      <w:r w:rsidDel="00000000" w:rsidR="00000000" w:rsidRPr="00000000">
        <w:rPr>
          <w:rtl w:val="0"/>
        </w:rPr>
        <w:t xml:space="preserve">RoB2_Wang_2024_IncidenceOfPONV_24h.md is INVALID as a result-specific assessment. It collapses the stratified four-subgroup design into a simple 70-vs-70 TEAS/sham trial, treats all 140 as analyzed, changes the population to all patients having severe pregnancy nausea, changes the surgery to modified radical mastectomy, changes LI4 to ST36, adds a POD1 TEAS session, changes current to 10–20 mA, and invents an overall 0–24 h PONV result 19/70 vs 38/70 with RR 0.50. That is not the randomized result reported in the paper.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Required action</w:t>
      </w:r>
    </w:p>
    <w:p w:rsidR="00000000" w:rsidDel="00000000" w:rsidP="00000000" w:rsidRDefault="00000000" w:rsidRPr="00000000" w14:paraId="0000001C">
      <w:pPr>
        <w:rPr/>
      </w:pPr>
      <w:r w:rsidDel="00000000" w:rsidR="00000000" w:rsidRPr="00000000">
        <w:rPr>
          <w:rtl w:val="0"/>
        </w:rPr>
        <w:t xml:space="preserve">Discard and redo RoB 2 separately for a legitimate randomized contrast within SNVP or MNVP and a specified PONV interval/cumulative outcome supported by the article/registry. Domain 1 must account for the clinically relevant surgical imbalances; Domain 2/3 must account for the two post-randomization exclusions in SNVP-ODT.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2. Huang et al. 2024 — Study #245</w:t>
      </w:r>
    </w:p>
    <w:p w:rsidR="00000000" w:rsidDel="00000000" w:rsidP="00000000" w:rsidRDefault="00000000" w:rsidRPr="00000000" w14:paraId="0000001F">
      <w:pPr>
        <w:rPr/>
      </w:pPr>
      <w:r w:rsidDel="00000000" w:rsidR="00000000" w:rsidRPr="00000000">
        <w:rPr>
          <w:rtl w:val="0"/>
        </w:rPr>
        <w:t xml:space="preserve">Source: Huang H, Tang K, Song X, et al. Effects of contralateral versus ipsilateral electroacupuncture for analgesia and rehabilitation after unilateral total knee arthroplasty: a randomized controlled trial. Acupuncture in Medicine. 2024;42(4):183–193. DOI 10.1177/09645284231211601. ChiCTR1800020297.</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Source-verified design</w:t>
      </w:r>
    </w:p>
    <w:p w:rsidR="00000000" w:rsidDel="00000000" w:rsidP="00000000" w:rsidRDefault="00000000" w:rsidRPr="00000000" w14:paraId="00000022">
      <w:pPr>
        <w:rPr/>
      </w:pPr>
      <w:r w:rsidDel="00000000" w:rsidR="00000000" w:rsidRPr="00000000">
        <w:rPr>
          <w:rtl w:val="0"/>
        </w:rPr>
        <w:t xml:space="preserve">• Single-center randomized controlled THREE-ARM trial: contralateral EA, ipsilateral EA, sham EA; 38/38/38 randomized (114 total).</w:t>
      </w:r>
    </w:p>
    <w:p w:rsidR="00000000" w:rsidDel="00000000" w:rsidP="00000000" w:rsidRDefault="00000000" w:rsidRPr="00000000" w14:paraId="00000023">
      <w:pPr>
        <w:rPr/>
      </w:pPr>
      <w:r w:rsidDel="00000000" w:rsidR="00000000" w:rsidRPr="00000000">
        <w:rPr>
          <w:rtl w:val="0"/>
        </w:rPr>
        <w:t xml:space="preserve">• 108 completed all allocated interventions: 36 contralateral, 37 ipsilateral, 35 sham. Follow-up was obtained for all randomized participants and authors state ITT analysis, although some tolerability/safety analyses use completer denominators.</w:t>
      </w:r>
    </w:p>
    <w:p w:rsidR="00000000" w:rsidDel="00000000" w:rsidP="00000000" w:rsidRDefault="00000000" w:rsidRPr="00000000" w14:paraId="00000024">
      <w:pPr>
        <w:rPr/>
      </w:pPr>
      <w:r w:rsidDel="00000000" w:rsidR="00000000" w:rsidRPr="00000000">
        <w:rPr>
          <w:rtl w:val="0"/>
        </w:rPr>
        <w:t xml:space="preserve">• Population: unilateral total knee arthroplasty for knee osteoarthritis, age 40–75, general anesthesia.</w:t>
      </w:r>
    </w:p>
    <w:p w:rsidR="00000000" w:rsidDel="00000000" w:rsidP="00000000" w:rsidRDefault="00000000" w:rsidRPr="00000000" w14:paraId="00000025">
      <w:pPr>
        <w:rPr/>
      </w:pPr>
      <w:r w:rsidDel="00000000" w:rsidR="00000000" w:rsidRPr="00000000">
        <w:rPr>
          <w:rtl w:val="0"/>
        </w:rPr>
        <w:t xml:space="preserve">• EA is invasive and postoperative-only: ST32, ST36, SP9 and GB34; 2-Hz continuous wave, 1 mA, 0.25-ms pulse width; 30 min once daily on POD1–3.</w:t>
      </w:r>
    </w:p>
    <w:p w:rsidR="00000000" w:rsidDel="00000000" w:rsidP="00000000" w:rsidRDefault="00000000" w:rsidRPr="00000000" w14:paraId="00000026">
      <w:pPr>
        <w:rPr/>
      </w:pPr>
      <w:r w:rsidDel="00000000" w:rsidR="00000000" w:rsidRPr="00000000">
        <w:rPr>
          <w:rtl w:val="0"/>
        </w:rPr>
        <w:t xml:space="preserve">• Contralateral arm: true EA on healthy limb + sham on operated limb. Ipsilateral arm: true EA on operated limb + sham on healthy limb. Sham arm: sham bilaterally.</w:t>
      </w:r>
    </w:p>
    <w:p w:rsidR="00000000" w:rsidDel="00000000" w:rsidP="00000000" w:rsidRDefault="00000000" w:rsidRPr="00000000" w14:paraId="00000027">
      <w:pPr>
        <w:rPr/>
      </w:pPr>
      <w:r w:rsidDel="00000000" w:rsidR="00000000" w:rsidRPr="00000000">
        <w:rPr>
          <w:rtl w:val="0"/>
        </w:rPr>
        <w:t xml:space="preserve">• Sham needles are blunt/nonpenetrating through rubber pads; EA lead internally cut; display mimics active treatment. Formal blinding assessment was performed.</w:t>
      </w:r>
    </w:p>
    <w:p w:rsidR="00000000" w:rsidDel="00000000" w:rsidP="00000000" w:rsidRDefault="00000000" w:rsidRPr="00000000" w14:paraId="00000028">
      <w:pPr>
        <w:rPr/>
      </w:pPr>
      <w:r w:rsidDel="00000000" w:rsidR="00000000" w:rsidRPr="00000000">
        <w:rPr>
          <w:rtl w:val="0"/>
        </w:rPr>
        <w:t xml:space="preserve">• Primary outcomes: movement/walking VAS at multiple postoperative days and additional PCA dose on POD2, explicitly 24 h after the first EA treatment—not necessarily 24 h after surgery.</w:t>
      </w:r>
    </w:p>
    <w:p w:rsidR="00000000" w:rsidDel="00000000" w:rsidP="00000000" w:rsidRDefault="00000000" w:rsidRPr="00000000" w14:paraId="00000029">
      <w:pPr>
        <w:rPr/>
      </w:pPr>
      <w:r w:rsidDel="00000000" w:rsidR="00000000" w:rsidRPr="00000000">
        <w:rPr>
          <w:rtl w:val="0"/>
        </w:rPr>
        <w:t xml:space="preserve">• PCA drug and concentration are not identified in the main article; the printed infusion unit 0.25 g/kg/h is unusual. Therefore additional PCA volume cannot be converted safely to opioid mass or MME.</w:t>
      </w:r>
    </w:p>
    <w:p w:rsidR="00000000" w:rsidDel="00000000" w:rsidP="00000000" w:rsidRDefault="00000000" w:rsidRPr="00000000" w14:paraId="0000002A">
      <w:pPr>
        <w:rPr/>
      </w:pPr>
      <w:r w:rsidDel="00000000" w:rsidR="00000000" w:rsidRPr="00000000">
        <w:rPr>
          <w:rtl w:val="0"/>
        </w:rPr>
        <w:t xml:space="preserve">• POD2 additional PCA release: contralateral 0.00 [0.00,2.00] mL; ipsilateral 2.00 [0.00,2.00] mL; sham 2.00 [2.00,4.00] mL.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Extraction/Gemini reconciliation</w:t>
      </w:r>
    </w:p>
    <w:p w:rsidR="00000000" w:rsidDel="00000000" w:rsidP="00000000" w:rsidRDefault="00000000" w:rsidRPr="00000000" w14:paraId="0000002D">
      <w:pPr>
        <w:rPr/>
      </w:pPr>
      <w:r w:rsidDel="00000000" w:rsidR="00000000" w:rsidRPr="00000000">
        <w:rPr>
          <w:rtl w:val="0"/>
        </w:rPr>
        <w:t xml:space="preserve">The source-grounded extraction and Huang_et_al_2024_gemini.md are source-consistent. Gemini correctly preserves the three-arm structure and the limitation that the PCA drug is not identified; exact opioid dose/MME should remain unavailable.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RoB 2 reconciliation</w:t>
      </w:r>
    </w:p>
    <w:p w:rsidR="00000000" w:rsidDel="00000000" w:rsidP="00000000" w:rsidRDefault="00000000" w:rsidRPr="00000000" w14:paraId="00000030">
      <w:pPr>
        <w:rPr/>
      </w:pPr>
      <w:r w:rsidDel="00000000" w:rsidR="00000000" w:rsidRPr="00000000">
        <w:rPr>
          <w:rtl w:val="0"/>
        </w:rPr>
        <w:t xml:space="preserve">The file attached to this source is RoB2_Liu_2024_TimeFlatus_POD1to3.md and is completely unrelated to Huang 2024. It changes the study to a two-arm laparoscopic colorectal-cancer TEAS trial, changes intervention from invasive EA to non-invasive TEAS, changes acupoints/frequency/intensity, changes 38/38/38 randomization to 57/57, and fabricates time-to-flatus values 48.6 ± 11.2 vs 61.4 ± 13.5 h. The source article contains no such gastrointestinal trial or flatus endpoint.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Required action</w:t>
      </w:r>
    </w:p>
    <w:p w:rsidR="00000000" w:rsidDel="00000000" w:rsidP="00000000" w:rsidRDefault="00000000" w:rsidRPr="00000000" w14:paraId="00000033">
      <w:pPr>
        <w:rPr/>
      </w:pPr>
      <w:r w:rsidDel="00000000" w:rsidR="00000000" w:rsidRPr="00000000">
        <w:rPr>
          <w:rtl w:val="0"/>
        </w:rPr>
        <w:t xml:space="preserve">Discard the attached Liu RoB record and create a new Huang-specific RoB 2 assessment for a real result such as movement VAS at a specified postoperative day or the additional PCA-release outcome at POD2/24 h after first EA treatment.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3. Tu et al. 2024 — Study #244</w:t>
      </w:r>
    </w:p>
    <w:p w:rsidR="00000000" w:rsidDel="00000000" w:rsidP="00000000" w:rsidRDefault="00000000" w:rsidRPr="00000000" w14:paraId="00000036">
      <w:pPr>
        <w:rPr/>
      </w:pPr>
      <w:r w:rsidDel="00000000" w:rsidR="00000000" w:rsidRPr="00000000">
        <w:rPr>
          <w:rtl w:val="0"/>
        </w:rPr>
        <w:t xml:space="preserve">Source: Tu L-d, Li P-c, Zhao Y, Feng R-z, Lv J-q. Transcutaneous electrical acupoint stimulation for postoperative nausea and vomiting in patients undergoing craniotomy: A randomized controlled trial. Complementary Therapies in Clinical Practice. 2024;54:101824. DOI 10.1016/j.ctcp.2023.101824. ChiCTR-TRC-13003026.</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Source-verified design</w:t>
      </w:r>
    </w:p>
    <w:p w:rsidR="00000000" w:rsidDel="00000000" w:rsidP="00000000" w:rsidRDefault="00000000" w:rsidRPr="00000000" w14:paraId="00000039">
      <w:pPr>
        <w:rPr/>
      </w:pPr>
      <w:r w:rsidDel="00000000" w:rsidR="00000000" w:rsidRPr="00000000">
        <w:rPr>
          <w:rtl w:val="0"/>
        </w:rPr>
        <w:t xml:space="preserve">• 120 randomized, 60/60; 115 analyzed: TEAS 57, sham 58. Five post-randomization exclusions occurred: TEAS cognitive impairment n=1 and persistent coma n=2; sham intracranial-hypertension-related vomiting n=1 and persistent coma n=1.</w:t>
      </w:r>
    </w:p>
    <w:p w:rsidR="00000000" w:rsidDel="00000000" w:rsidP="00000000" w:rsidRDefault="00000000" w:rsidRPr="00000000" w14:paraId="0000003A">
      <w:pPr>
        <w:rPr/>
      </w:pPr>
      <w:r w:rsidDel="00000000" w:rsidR="00000000" w:rsidRPr="00000000">
        <w:rPr>
          <w:rtl w:val="0"/>
        </w:rPr>
        <w:t xml:space="preserve">• Population: adults 18–70 undergoing craniotomy opening cranium and dura, ASA I–II, general anesthesia.</w:t>
      </w:r>
    </w:p>
    <w:p w:rsidR="00000000" w:rsidDel="00000000" w:rsidP="00000000" w:rsidRDefault="00000000" w:rsidRPr="00000000" w14:paraId="0000003B">
      <w:pPr>
        <w:rPr/>
      </w:pPr>
      <w:r w:rsidDel="00000000" w:rsidR="00000000" w:rsidRPr="00000000">
        <w:rPr>
          <w:rtl w:val="0"/>
        </w:rPr>
        <w:t xml:space="preserve">• Major internal source inconsistency: eligibility states no history of PONV/motion sickness, yet baseline Table 2 reports motion sickness in 16/57 TEAS and 16/58 sham. Preserve and flag.</w:t>
      </w:r>
    </w:p>
    <w:p w:rsidR="00000000" w:rsidDel="00000000" w:rsidP="00000000" w:rsidRDefault="00000000" w:rsidRPr="00000000" w14:paraId="0000003C">
      <w:pPr>
        <w:rPr/>
      </w:pPr>
      <w:r w:rsidDel="00000000" w:rsidR="00000000" w:rsidRPr="00000000">
        <w:rPr>
          <w:rtl w:val="0"/>
        </w:rPr>
        <w:t xml:space="preserve">• TEAS: bilateral P6 only, SDZ-V, 2/100 Hz dilatational wave, intensity to continuous de qi; one 30-min immediate postoperative session as patient regained consciousness in anesthesia recovery room.</w:t>
      </w:r>
    </w:p>
    <w:p w:rsidR="00000000" w:rsidDel="00000000" w:rsidP="00000000" w:rsidRDefault="00000000" w:rsidRPr="00000000" w14:paraId="0000003D">
      <w:pPr>
        <w:rPr/>
      </w:pPr>
      <w:r w:rsidDel="00000000" w:rsidR="00000000" w:rsidRPr="00000000">
        <w:rPr>
          <w:rtl w:val="0"/>
        </w:rPr>
        <w:t xml:space="preserve">• Sham: same P6 electrodes/device indicators/sound but severed internal wire and no current; participants told stimulation could be subsensory.</w:t>
      </w:r>
    </w:p>
    <w:p w:rsidR="00000000" w:rsidDel="00000000" w:rsidP="00000000" w:rsidRDefault="00000000" w:rsidRPr="00000000" w14:paraId="0000003E">
      <w:pPr>
        <w:rPr/>
      </w:pPr>
      <w:r w:rsidDel="00000000" w:rsidR="00000000" w:rsidRPr="00000000">
        <w:rPr>
          <w:rtl w:val="0"/>
        </w:rPr>
        <w:t xml:space="preserve">• Vomiting: 0–2 h 4/57 vs 10/58 (P=0.095); 2–6 h 8/57 vs 17/58 (P=0.047); 6–24 h 11/57 vs 15/58 (P=0.405).</w:t>
      </w:r>
    </w:p>
    <w:p w:rsidR="00000000" w:rsidDel="00000000" w:rsidP="00000000" w:rsidRDefault="00000000" w:rsidRPr="00000000" w14:paraId="0000003F">
      <w:pPr>
        <w:rPr/>
      </w:pPr>
      <w:r w:rsidDel="00000000" w:rsidR="00000000" w:rsidRPr="00000000">
        <w:rPr>
          <w:rtl w:val="0"/>
        </w:rPr>
        <w:t xml:space="preserve">• Pain 6–24 h: median 2 (0.5–3) vs 4 (3–4), P=0.001.</w:t>
      </w:r>
    </w:p>
    <w:p w:rsidR="00000000" w:rsidDel="00000000" w:rsidP="00000000" w:rsidRDefault="00000000" w:rsidRPr="00000000" w14:paraId="00000040">
      <w:pPr>
        <w:rPr/>
      </w:pPr>
      <w:r w:rsidDel="00000000" w:rsidR="00000000" w:rsidRPr="00000000">
        <w:rPr>
          <w:rtl w:val="0"/>
        </w:rPr>
        <w:t xml:space="preserve">• The prose prints P=0.47 for 2–6 h vomiting, whereas abstract and Table 3 print P=0.047; use table/abstract value 0.047 and flag the prose typo.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Extraction/Gemini reconciliation</w:t>
      </w:r>
    </w:p>
    <w:p w:rsidR="00000000" w:rsidDel="00000000" w:rsidP="00000000" w:rsidRDefault="00000000" w:rsidRPr="00000000" w14:paraId="00000043">
      <w:pPr>
        <w:rPr/>
      </w:pPr>
      <w:r w:rsidDel="00000000" w:rsidR="00000000" w:rsidRPr="00000000">
        <w:rPr>
          <w:rtl w:val="0"/>
        </w:rPr>
        <w:t xml:space="preserve">The full extraction and Tu_et_al_2023_gemini.md are broadly source-consistent. Filename year 2023 reflects online publication date; final journal volume is 2024.</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RoB 2 reconciliation — vomiting 2–6 h</w:t>
      </w:r>
    </w:p>
    <w:p w:rsidR="00000000" w:rsidDel="00000000" w:rsidP="00000000" w:rsidRDefault="00000000" w:rsidRPr="00000000" w14:paraId="00000046">
      <w:pPr>
        <w:rPr/>
      </w:pPr>
      <w:r w:rsidDel="00000000" w:rsidR="00000000" w:rsidRPr="00000000">
        <w:rPr>
          <w:rtl w:val="0"/>
        </w:rPr>
        <w:t xml:space="preserve">RoB2_Tu_2024_IncidenceOfVomiting_2to6h.md is SOURCE-CORRECT for study identity, intervention, comparator and numerical result; unlike most prior RoB files, it is not cross-contaminated. However, its blanket Low-risk judgment is too confident.</w:t>
      </w:r>
    </w:p>
    <w:p w:rsidR="00000000" w:rsidDel="00000000" w:rsidP="00000000" w:rsidRDefault="00000000" w:rsidRPr="00000000" w14:paraId="00000047">
      <w:pPr>
        <w:rPr/>
      </w:pPr>
      <w:r w:rsidDel="00000000" w:rsidR="00000000" w:rsidRPr="00000000">
        <w:rPr>
          <w:rtl w:val="0"/>
        </w:rPr>
        <w:t xml:space="preserve">• Domain 3: 5/120 participants were excluded after randomization. One sham participant was excluded specifically because of vomiting caused by intracranial hypertension, meaning missingness/eligibility for the analyzed vomiting result is directly related to an observed vomiting event and could depend on the true outcome. Calling missingness unequivocally unrelated is unsupported. At minimum, this warrants a more cautious signaling response and likely Some concerns for missing outcome data unless the prespecified estimand explicitly excludes etiologically secondary vomiting and this is demonstrated from protocol/registry.</w:t>
      </w:r>
    </w:p>
    <w:p w:rsidR="00000000" w:rsidDel="00000000" w:rsidP="00000000" w:rsidRDefault="00000000" w:rsidRPr="00000000" w14:paraId="00000048">
      <w:pPr>
        <w:rPr/>
      </w:pPr>
      <w:r w:rsidDel="00000000" w:rsidR="00000000" w:rsidRPr="00000000">
        <w:rPr>
          <w:rtl w:val="0"/>
        </w:rPr>
        <w:t xml:space="preserve">• Domain 5: prospective registration and existence of a published protocol do not by themselves prove that the exact 2–6 h analysis and statistical method were finalized before unblinded data. The RoB text asserts this without presenting the relevant protocol/registry language. Until verified, use Insufficient information / not reported for that specific prespecification question rather than automatically Yes.</w:t>
      </w:r>
    </w:p>
    <w:p w:rsidR="00000000" w:rsidDel="00000000" w:rsidP="00000000" w:rsidRDefault="00000000" w:rsidRPr="00000000" w14:paraId="00000049">
      <w:pPr>
        <w:rPr/>
      </w:pPr>
      <w:r w:rsidDel="00000000" w:rsidR="00000000" w:rsidRPr="00000000">
        <w:rPr>
          <w:rtl w:val="0"/>
        </w:rPr>
        <w:t xml:space="preserve">• Participant blinding was plausible but not formally tested in this paper; active patients experienced de qi whereas sham patients were told stimulation was subsensory. “Probably No” awareness is defensible but should be described as an inference, not a proven fact.</w:t>
      </w:r>
    </w:p>
    <w:p w:rsidR="00000000" w:rsidDel="00000000" w:rsidP="00000000" w:rsidRDefault="00000000" w:rsidRPr="00000000" w14:paraId="0000004A">
      <w:pPr>
        <w:rPr/>
      </w:pPr>
      <w:r w:rsidDel="00000000" w:rsidR="00000000" w:rsidRPr="00000000">
        <w:rPr>
          <w:rtl w:val="0"/>
        </w:rPr>
        <w:t xml:space="preserve">Overall: retain the source/result fields, but redo signaling logic. A provisional overall judgment of Some concerns is more defensible than Low until the missing-data estimand and prespecified analysis are verified.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RoB 2 reconciliation — pain 6–24 h</w:t>
      </w:r>
    </w:p>
    <w:p w:rsidR="00000000" w:rsidDel="00000000" w:rsidP="00000000" w:rsidRDefault="00000000" w:rsidRPr="00000000" w14:paraId="0000004D">
      <w:pPr>
        <w:rPr/>
      </w:pPr>
      <w:r w:rsidDel="00000000" w:rsidR="00000000" w:rsidRPr="00000000">
        <w:rPr>
          <w:rtl w:val="0"/>
        </w:rPr>
        <w:t xml:space="preserve">RoB2_Tu_2024_PainIntensity_6to24h.md is also SOURCE-CORRECT for identity and numerical result, but the same methodological issues apply. Post-randomization neurological exclusions may be related to ability to report pain and underlying clinical severity; the file labels them unrelated without evidence. Domain 5 again assumes exact prespecification based only on registry/protocol existence. Reassess these signaling questions rather than retaining blanket Low risk.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Batch 13 summary</w:t>
      </w:r>
    </w:p>
    <w:p w:rsidR="00000000" w:rsidDel="00000000" w:rsidP="00000000" w:rsidRDefault="00000000" w:rsidRPr="00000000" w14:paraId="00000050">
      <w:pPr>
        <w:rPr/>
      </w:pPr>
      <w:r w:rsidDel="00000000" w:rsidR="00000000" w:rsidRPr="00000000">
        <w:rPr>
          <w:rtl w:val="0"/>
        </w:rPr>
        <w:t xml:space="preserve">• Wang 2024: source/full extraction/Gemini usable; stored RoB invalid and fabricated at the result/design level.</w:t>
      </w:r>
    </w:p>
    <w:p w:rsidR="00000000" w:rsidDel="00000000" w:rsidP="00000000" w:rsidRDefault="00000000" w:rsidRPr="00000000" w14:paraId="00000051">
      <w:pPr>
        <w:rPr/>
      </w:pPr>
      <w:r w:rsidDel="00000000" w:rsidR="00000000" w:rsidRPr="00000000">
        <w:rPr>
          <w:rtl w:val="0"/>
        </w:rPr>
        <w:t xml:space="preserve">• Huang 2024: source/full extraction/Gemini usable; attached “Liu 2024” RoB belongs to a different fabricated trial and is invalid.</w:t>
      </w:r>
    </w:p>
    <w:p w:rsidR="00000000" w:rsidDel="00000000" w:rsidP="00000000" w:rsidRDefault="00000000" w:rsidRPr="00000000" w14:paraId="00000052">
      <w:pPr>
        <w:rPr/>
      </w:pPr>
      <w:r w:rsidDel="00000000" w:rsidR="00000000" w:rsidRPr="00000000">
        <w:rPr>
          <w:rtl w:val="0"/>
        </w:rPr>
        <w:t xml:space="preserve">• Tu 2024: source/full extraction/Gemini usable; both RoB files are about the correct study/results but require methodological re-adjudication, especially Domains 3 and 5. This is the first reconciled case in the recent sequence where RoB data are structurally salvageable rather than wholly substituted.</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