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t xml:space="preserve">Independent reconciliation of the remaining clearly identified 2024 source record against the source PDF, source-grounded full extraction, Gemini extraction, and attached RoB 2 record.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Yang et al. 2024 — Study #1930</w:t>
      </w:r>
    </w:p>
    <w:p w:rsidR="00000000" w:rsidDel="00000000" w:rsidP="00000000" w:rsidRDefault="00000000" w:rsidRPr="00000000" w14:paraId="00000007">
      <w:pPr>
        <w:rPr/>
      </w:pPr>
      <w:r w:rsidDel="00000000" w:rsidR="00000000" w:rsidRPr="00000000">
        <w:rPr>
          <w:rtl w:val="0"/>
        </w:rPr>
        <w:t xml:space="preserve">Source: Yang J, Huang L, Zhu J, et al. Effects of perioperative electroacupuncture on postoperative gastrointestinal recovery after thoracoscopic lung surgery. Explore. 2024;20:450–455. DOI 10.1016/j.explore.2023.11.004. ChiCTR1900024840.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Source-verified design</w:t>
      </w:r>
    </w:p>
    <w:p w:rsidR="00000000" w:rsidDel="00000000" w:rsidP="00000000" w:rsidRDefault="00000000" w:rsidRPr="00000000" w14:paraId="0000000A">
      <w:pPr>
        <w:rPr/>
      </w:pPr>
      <w:r w:rsidDel="00000000" w:rsidR="00000000" w:rsidRPr="00000000">
        <w:rPr>
          <w:rtl w:val="0"/>
        </w:rPr>
        <w:t xml:space="preserve">• Single-center prospective randomized OPEN-LABEL controlled trial in adults undergoing video-assisted thoracoscopic lobectomy or segmentectomy.</w:t>
      </w:r>
    </w:p>
    <w:p w:rsidR="00000000" w:rsidDel="00000000" w:rsidP="00000000" w:rsidRDefault="00000000" w:rsidRPr="00000000" w14:paraId="0000000B">
      <w:pPr>
        <w:rPr/>
      </w:pPr>
      <w:r w:rsidDel="00000000" w:rsidR="00000000" w:rsidRPr="00000000">
        <w:rPr>
          <w:rtl w:val="0"/>
        </w:rPr>
        <w:t xml:space="preserve">• 180 randomized, 90 EA and 90 usual care; all 180 retained in the final intention-to-treat analysis despite three protocol deviations.</w:t>
      </w:r>
    </w:p>
    <w:p w:rsidR="00000000" w:rsidDel="00000000" w:rsidP="00000000" w:rsidRDefault="00000000" w:rsidRPr="00000000" w14:paraId="0000000C">
      <w:pPr>
        <w:rPr/>
      </w:pPr>
      <w:r w:rsidDel="00000000" w:rsidR="00000000" w:rsidRPr="00000000">
        <w:rPr>
          <w:rtl w:val="0"/>
        </w:rPr>
        <w:t xml:space="preserve">• Post-randomization deviations retained in ITT: one EA patient declined further EA on POD2; one UC patient converted to open surgery; one UC patient did not receive intended paravertebral block.</w:t>
      </w:r>
    </w:p>
    <w:p w:rsidR="00000000" w:rsidDel="00000000" w:rsidP="00000000" w:rsidRDefault="00000000" w:rsidRPr="00000000" w14:paraId="0000000D">
      <w:pPr>
        <w:rPr/>
      </w:pPr>
      <w:r w:rsidDel="00000000" w:rsidR="00000000" w:rsidRPr="00000000">
        <w:rPr>
          <w:rtl w:val="0"/>
        </w:rPr>
        <w:t xml:space="preserve">• Participants and acupuncturists were aware of allocation; anesthetists, assessors, data collectors and statisticians were blinded.</w:t>
      </w:r>
    </w:p>
    <w:p w:rsidR="00000000" w:rsidDel="00000000" w:rsidP="00000000" w:rsidRDefault="00000000" w:rsidRPr="00000000" w14:paraId="0000000E">
      <w:pPr>
        <w:rPr/>
      </w:pPr>
      <w:r w:rsidDel="00000000" w:rsidR="00000000" w:rsidRPr="00000000">
        <w:rPr>
          <w:rtl w:val="0"/>
        </w:rPr>
        <w:t xml:space="preserve">• EA: invasive, bilateral PC6, ST36 and ST37; 15 Hz; intensity to slight vibration/tolerance; 30 min per session; 24 h preoperatively, 4 h postoperatively and 24 h postoperatively; three sessions total.</w:t>
      </w:r>
    </w:p>
    <w:p w:rsidR="00000000" w:rsidDel="00000000" w:rsidP="00000000" w:rsidRDefault="00000000" w:rsidRPr="00000000" w14:paraId="0000000F">
      <w:pPr>
        <w:rPr/>
      </w:pPr>
      <w:r w:rsidDel="00000000" w:rsidR="00000000" w:rsidRPr="00000000">
        <w:rPr>
          <w:rtl w:val="0"/>
        </w:rPr>
        <w:t xml:space="preserve">• Comparator: usual care only, no sham acupuncture or sham stimulation.</w:t>
      </w:r>
    </w:p>
    <w:p w:rsidR="00000000" w:rsidDel="00000000" w:rsidP="00000000" w:rsidRDefault="00000000" w:rsidRPr="00000000" w14:paraId="00000010">
      <w:pPr>
        <w:rPr/>
      </w:pPr>
      <w:r w:rsidDel="00000000" w:rsidR="00000000" w:rsidRPr="00000000">
        <w:rPr>
          <w:rtl w:val="0"/>
        </w:rPr>
        <w:t xml:space="preserve">• All intended patients received multimodal analgesia including paravertebral block, parecoxib, celecoxib and IV PCA.</w:t>
      </w:r>
    </w:p>
    <w:p w:rsidR="00000000" w:rsidDel="00000000" w:rsidP="00000000" w:rsidRDefault="00000000" w:rsidRPr="00000000" w14:paraId="00000011">
      <w:pPr>
        <w:rPr/>
      </w:pPr>
      <w:r w:rsidDel="00000000" w:rsidR="00000000" w:rsidRPr="00000000">
        <w:rPr>
          <w:rtl w:val="0"/>
        </w:rPr>
        <w:t xml:space="preserve">• Primary outcomes: time to first flatus and time to first defecation.</w:t>
      </w:r>
    </w:p>
    <w:p w:rsidR="00000000" w:rsidDel="00000000" w:rsidP="00000000" w:rsidRDefault="00000000" w:rsidRPr="00000000" w14:paraId="00000012">
      <w:pPr>
        <w:rPr/>
      </w:pPr>
      <w:r w:rsidDel="00000000" w:rsidR="00000000" w:rsidRPr="00000000">
        <w:rPr>
          <w:rtl w:val="0"/>
        </w:rPr>
        <w:t xml:space="preserve">• Time to first flatus: EA 15.4 ± 3.2 h vs UC 17.0 ± 3.7 h, P=0.004.</w:t>
      </w:r>
    </w:p>
    <w:p w:rsidR="00000000" w:rsidDel="00000000" w:rsidP="00000000" w:rsidRDefault="00000000" w:rsidRPr="00000000" w14:paraId="00000013">
      <w:pPr>
        <w:rPr/>
      </w:pPr>
      <w:r w:rsidDel="00000000" w:rsidR="00000000" w:rsidRPr="00000000">
        <w:rPr>
          <w:rtl w:val="0"/>
        </w:rPr>
        <w:t xml:space="preserve">• Time to first defecation: EA 75.9 ± 7.9 h vs UC 79.7 ± 8.1 h, P=0.002.</w:t>
      </w:r>
    </w:p>
    <w:p w:rsidR="00000000" w:rsidDel="00000000" w:rsidP="00000000" w:rsidRDefault="00000000" w:rsidRPr="00000000" w14:paraId="00000014">
      <w:pPr>
        <w:rPr/>
      </w:pPr>
      <w:r w:rsidDel="00000000" w:rsidR="00000000" w:rsidRPr="00000000">
        <w:rPr>
          <w:rtl w:val="0"/>
        </w:rPr>
        <w:t xml:space="preserve">• Abdominal distension: 31/90 (34.4%) vs 46/90 (51.1%), P=0.024.</w:t>
      </w:r>
    </w:p>
    <w:p w:rsidR="00000000" w:rsidDel="00000000" w:rsidP="00000000" w:rsidRDefault="00000000" w:rsidRPr="00000000" w14:paraId="00000015">
      <w:pPr>
        <w:rPr/>
      </w:pPr>
      <w:r w:rsidDel="00000000" w:rsidR="00000000" w:rsidRPr="00000000">
        <w:rPr>
          <w:rtl w:val="0"/>
        </w:rPr>
        <w:t xml:space="preserve">• 0–24 h nausea: 24/90 (26.7%) vs 40/90 (44.4%), P=0.013; vomiting: 12/90 (13.3%) vs 25/90 (27.8%), P=0.016.</w:t>
      </w:r>
    </w:p>
    <w:p w:rsidR="00000000" w:rsidDel="00000000" w:rsidP="00000000" w:rsidRDefault="00000000" w:rsidRPr="00000000" w14:paraId="00000016">
      <w:pPr>
        <w:rPr/>
      </w:pPr>
      <w:r w:rsidDel="00000000" w:rsidR="00000000" w:rsidRPr="00000000">
        <w:rPr>
          <w:rtl w:val="0"/>
        </w:rPr>
        <w:t xml:space="preserve">• Postoperative morphine use: first 24 h 43.7 ± 4.7 mg vs 44.0 ± 4.9 mg; days 1–3 127.0 ± 12.0 vs 127.5 ± 12.5 mg; no opioid-sparing difference.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Extraction/Gemini reconciliation</w:t>
      </w:r>
    </w:p>
    <w:p w:rsidR="00000000" w:rsidDel="00000000" w:rsidP="00000000" w:rsidRDefault="00000000" w:rsidRPr="00000000" w14:paraId="00000019">
      <w:pPr>
        <w:rPr/>
      </w:pPr>
      <w:r w:rsidDel="00000000" w:rsidR="00000000" w:rsidRPr="00000000">
        <w:rPr>
          <w:rtl w:val="0"/>
        </w:rPr>
        <w:t xml:space="preserve">The source-grounded extraction and Yang_et_al_2024_gemini.md are broadly source-consistent. Both correctly preserve the open-label design, actual EA schedule/acupoints/frequency, no-sham usual-care comparator, full ITT retention, gastrointestinal primary outcomes, and null postoperative morphine effect.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RoB 2 reconciliation</w:t>
      </w:r>
    </w:p>
    <w:p w:rsidR="00000000" w:rsidDel="00000000" w:rsidP="00000000" w:rsidRDefault="00000000" w:rsidRPr="00000000" w14:paraId="0000001C">
      <w:pPr>
        <w:rPr/>
      </w:pPr>
      <w:r w:rsidDel="00000000" w:rsidR="00000000" w:rsidRPr="00000000">
        <w:rPr>
          <w:rtl w:val="0"/>
        </w:rPr>
        <w:t xml:space="preserve">The record attached to this source is RoB2_Zhang_2024_IncidenceOfPONV_24h.md and is INVALID. It changes the authors/study identity to “Zhang,” changes thoracoscopic lung surgery to laparoscopic gastrointestinal surgery, converts the open-label EA-vs-usual-care comparison into a double-blind sham-controlled design, changes the intervention to PC6/ST36 at 2/100 Hz and 1–2 mA given preoperatively/POD1, invents nonpenetrating sham needles, and fabricates a 24-h PONV result of 18/90 vs 39/90. None of these describe the Yang source.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RoB file also falsely claims successful participant blinding, whereas the article explicitly states that patients and acupuncturists were aware of treatment allocation. It substitutes PONV for the trial’s primary gastrointestinal recovery result and ignores the actual no-sham comparator.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Required action</w:t>
      </w:r>
    </w:p>
    <w:p w:rsidR="00000000" w:rsidDel="00000000" w:rsidP="00000000" w:rsidRDefault="00000000" w:rsidRPr="00000000" w14:paraId="00000021">
      <w:pPr>
        <w:rPr/>
      </w:pPr>
      <w:r w:rsidDel="00000000" w:rsidR="00000000" w:rsidRPr="00000000">
        <w:rPr>
          <w:rtl w:val="0"/>
        </w:rPr>
        <w:t xml:space="preserve">Discard the Zhang-labeled RoB record and create a new Yang-specific result-level RoB assessment. For time-to-first-flatus or defecation, Domain 2 must explicitly recognize participant awareness and the absence of a sham comparator. Full ITT retention is a genuine strength and should be preserved. If assessing subjective pain/PONV outcomes, the open-label design warrants particular attention to deviations/measurement even though outcome assessors were blinded.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Batch 14 summary</w:t>
      </w:r>
    </w:p>
    <w:p w:rsidR="00000000" w:rsidDel="00000000" w:rsidP="00000000" w:rsidRDefault="00000000" w:rsidRPr="00000000" w14:paraId="00000024">
      <w:pPr>
        <w:rPr/>
      </w:pPr>
      <w:r w:rsidDel="00000000" w:rsidR="00000000" w:rsidRPr="00000000">
        <w:rPr>
          <w:rtl w:val="0"/>
        </w:rPr>
        <w:t xml:space="preserve">• Yang 2024: source/full extraction/Gemini usable and mutually consistent.</w:t>
      </w:r>
    </w:p>
    <w:p w:rsidR="00000000" w:rsidDel="00000000" w:rsidP="00000000" w:rsidRDefault="00000000" w:rsidRPr="00000000" w14:paraId="00000025">
      <w:pPr>
        <w:rPr/>
      </w:pPr>
      <w:r w:rsidDel="00000000" w:rsidR="00000000" w:rsidRPr="00000000">
        <w:rPr>
          <w:rtl w:val="0"/>
        </w:rPr>
        <w:t xml:space="preserve">• Attached RoB2_Zhang_2024 is a cross-study fabricated assessment and requires full replacement.</w:t>
      </w:r>
    </w:p>
    <w:p w:rsidR="00000000" w:rsidDel="00000000" w:rsidP="00000000" w:rsidRDefault="00000000" w:rsidRPr="00000000" w14:paraId="00000026">
      <w:pPr>
        <w:rPr/>
      </w:pPr>
      <w:r w:rsidDel="00000000" w:rsidR="00000000" w:rsidRPr="00000000">
        <w:rPr>
          <w:rtl w:val="0"/>
        </w:rPr>
        <w:t xml:space="preserve">• With Batch 13 + Batch 14, the clearly identifiable 2024 records currently found in the reconciliation set (Wang, Huang, Tu, Yang) have now been audited.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