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Reconciliation Audit – Batch 15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 2025 studies reconciled against the source PDF, Gemini extraction, and stored RoB 2 file. RoB 2 is treated as result-specific. Source-grounded facts take precedence over derivative extractions.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Zhang et al. 2025 — laparoscopic hysterectomy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Source: 109551.pdf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Gemini/extraction status: Source-consistent overall. Correctly identifies 108 randomized, 93 analyzed (45 TEAS, 48 control), LI4/PC6/SP6/ST36 TEAS beginning 30 min before induction and continuing through surgery, and POD1 sufentanil 50.53 ± 4.46 vs 53.79 ± 5.14 µg. It also correctly flags 15 post-randomization exclusions and internal reporting inconsistencies.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RoB status: INVALID — COMPLETE REPLACEMENT REQUIRED.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Major RoB errors: changes surgery to colorectal cancer; changes randomized/analyzed sample to 86/86; changes acupoints and treatment schedule to postoperative daily TEAS; changes comparator to non-acupoint 0 mA sham; invents visceral-pain means and 3-day sufentanil values; falsely claims 100% ITT and zero missing outcome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Reconciliation decision: Retain source-grounded extraction/Gemini data with noted source inconsistencies. Discard existing RoB and redo RoB 2 for the selected result/timepoint.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Zheng et al. 2025 — gynecological laparoscopic surgery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Source: 109499.pdf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Gemini/extraction status: Source-consistent overall. Correctly identifies 88 randomized, 85 analyzed by mITT (42 TEAS, 43 control), PC6/ST36/LI4 TEAS beginning 30 min before induction and continuing until end of anesthesia, and 24-h PONV 42.9% vs 67.4%. It correctly notes three post-randomization exclusions and no full ITT analysis.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RoB status: INVALID — COMPLETE REPLACEMENT REQUIRED.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Major RoB errors: changes sample to 80 randomized/80 analyzed; invents 40/40 event denominators; adds a postoperative POD1 TEAS session not present in the source; changes stimulation intensity; invents 24-h PONV counts 7/40 vs 17/40; falsely claims 100% ITT and zero missing data; adds unsupported procedural details and outcome values.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Reconciliation decision: Retain source-grounded extraction/Gemini data. Discard existing RoB and redo RoB 2 for the actual 24-h PONV result using the 42/43 analyzed participants and the post-randomization exclusions.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Wu et al. 2025 — day lung cancer surgery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Source: 103940.pdf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Gemini/extraction status: Source-consistent overall. Correctly identifies 100 randomized, 50/group in the ITT population, ambulatory VATS wedge resection, single 30-min PACU TEAS at LI4/PC6, and 24-h VAS 1.7 ± 0.9 vs 4.0 ± 1.4. Important caveat: three participants were discharged early and could not be contacted at 24 h; the article does not clearly explain how their missing 24-h outcomes were handled despite claiming ITT.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RoB status: INVALID — COMPLETE REPLACEMENT REQUIRED.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Major RoB errors: changes journal and surgical population to cholecystectomy/hernia day surgery; adds ST36 and changes frequency/intensity; invents SAS-based randomization and SNOSE concealment; changes the 24-h VAS result to 1.8 ± 0.7 vs 2.9 ± 0.9; invents QoR-15 values; falsely claims complete 24-h follow-up and zero missing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Reconciliation decision: Retain source-grounded extraction/Gemini data with explicit missing-outcome caveat. Discard existing RoB and redo RoB 2 for 24-h pain, paying particular attention to Domain 3 and to incomplete sensory blinding.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Batch 15 summary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Studies reviewed: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Source/Gemini broadly concordant: 3/3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Existing RoB files requiring complete replacement: 3/3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Correct-study RoB files salvageable without full replacement: 0/3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Key recurring failure mode: the RoB files preserve the source filename and registration number while replacing core trial identity, intervention, sample size, outcome data, and methods with invented details. This makes filename/registration agreement insufficient for validation.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